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A4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44"/>
          <w:sz w:val="36"/>
          <w:szCs w:val="36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44"/>
          <w:sz w:val="36"/>
          <w:szCs w:val="36"/>
          <w:highlight w:val="none"/>
          <w:lang w:val="en-US" w:eastAsia="zh-CN" w:bidi="ar"/>
        </w:rPr>
        <w:t>会峰大厦旁两处停车场道闸及监控采购安装项目</w:t>
      </w:r>
    </w:p>
    <w:p w14:paraId="55197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00" w:lineRule="exact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kern w:val="44"/>
          <w:sz w:val="36"/>
          <w:szCs w:val="36"/>
          <w:highlight w:val="none"/>
          <w:lang w:val="en-US" w:eastAsia="zh-CN" w:bidi="ar"/>
        </w:rPr>
      </w:pPr>
      <w:r>
        <w:rPr>
          <w:rFonts w:hint="eastAsia" w:ascii="宋体" w:hAnsi="宋体" w:cs="宋体"/>
          <w:b/>
          <w:bCs/>
          <w:color w:val="auto"/>
          <w:kern w:val="44"/>
          <w:sz w:val="36"/>
          <w:szCs w:val="36"/>
          <w:highlight w:val="none"/>
          <w:lang w:val="en-US" w:eastAsia="zh-CN" w:bidi="ar"/>
        </w:rPr>
        <w:t>澄清公告</w:t>
      </w:r>
    </w:p>
    <w:p w14:paraId="0BFC2C54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各潜在投标人：</w:t>
      </w:r>
    </w:p>
    <w:p w14:paraId="262EFD31">
      <w:pPr>
        <w:pStyle w:val="3"/>
        <w:tabs>
          <w:tab w:val="left" w:pos="432"/>
        </w:tabs>
        <w:spacing w:line="40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现对“会峰大厦旁两处停车场道闸及监控采购安装项目”</w:t>
      </w:r>
      <w:bookmarkStart w:id="0" w:name="_Toc26883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作如下修改：</w:t>
      </w:r>
    </w:p>
    <w:p w14:paraId="56ACD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bookmarkStart w:id="1" w:name="_Toc13275"/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1、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招标文件第四章采购需求及技术要求</w:t>
      </w:r>
      <w:bookmarkEnd w:id="1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中注释第2条，现修改为：本项目为交钥匙项目，所有和项目相关的事项全部包含在项目中，如果需要其他配件、线材、施工以及第三方对接配合工作需要支付费用等，需要投标人全部考虑，招标人不另外支付任何费用，全部由中标人提供。如投标人使用除招标人现有大华停车平台的其他平台，投标人需按招标人提供的平台对外接口自行评估研发对接，平台相关对接、咨询等费用约8000元，需由中标人承担，对接完成后的停车平台免费给招标人使用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（中标设备平台</w:t>
      </w:r>
      <w:r>
        <w:rPr>
          <w:rFonts w:hint="eastAsia" w:ascii="宋体" w:hAnsi="宋体" w:cs="宋体"/>
          <w:color w:val="0000FF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永久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免费供招标人使用）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。</w:t>
      </w:r>
    </w:p>
    <w:p w14:paraId="2D95AECA">
      <w:pPr>
        <w:pStyle w:val="3"/>
        <w:tabs>
          <w:tab w:val="left" w:pos="432"/>
        </w:tabs>
        <w:spacing w:line="40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2、</w:t>
      </w:r>
      <w:bookmarkEnd w:id="0"/>
      <w:bookmarkStart w:id="2" w:name="_Toc19526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第六章投标文件格式</w:t>
      </w:r>
      <w:bookmarkEnd w:id="2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分项报价清单表，现予以修改，见附件。</w:t>
      </w:r>
    </w:p>
    <w:p w14:paraId="78FC1610">
      <w:pPr>
        <w:pStyle w:val="3"/>
        <w:tabs>
          <w:tab w:val="left" w:pos="432"/>
        </w:tabs>
        <w:spacing w:line="40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3、本项目投标文件截止时间、开标时间均修改为2026年9月10日10点00分（北京时间）</w:t>
      </w:r>
    </w:p>
    <w:p w14:paraId="427BB967">
      <w:pPr>
        <w:pStyle w:val="3"/>
        <w:tabs>
          <w:tab w:val="left" w:pos="432"/>
        </w:tabs>
        <w:spacing w:line="40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注：此通知视同招标文件的组成部分，与招标文件具有同等法律效力。请各潜在投标人及时查看下载。给各潜在投标人带来不便，敬请谅解！如因投标人不及时查看，造成后果由投标人自行承担。</w:t>
      </w:r>
    </w:p>
    <w:p w14:paraId="0C5D273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rPr>
          <w:rFonts w:hint="eastAsia" w:ascii="宋体" w:hAnsi="宋体" w:eastAsia="宋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8"/>
          <w:szCs w:val="28"/>
          <w:highlight w:val="none"/>
          <w:lang w:val="en-US" w:eastAsia="zh-CN"/>
        </w:rPr>
        <w:t> </w:t>
      </w:r>
    </w:p>
    <w:p w14:paraId="000FC30F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right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滁州市城泊车辆服务有限公司</w:t>
      </w:r>
    </w:p>
    <w:p w14:paraId="54580B0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right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  <w:t>滁州市城投工程咨询管理有限公司</w:t>
      </w:r>
    </w:p>
    <w:p w14:paraId="7FF5830D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right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  <w:t>2026年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  <w:t>日</w:t>
      </w:r>
    </w:p>
    <w:p w14:paraId="4E8B9D2A">
      <w:pP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eastAsia="zh-CN"/>
        </w:rPr>
        <w:br w:type="page"/>
      </w:r>
    </w:p>
    <w:p w14:paraId="5D48DDDB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附件：</w:t>
      </w:r>
    </w:p>
    <w:p w14:paraId="13B409EB">
      <w:pPr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分项报价清单表</w:t>
      </w:r>
    </w:p>
    <w:tbl>
      <w:tblPr>
        <w:tblStyle w:val="15"/>
        <w:tblW w:w="105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1241"/>
        <w:gridCol w:w="4989"/>
        <w:gridCol w:w="709"/>
        <w:gridCol w:w="949"/>
        <w:gridCol w:w="1072"/>
        <w:gridCol w:w="913"/>
      </w:tblGrid>
      <w:tr w14:paraId="6C194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5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3393836B">
            <w:pPr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（一）会峰大厦老车管所停车场：</w:t>
            </w:r>
          </w:p>
        </w:tc>
      </w:tr>
      <w:tr w14:paraId="1FD81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397DD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559CC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4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6083D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项目特征描述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40175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47C61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工程量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FE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综合单价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B9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合计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27558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63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DE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监控摄像设备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B5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1.1/2.7，400万CMOS图像传感器；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2.视频分辨率2560(H)* 1440(V)（1440P）@25fps；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3.镜头视觉：水平视场角90.3°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4.夜晚模式：支持红外夜视（50米）及全彩夜视；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5.室外摄像头防水防尘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3F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台(套)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9C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DA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A6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CC53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57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  <w:p w14:paraId="4FB1D48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1260" w:leftChars="60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14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网络硬盘录像机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C4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2U机架式4盘位嵌入式网络硬盘录像机，采用短机箱设计，搭载高性能ATX电源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【硬件规格】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存储接口：4个SATA接口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视频接口：2×HDMI，2×VGA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网络接口：2×RJ45 10/100/1000Mbps自适应以太网口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报警接口：16路报警输入，4路报警输出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串行接口：1路RS-232接口，1路半双工RS-485接口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USB接口：2×USB 2.0，1×USB 3.0</w:t>
            </w:r>
          </w:p>
          <w:p w14:paraId="3F2ED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接入能力：16路H.264、H.265格式高清码流接入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解码能力：最大支持12×1080P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显示能力：最大支持4K+1080P异源输出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99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11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EF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DD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E20F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B78F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61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监控硬盘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9F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4TB监控硬盘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EB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DE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CF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B9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2AFE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43C4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B6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3.5米立杆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F5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名称：监控立杆（含基础）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技术参数：整体热镀锌喷塑处理 含基座：基坑开挖，预埋件安装，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浇筑，养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护，立杆、附件安装，接地，防腐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36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88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D6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85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1326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3E50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65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千兆光纤收发器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D0B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名称：光纤收发器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：千兆一光一电收发器</w:t>
            </w:r>
          </w:p>
          <w:p w14:paraId="7E6B0F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本体安装、校正、单体调整等内容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11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F2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93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15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AC8B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96364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41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5口千兆交换机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99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名称：5口交换机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：5口千兆交换机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本体安装、校正、单体调整等内容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3E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7F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C7A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4D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958A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37DE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45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口千兆POE交换机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395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名称：8口POE交换机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：8口千兆PO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E</w:t>
            </w:r>
          </w:p>
          <w:p w14:paraId="19F6B4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本体安装、校正、单体调整等内容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56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F2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E4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7A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4740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8549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76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室外不锈钢防水箱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C1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名称：防水箱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规格：40*30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本地安装、校正、单体调整等内容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73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14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A3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E1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01FA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13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31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6芯室外复合光缆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71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名称：光缆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规格型号：6芯轻铠</w:t>
            </w:r>
          </w:p>
          <w:p w14:paraId="1DA40817">
            <w:pPr>
              <w:pStyle w:val="4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带2X1.5电源线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95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米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EF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500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BA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F5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9AB6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83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66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超五类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网线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30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名称：室外护套网线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配线形式：暗配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型号：超5类网线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材质：铜芯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36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箱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F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5B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C8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5971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EA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45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路由器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09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满足道闸及监控外网连接需要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6E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64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22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A71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96C6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E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BE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施工费调试费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DC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包含安装，调试、开沟、预埋、熔纤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59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D3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18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72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49BD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59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8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辅材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5C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包含PVC管、软管、水晶头、扎带、插排等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08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F4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01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CC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0F5F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29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43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抓拍识别一体机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BD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抓拍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识别一体机、道闸收费系统需并确保与公司原收费大华平台对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接成功，中标人可采用设备与平台或平台与平台的两种方式对接，相关对接费用由中标人承担，如对接不成功，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所有损失由中标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自行承担并赔偿由此造成的损失。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18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B0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C0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E1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451F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F2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6F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直杆道闸机箱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50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道闸机箱需带防砸雷达，需与抓拍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识别一体机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对接保证正常使用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76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B4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5F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9B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3A8D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65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95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安全岛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4E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混凝土安全岛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99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0F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D5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D0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78D2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8D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E1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设备箱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16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用于放置监控录像机等设备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9F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BF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29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82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BB3D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E4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D2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互联网专线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40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外网专线100兆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60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年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17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2C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456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FED2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5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1E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合价（1+2+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highlight w:val="none"/>
                <w:lang w:val="en-US" w:eastAsia="zh-CN"/>
              </w:rPr>
              <w:t>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+18）：         元</w:t>
            </w:r>
          </w:p>
        </w:tc>
      </w:tr>
      <w:tr w14:paraId="442CC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5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EE4C3">
            <w:pPr>
              <w:jc w:val="left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（二）会峰大厦前广场停车场：</w:t>
            </w:r>
          </w:p>
        </w:tc>
      </w:tr>
      <w:tr w14:paraId="5BAA6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4382EF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3CFE3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4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248EA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项目特征描述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29518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/>
            <w:vAlign w:val="center"/>
          </w:tcPr>
          <w:p w14:paraId="2F961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工程量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82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综合单价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95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合计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23161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39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E8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监控摄像设备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96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1.1/2.7，400万CMOS图像传感器；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2.视频分辨率2560(H)* 1440(V)（1440P）@25fps；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3.镜头视觉：水平视场角90.3°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 xml:space="preserve">4.夜晚模式：支持红外夜视（50米）及全彩夜视；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5.室外摄像头防水防尘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B9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台(套)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78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F1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35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B6FE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28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  <w:p w14:paraId="3B29486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1260" w:leftChars="60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A0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网络硬盘录像机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F7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2U机架式4盘位嵌入式网络硬盘录像机，采用短机箱设计，搭载高性能ATX电源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【硬件规格】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存储接口：4个SATA接口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视频接口：2×HDMI，2×VGA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网络接口：2×RJ45 10/100/1000Mbps自适应以太网口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报警接口：16路报警输入，4路报警输出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串行接口：1路RS-232接口，1路半双工RS-485接口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USB接口：2×USB 2.0，1×USB 3.0</w:t>
            </w:r>
          </w:p>
          <w:p w14:paraId="7585C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接入能力：16路H.264、H.265格式高清码流接入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解码能力：最大支持12×1080P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显示能力：最大支持4K+1080P异源输出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37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75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BD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2B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D42B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9FF3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FD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监控硬盘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46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4TB监控硬盘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53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86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46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58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446C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2EFB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75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3.5米立杆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84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名称：监控立杆（含基础）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技术参数：整体热镀锌喷塑处理 含基座：基坑开挖，预埋件安装，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浇筑，养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护，立杆、附件安装，接地，防腐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CC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EC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21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9A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EEC6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2467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24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千兆光纤收发器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555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名称：光纤收发器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：千兆一光一电收发器</w:t>
            </w:r>
          </w:p>
          <w:p w14:paraId="5E1D83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本体安装、校正、单体调整等内容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EA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66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647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E3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D084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D142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5C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5口千兆交换机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28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名称：5口交换机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：5口千兆交换机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本体安装、校正、单体调整等内容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71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25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54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AB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F09A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6F1A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D3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口千兆POE交换机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5DE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名称：8口POE交换机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：8口千兆PO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E</w:t>
            </w:r>
          </w:p>
          <w:p w14:paraId="542896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本体安装、校正、单体调整等内容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5F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E1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4F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B5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D4C7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7239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DC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室外不锈钢防水箱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72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名称：防水箱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规格：40*30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本地安装、校正、单体调整等内容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99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19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71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7B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A260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7E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9C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6芯室外复合光缆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D5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名称：光缆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规格型号：6芯轻铠</w:t>
            </w:r>
          </w:p>
          <w:p w14:paraId="42E9351F">
            <w:pPr>
              <w:pStyle w:val="4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带2X1.5电源线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E2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米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DC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500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47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9B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2B6B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9B3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B3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超五类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网线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2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名称：室外护套网线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配线形式：暗配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型号：超5类网线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材质：铜芯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E1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箱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93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C6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31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50EC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55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E8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路由器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A0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满足道闸及监控外网连接需要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35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A4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99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BC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6317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EB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DF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施工费调试费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A8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包含安装，调试、开沟、预埋、熔纤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69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E7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78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FC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3B7E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90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8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辅材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19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包含PVC管、软管、水晶头、扎带、插排等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39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48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EE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86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6867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9D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EB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抓拍识别一体机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76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抓拍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识别一体机、道闸收费系统需并确保与公司原收费大华平台对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接成功，中标人可采用设备与平台或平台与平台的两种方式对接，相关对接费用由中标人承担，如对接不成功，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所有损失由中标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自行承担并赔偿由此造成的损失。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D3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58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6B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E8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BEF0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A2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B0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直杆道闸机箱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73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道闸机箱需带防砸雷达，需与抓拍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识别一体机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对接保证正常使用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D4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1D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00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6E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F69A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F0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8E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安全岛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50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混凝土安全岛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01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B7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4B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22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AE80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02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4F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设备箱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78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用于放置监控录像机等设备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07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FB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5B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0A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5019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C4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1C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互联网专线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50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外网专线100兆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25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年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A1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2E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CF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A697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27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77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护栏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D2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材质：不锈钢管   高度：1米  颜色：白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0F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EF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CF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81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EF42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38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B7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停车位与指示标线</w:t>
            </w:r>
          </w:p>
        </w:tc>
        <w:tc>
          <w:tcPr>
            <w:tcW w:w="4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47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共22个停车位，每个停车位长宽为5.5*2.6米 、车辆进出场指示箭头标线</w:t>
            </w:r>
          </w:p>
          <w:p w14:paraId="41A57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材料：热熔涂料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80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批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F6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A1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2C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8199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5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AC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合价（1+2+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highlight w:val="none"/>
                <w:lang w:val="en-US" w:eastAsia="zh-CN"/>
              </w:rPr>
              <w:t>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+20）：         元</w:t>
            </w:r>
          </w:p>
        </w:tc>
      </w:tr>
      <w:tr w14:paraId="0A6CF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5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45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总计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（一+二）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：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元</w:t>
            </w:r>
          </w:p>
        </w:tc>
      </w:tr>
    </w:tbl>
    <w:p w14:paraId="2F6D3779"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注：</w:t>
      </w:r>
    </w:p>
    <w:p w14:paraId="1BD11713"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1.本清单内容仅供参考，具体所需材料以现场实际为准。</w:t>
      </w:r>
    </w:p>
    <w:p w14:paraId="6E9285D0"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Chars="0"/>
        <w:jc w:val="both"/>
        <w:textAlignment w:val="auto"/>
        <w:rPr>
          <w:rFonts w:hint="default" w:ascii="宋体" w:hAnsi="宋体" w:eastAsia="宋体" w:cs="宋体"/>
          <w:b/>
          <w:bCs/>
          <w:color w:val="0000FF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2.本项目为交钥匙项目，所有和项目相关的事项全部包含在项目中，如果需要其他配件、线材、施工以及第三方对接配合工作需要支付费用等，需要投标人全部考虑，招标人不另外支付任何费用，全部由中标人提供。如投标人使用除招标人现有大华停车平台的其他平台，投标人需按招标人提供的平台对外接口自行评估研发对接，平台相关对接、咨询等费用约8000元，需由中标人承担，对接完成后的停车平台免费给招标人使用</w:t>
      </w:r>
      <w:r>
        <w:rPr>
          <w:rFonts w:hint="eastAsia" w:ascii="宋体" w:hAnsi="宋体" w:eastAsia="宋体" w:cs="宋体"/>
          <w:b/>
          <w:bCs/>
          <w:color w:val="0000FF"/>
          <w:kern w:val="0"/>
          <w:sz w:val="21"/>
          <w:szCs w:val="21"/>
          <w:highlight w:val="none"/>
          <w:lang w:val="en-US" w:eastAsia="zh-CN" w:bidi="ar-SA"/>
        </w:rPr>
        <w:t>（中标设备</w:t>
      </w:r>
      <w:bookmarkStart w:id="3" w:name="_GoBack"/>
      <w:bookmarkEnd w:id="3"/>
      <w:r>
        <w:rPr>
          <w:rFonts w:hint="eastAsia" w:ascii="宋体" w:hAnsi="宋体" w:eastAsia="宋体" w:cs="宋体"/>
          <w:b/>
          <w:bCs/>
          <w:color w:val="0000FF"/>
          <w:kern w:val="0"/>
          <w:sz w:val="21"/>
          <w:szCs w:val="21"/>
          <w:highlight w:val="none"/>
          <w:lang w:val="en-US" w:eastAsia="zh-CN" w:bidi="ar-SA"/>
        </w:rPr>
        <w:t>平台</w:t>
      </w:r>
      <w:r>
        <w:rPr>
          <w:rFonts w:hint="eastAsia" w:cs="宋体"/>
          <w:b/>
          <w:bCs/>
          <w:color w:val="0000FF"/>
          <w:kern w:val="0"/>
          <w:sz w:val="21"/>
          <w:szCs w:val="21"/>
          <w:highlight w:val="none"/>
          <w:lang w:val="en-US" w:eastAsia="zh-CN" w:bidi="ar-SA"/>
        </w:rPr>
        <w:t>永久</w:t>
      </w:r>
      <w:r>
        <w:rPr>
          <w:rFonts w:hint="eastAsia" w:ascii="宋体" w:hAnsi="宋体" w:eastAsia="宋体" w:cs="宋体"/>
          <w:b/>
          <w:bCs/>
          <w:color w:val="0000FF"/>
          <w:kern w:val="0"/>
          <w:sz w:val="21"/>
          <w:szCs w:val="21"/>
          <w:highlight w:val="none"/>
          <w:lang w:val="en-US" w:eastAsia="zh-CN" w:bidi="ar-SA"/>
        </w:rPr>
        <w:t>免费供招标人使用）。</w:t>
      </w:r>
    </w:p>
    <w:p w14:paraId="6B481687">
      <w:pPr>
        <w:rPr>
          <w:rFonts w:hint="default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3.本项目整体质保期五年。</w:t>
      </w:r>
    </w:p>
    <w:p w14:paraId="4011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宋体"/>
          <w:color w:val="auto"/>
          <w:sz w:val="24"/>
          <w:highlight w:val="none"/>
        </w:rPr>
      </w:pPr>
    </w:p>
    <w:p w14:paraId="337DA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宋体"/>
          <w:color w:val="auto"/>
          <w:sz w:val="24"/>
          <w:highlight w:val="none"/>
        </w:rPr>
      </w:pPr>
      <w:r>
        <w:rPr>
          <w:rFonts w:hint="eastAsia" w:ascii="宋体"/>
          <w:color w:val="auto"/>
          <w:sz w:val="24"/>
          <w:highlight w:val="none"/>
        </w:rPr>
        <w:t>投标人名称：</w:t>
      </w:r>
      <w:r>
        <w:rPr>
          <w:rFonts w:hint="eastAsia" w:ascii="宋体"/>
          <w:color w:val="auto"/>
          <w:sz w:val="24"/>
          <w:highlight w:val="none"/>
          <w:u w:val="single"/>
        </w:rPr>
        <w:t xml:space="preserve">                        </w:t>
      </w:r>
      <w:r>
        <w:rPr>
          <w:rFonts w:hint="eastAsia" w:ascii="宋体"/>
          <w:color w:val="auto"/>
          <w:sz w:val="24"/>
          <w:highlight w:val="none"/>
        </w:rPr>
        <w:t>（盖单位章）</w:t>
      </w:r>
    </w:p>
    <w:p w14:paraId="49062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宋体"/>
          <w:color w:val="auto"/>
          <w:sz w:val="24"/>
          <w:highlight w:val="none"/>
        </w:rPr>
      </w:pPr>
      <w:r>
        <w:rPr>
          <w:rFonts w:hint="eastAsia" w:ascii="宋体"/>
          <w:color w:val="auto"/>
          <w:sz w:val="24"/>
          <w:highlight w:val="none"/>
        </w:rPr>
        <w:t>投标人法定代表人：</w:t>
      </w:r>
      <w:r>
        <w:rPr>
          <w:rFonts w:hint="eastAsia" w:ascii="宋体"/>
          <w:color w:val="auto"/>
          <w:sz w:val="24"/>
          <w:highlight w:val="none"/>
          <w:u w:val="single"/>
        </w:rPr>
        <w:t xml:space="preserve">                      </w:t>
      </w:r>
      <w:r>
        <w:rPr>
          <w:rFonts w:hint="eastAsia" w:ascii="宋体"/>
          <w:color w:val="auto"/>
          <w:sz w:val="24"/>
          <w:highlight w:val="none"/>
        </w:rPr>
        <w:t>（签字或盖章）</w:t>
      </w:r>
    </w:p>
    <w:p w14:paraId="6C9F1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60" w:firstLineChars="14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/>
          <w:color w:val="auto"/>
          <w:sz w:val="24"/>
          <w:highlight w:val="none"/>
        </w:rPr>
        <w:t>日    期：</w:t>
      </w:r>
      <w:r>
        <w:rPr>
          <w:rFonts w:hint="eastAsia" w:ascii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/>
          <w:color w:val="auto"/>
          <w:sz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/>
          <w:color w:val="auto"/>
          <w:sz w:val="24"/>
          <w:highlight w:val="none"/>
          <w:u w:val="single"/>
        </w:rPr>
        <w:t xml:space="preserve">       </w:t>
      </w:r>
    </w:p>
    <w:sectPr>
      <w:footerReference r:id="rId3" w:type="default"/>
      <w:pgSz w:w="11906" w:h="16838"/>
      <w:pgMar w:top="1440" w:right="1486" w:bottom="1118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07D24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4BE44C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4BE44C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TM2MTIyODI3Njc5MTE5MDBiNjA4NzIzYTUzZmEifQ=="/>
  </w:docVars>
  <w:rsids>
    <w:rsidRoot w:val="00000000"/>
    <w:rsid w:val="03032FC6"/>
    <w:rsid w:val="0502495C"/>
    <w:rsid w:val="05D435B9"/>
    <w:rsid w:val="067A4AB3"/>
    <w:rsid w:val="074A4C41"/>
    <w:rsid w:val="07C03DF5"/>
    <w:rsid w:val="07C705B0"/>
    <w:rsid w:val="08817C86"/>
    <w:rsid w:val="095760A3"/>
    <w:rsid w:val="0B6D3772"/>
    <w:rsid w:val="0F1D1B2D"/>
    <w:rsid w:val="0F421593"/>
    <w:rsid w:val="13097583"/>
    <w:rsid w:val="13DD17A2"/>
    <w:rsid w:val="145A66DC"/>
    <w:rsid w:val="15955F77"/>
    <w:rsid w:val="16A85F9B"/>
    <w:rsid w:val="17C074F9"/>
    <w:rsid w:val="184A1698"/>
    <w:rsid w:val="18F25DD8"/>
    <w:rsid w:val="190A203B"/>
    <w:rsid w:val="19701758"/>
    <w:rsid w:val="19C239FC"/>
    <w:rsid w:val="1A227F82"/>
    <w:rsid w:val="1AFF2A2E"/>
    <w:rsid w:val="1B5508A0"/>
    <w:rsid w:val="1B9F6DCF"/>
    <w:rsid w:val="200F54C2"/>
    <w:rsid w:val="205E4873"/>
    <w:rsid w:val="20F5363A"/>
    <w:rsid w:val="22CB57CA"/>
    <w:rsid w:val="23061CBA"/>
    <w:rsid w:val="26E211A5"/>
    <w:rsid w:val="29C1032D"/>
    <w:rsid w:val="2A07545B"/>
    <w:rsid w:val="2AC46EA9"/>
    <w:rsid w:val="30442F65"/>
    <w:rsid w:val="306252E1"/>
    <w:rsid w:val="31C1293E"/>
    <w:rsid w:val="3314728E"/>
    <w:rsid w:val="339D3397"/>
    <w:rsid w:val="34522D23"/>
    <w:rsid w:val="37324941"/>
    <w:rsid w:val="398B4D43"/>
    <w:rsid w:val="3A55560D"/>
    <w:rsid w:val="3A9C1B53"/>
    <w:rsid w:val="3E7517D6"/>
    <w:rsid w:val="40E07444"/>
    <w:rsid w:val="427F34B3"/>
    <w:rsid w:val="43A44C59"/>
    <w:rsid w:val="463158E2"/>
    <w:rsid w:val="476C37B7"/>
    <w:rsid w:val="47A03037"/>
    <w:rsid w:val="48E629B4"/>
    <w:rsid w:val="4B344863"/>
    <w:rsid w:val="4BAD226C"/>
    <w:rsid w:val="4F507DCE"/>
    <w:rsid w:val="4F7008BB"/>
    <w:rsid w:val="502803A8"/>
    <w:rsid w:val="50A0169A"/>
    <w:rsid w:val="51833C8B"/>
    <w:rsid w:val="51881171"/>
    <w:rsid w:val="51C82AAA"/>
    <w:rsid w:val="53424C8B"/>
    <w:rsid w:val="54FA1251"/>
    <w:rsid w:val="55E75C3D"/>
    <w:rsid w:val="56A417B8"/>
    <w:rsid w:val="57DA3120"/>
    <w:rsid w:val="57FE3181"/>
    <w:rsid w:val="58407763"/>
    <w:rsid w:val="598906C4"/>
    <w:rsid w:val="5A6C083F"/>
    <w:rsid w:val="5C052EEE"/>
    <w:rsid w:val="5C0D7E00"/>
    <w:rsid w:val="5CB027E9"/>
    <w:rsid w:val="5D270575"/>
    <w:rsid w:val="5E8E2024"/>
    <w:rsid w:val="5EBD1C25"/>
    <w:rsid w:val="5F4D624B"/>
    <w:rsid w:val="5F64377A"/>
    <w:rsid w:val="606D2A5B"/>
    <w:rsid w:val="60CA3DCC"/>
    <w:rsid w:val="60DD2497"/>
    <w:rsid w:val="61A378DA"/>
    <w:rsid w:val="623F4B3D"/>
    <w:rsid w:val="6447083E"/>
    <w:rsid w:val="667A00AA"/>
    <w:rsid w:val="67401828"/>
    <w:rsid w:val="6913775F"/>
    <w:rsid w:val="6A1A537F"/>
    <w:rsid w:val="6B1271E1"/>
    <w:rsid w:val="6CE40709"/>
    <w:rsid w:val="6DDE3405"/>
    <w:rsid w:val="6DEA39B7"/>
    <w:rsid w:val="71407A8B"/>
    <w:rsid w:val="72C83CED"/>
    <w:rsid w:val="73133AF6"/>
    <w:rsid w:val="740B154A"/>
    <w:rsid w:val="754565B6"/>
    <w:rsid w:val="756177C8"/>
    <w:rsid w:val="75C62CE0"/>
    <w:rsid w:val="763069B5"/>
    <w:rsid w:val="77FF27AC"/>
    <w:rsid w:val="79770AC6"/>
    <w:rsid w:val="7AAB317C"/>
    <w:rsid w:val="7D0A5632"/>
    <w:rsid w:val="7D351779"/>
    <w:rsid w:val="7F924BD0"/>
    <w:rsid w:val="7FE86F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iPriority="39" w:semiHidden="0" w:name="toc 7"/>
    <w:lsdException w:qFormat="1" w:unhideWhenUsed="0" w:uiPriority="39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kern w:val="44"/>
      <w:sz w:val="24"/>
      <w:szCs w:val="24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1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0"/>
    <w:pPr>
      <w:ind w:left="600" w:leftChars="600"/>
    </w:pPr>
    <w:rPr>
      <w:rFonts w:ascii="Times New Roman" w:hAnsi="Times New Roman" w:eastAsia="宋体" w:cs="Times New Roman"/>
    </w:rPr>
  </w:style>
  <w:style w:type="paragraph" w:styleId="5">
    <w:name w:val="toc 7"/>
    <w:basedOn w:val="1"/>
    <w:next w:val="1"/>
    <w:unhideWhenUsed/>
    <w:qFormat/>
    <w:uiPriority w:val="39"/>
    <w:pPr>
      <w:ind w:left="1260"/>
      <w:jc w:val="left"/>
    </w:pPr>
    <w:rPr>
      <w:sz w:val="18"/>
      <w:szCs w:val="18"/>
    </w:rPr>
  </w:style>
  <w:style w:type="paragraph" w:styleId="6">
    <w:name w:val="Body Text"/>
    <w:basedOn w:val="1"/>
    <w:qFormat/>
    <w:uiPriority w:val="0"/>
    <w:pPr>
      <w:spacing w:after="120"/>
    </w:pPr>
    <w:rPr>
      <w:rFonts w:ascii="@微软简标宋" w:hAnsi="@微软简标宋" w:eastAsia="@微软简标宋" w:cs="@微软简标宋"/>
      <w:szCs w:val="24"/>
      <w:lang w:val="zh-CN"/>
    </w:rPr>
  </w:style>
  <w:style w:type="paragraph" w:styleId="7">
    <w:name w:val="Body Text Indent"/>
    <w:basedOn w:val="1"/>
    <w:next w:val="8"/>
    <w:qFormat/>
    <w:uiPriority w:val="0"/>
    <w:pPr>
      <w:spacing w:after="120"/>
      <w:ind w:left="200" w:leftChars="200"/>
    </w:pPr>
  </w:style>
  <w:style w:type="paragraph" w:styleId="8">
    <w:name w:val="envelope return"/>
    <w:basedOn w:val="1"/>
    <w:next w:val="5"/>
    <w:qFormat/>
    <w:uiPriority w:val="0"/>
    <w:pPr>
      <w:snapToGrid w:val="0"/>
    </w:pPr>
    <w:rPr>
      <w:rFonts w:ascii="Arial" w:hAnsi="Arial"/>
    </w:rPr>
  </w:style>
  <w:style w:type="paragraph" w:styleId="9">
    <w:name w:val="toc 8"/>
    <w:basedOn w:val="1"/>
    <w:next w:val="1"/>
    <w:qFormat/>
    <w:uiPriority w:val="39"/>
    <w:pPr>
      <w:ind w:left="1470"/>
      <w:jc w:val="left"/>
    </w:pPr>
    <w:rPr>
      <w:rFonts w:ascii="Calibri" w:hAnsi="Calibri"/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6"/>
    <w:next w:val="1"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7"/>
    <w:next w:val="1"/>
    <w:qFormat/>
    <w:uiPriority w:val="0"/>
    <w:pPr>
      <w:ind w:left="420" w:firstLine="420" w:firstLineChars="200"/>
    </w:p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FollowedHyperlink"/>
    <w:basedOn w:val="16"/>
    <w:qFormat/>
    <w:uiPriority w:val="0"/>
    <w:rPr>
      <w:color w:val="800080"/>
      <w:u w:val="none"/>
    </w:rPr>
  </w:style>
  <w:style w:type="character" w:styleId="19">
    <w:name w:val="Emphasis"/>
    <w:basedOn w:val="16"/>
    <w:qFormat/>
    <w:uiPriority w:val="0"/>
    <w:rPr>
      <w:b/>
      <w:bCs/>
    </w:rPr>
  </w:style>
  <w:style w:type="character" w:styleId="20">
    <w:name w:val="HTML Definition"/>
    <w:basedOn w:val="16"/>
    <w:qFormat/>
    <w:uiPriority w:val="0"/>
  </w:style>
  <w:style w:type="character" w:styleId="21">
    <w:name w:val="HTML Typewriter"/>
    <w:basedOn w:val="16"/>
    <w:qFormat/>
    <w:uiPriority w:val="0"/>
    <w:rPr>
      <w:rFonts w:ascii="monospace" w:hAnsi="monospace" w:eastAsia="monospace" w:cs="monospace"/>
      <w:sz w:val="20"/>
    </w:rPr>
  </w:style>
  <w:style w:type="character" w:styleId="22">
    <w:name w:val="HTML Acronym"/>
    <w:basedOn w:val="16"/>
    <w:qFormat/>
    <w:uiPriority w:val="0"/>
  </w:style>
  <w:style w:type="character" w:styleId="23">
    <w:name w:val="HTML Variable"/>
    <w:basedOn w:val="16"/>
    <w:qFormat/>
    <w:uiPriority w:val="0"/>
  </w:style>
  <w:style w:type="character" w:styleId="24">
    <w:name w:val="Hyperlink"/>
    <w:basedOn w:val="16"/>
    <w:qFormat/>
    <w:uiPriority w:val="0"/>
    <w:rPr>
      <w:color w:val="0000FF"/>
      <w:u w:val="none"/>
    </w:rPr>
  </w:style>
  <w:style w:type="character" w:styleId="25">
    <w:name w:val="HTML Code"/>
    <w:basedOn w:val="16"/>
    <w:qFormat/>
    <w:uiPriority w:val="0"/>
    <w:rPr>
      <w:rFonts w:hint="default" w:ascii="monospace" w:hAnsi="monospace" w:eastAsia="monospace" w:cs="monospace"/>
      <w:sz w:val="20"/>
    </w:rPr>
  </w:style>
  <w:style w:type="character" w:styleId="26">
    <w:name w:val="HTML Cite"/>
    <w:basedOn w:val="16"/>
    <w:qFormat/>
    <w:uiPriority w:val="0"/>
  </w:style>
  <w:style w:type="character" w:styleId="27">
    <w:name w:val="HTML Keyboard"/>
    <w:basedOn w:val="16"/>
    <w:qFormat/>
    <w:uiPriority w:val="0"/>
    <w:rPr>
      <w:rFonts w:hint="default" w:ascii="monospace" w:hAnsi="monospace" w:eastAsia="monospace" w:cs="monospace"/>
      <w:sz w:val="20"/>
    </w:rPr>
  </w:style>
  <w:style w:type="character" w:styleId="28">
    <w:name w:val="HTML Sample"/>
    <w:basedOn w:val="16"/>
    <w:qFormat/>
    <w:uiPriority w:val="0"/>
    <w:rPr>
      <w:rFonts w:hint="default" w:ascii="monospace" w:hAnsi="monospace" w:eastAsia="monospace" w:cs="monospace"/>
    </w:rPr>
  </w:style>
  <w:style w:type="paragraph" w:customStyle="1" w:styleId="29">
    <w:name w:val="BodyText1I2"/>
    <w:basedOn w:val="30"/>
    <w:next w:val="1"/>
    <w:qFormat/>
    <w:uiPriority w:val="0"/>
    <w:pPr>
      <w:ind w:firstLine="420" w:firstLineChars="200"/>
    </w:pPr>
  </w:style>
  <w:style w:type="paragraph" w:customStyle="1" w:styleId="30">
    <w:name w:val="BodyTextIndent"/>
    <w:basedOn w:val="1"/>
    <w:qFormat/>
    <w:uiPriority w:val="0"/>
    <w:pPr>
      <w:spacing w:after="120"/>
      <w:ind w:left="420" w:leftChars="200"/>
      <w:textAlignment w:val="baseline"/>
    </w:pPr>
  </w:style>
  <w:style w:type="paragraph" w:customStyle="1" w:styleId="31">
    <w:name w:val="表格文字"/>
    <w:basedOn w:val="7"/>
    <w:next w:val="6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character" w:customStyle="1" w:styleId="32">
    <w:name w:val="first-child"/>
    <w:basedOn w:val="16"/>
    <w:qFormat/>
    <w:uiPriority w:val="0"/>
  </w:style>
  <w:style w:type="character" w:customStyle="1" w:styleId="33">
    <w:name w:val="layui-this"/>
    <w:basedOn w:val="16"/>
    <w:qFormat/>
    <w:uiPriority w:val="0"/>
    <w:rPr>
      <w:bdr w:val="single" w:color="EEEEEE" w:sz="6" w:space="0"/>
      <w:shd w:val="clear" w:color="auto" w:fill="FFFFFF"/>
    </w:rPr>
  </w:style>
  <w:style w:type="character" w:customStyle="1" w:styleId="34">
    <w:name w:val="hover"/>
    <w:basedOn w:val="16"/>
    <w:qFormat/>
    <w:uiPriority w:val="0"/>
    <w:rPr>
      <w:color w:val="2590EB"/>
      <w:shd w:val="clear" w:color="auto" w:fill="E9F4FD"/>
    </w:rPr>
  </w:style>
  <w:style w:type="character" w:customStyle="1" w:styleId="35">
    <w:name w:val="hover1"/>
    <w:basedOn w:val="16"/>
    <w:qFormat/>
    <w:uiPriority w:val="0"/>
    <w:rPr>
      <w:color w:val="2590EB"/>
    </w:rPr>
  </w:style>
  <w:style w:type="character" w:customStyle="1" w:styleId="36">
    <w:name w:val="hover2"/>
    <w:basedOn w:val="16"/>
    <w:qFormat/>
    <w:uiPriority w:val="0"/>
    <w:rPr>
      <w:color w:val="2590EB"/>
    </w:rPr>
  </w:style>
  <w:style w:type="character" w:customStyle="1" w:styleId="37">
    <w:name w:val="hover3"/>
    <w:basedOn w:val="16"/>
    <w:qFormat/>
    <w:uiPriority w:val="0"/>
  </w:style>
  <w:style w:type="character" w:customStyle="1" w:styleId="38">
    <w:name w:val="mini-outputtext1"/>
    <w:basedOn w:val="16"/>
    <w:qFormat/>
    <w:uiPriority w:val="0"/>
  </w:style>
  <w:style w:type="character" w:customStyle="1" w:styleId="39">
    <w:name w:val="hover4"/>
    <w:basedOn w:val="16"/>
    <w:qFormat/>
    <w:uiPriority w:val="0"/>
    <w:rPr>
      <w:color w:val="2590EB"/>
      <w:shd w:val="clear" w:color="auto" w:fill="E9F4FD"/>
    </w:rPr>
  </w:style>
  <w:style w:type="paragraph" w:customStyle="1" w:styleId="40">
    <w:name w:val="TableOfAuthoring"/>
    <w:basedOn w:val="1"/>
    <w:qFormat/>
    <w:uiPriority w:val="0"/>
    <w:pPr>
      <w:ind w:left="420" w:leftChars="200"/>
    </w:pPr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2697</Words>
  <Characters>3067</Characters>
  <Lines>0</Lines>
  <Paragraphs>0</Paragraphs>
  <TotalTime>5</TotalTime>
  <ScaleCrop>false</ScaleCrop>
  <LinksUpToDate>false</LinksUpToDate>
  <CharactersWithSpaces>3216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2023-12-29T02:19:00Z</dcterms:created>
  <dc:creator>Administrator</dc:creator>
  <cp:lastModifiedBy>LGTN</cp:lastModifiedBy>
  <dcterms:modified xsi:type="dcterms:W3CDTF">2026-09-08T01:08:54Z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D3B06881BBFC4E74BBB34E34DA229462_13</vt:lpwstr>
  </property>
  <property fmtid="{D5CDD505-2E9C-101B-9397-08002B2CF9AE}" pid="4" name="KSOTemplateDocerSaveRecord">
    <vt:lpwstr>eyJoZGlkIjoiN2QzYjJiNzdiZGQ0ZDgxOWExOGI5ZjQ5OTM0MDdjYjIiLCJ1c2VySWQiOiIxNTc5NDY4NTQ3In0=</vt:lpwstr>
  </property>
</Properties>
</file>