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0D3065">
      <w:pPr>
        <w:ind w:right="-315" w:rightChars="-150"/>
        <w:jc w:val="center"/>
        <w:rPr>
          <w:rFonts w:ascii="仿宋" w:hAnsi="仿宋" w:eastAsia="仿宋" w:cs="仿宋"/>
          <w:b/>
          <w:bCs/>
          <w:color w:val="auto"/>
          <w:sz w:val="92"/>
          <w:szCs w:val="92"/>
          <w:highlight w:val="none"/>
          <w:u w:val="single"/>
          <w:vertAlign w:val="subscript"/>
        </w:rPr>
      </w:pPr>
    </w:p>
    <w:p w14:paraId="39327382">
      <w:pPr>
        <w:spacing w:line="400" w:lineRule="atLeast"/>
        <w:jc w:val="center"/>
        <w:rPr>
          <w:rFonts w:hint="eastAsia" w:ascii="宋体" w:hAnsi="宋体" w:eastAsia="宋体" w:cs="宋体"/>
          <w:b/>
          <w:color w:val="auto"/>
          <w:spacing w:val="-10"/>
          <w:sz w:val="52"/>
          <w:szCs w:val="52"/>
          <w:highlight w:val="none"/>
        </w:rPr>
      </w:pPr>
      <w:r>
        <w:rPr>
          <w:rFonts w:hint="eastAsia" w:ascii="宋体" w:hAnsi="宋体" w:cs="宋体"/>
          <w:b/>
          <w:color w:val="auto"/>
          <w:spacing w:val="-10"/>
          <w:sz w:val="52"/>
          <w:szCs w:val="52"/>
          <w:highlight w:val="none"/>
          <w:lang w:val="en-US" w:eastAsia="zh-CN"/>
        </w:rPr>
        <w:t>工投科技产业园1号厂房变压器及配套设备采购及安装项目</w:t>
      </w:r>
      <w:r>
        <w:rPr>
          <w:rFonts w:hint="eastAsia" w:ascii="宋体" w:hAnsi="宋体" w:eastAsia="宋体" w:cs="宋体"/>
          <w:b/>
          <w:color w:val="auto"/>
          <w:spacing w:val="-10"/>
          <w:sz w:val="52"/>
          <w:szCs w:val="52"/>
          <w:highlight w:val="none"/>
          <w:lang w:val="en-US" w:eastAsia="zh-CN"/>
        </w:rPr>
        <w:t xml:space="preserve"> </w:t>
      </w:r>
    </w:p>
    <w:p w14:paraId="3D25F2EF">
      <w:pPr>
        <w:spacing w:line="400" w:lineRule="atLeast"/>
        <w:jc w:val="center"/>
        <w:rPr>
          <w:rFonts w:hint="eastAsia" w:ascii="宋体" w:hAnsi="宋体" w:eastAsia="宋体" w:cs="宋体"/>
          <w:b/>
          <w:color w:val="auto"/>
          <w:spacing w:val="-10"/>
          <w:sz w:val="52"/>
          <w:szCs w:val="52"/>
          <w:highlight w:val="none"/>
        </w:rPr>
      </w:pPr>
    </w:p>
    <w:p w14:paraId="340C8F43">
      <w:pPr>
        <w:spacing w:line="400" w:lineRule="atLeast"/>
        <w:jc w:val="center"/>
        <w:rPr>
          <w:rFonts w:hint="eastAsia" w:ascii="宋体" w:hAnsi="宋体" w:eastAsia="宋体" w:cs="宋体"/>
          <w:b/>
          <w:color w:val="auto"/>
          <w:spacing w:val="-10"/>
          <w:sz w:val="52"/>
          <w:szCs w:val="52"/>
          <w:highlight w:val="none"/>
        </w:rPr>
      </w:pPr>
    </w:p>
    <w:p w14:paraId="3A555F97">
      <w:pPr>
        <w:spacing w:line="400" w:lineRule="atLeast"/>
        <w:jc w:val="center"/>
        <w:rPr>
          <w:rFonts w:hint="eastAsia" w:ascii="宋体" w:hAnsi="宋体" w:eastAsia="宋体" w:cs="宋体"/>
          <w:b/>
          <w:color w:val="auto"/>
          <w:spacing w:val="-10"/>
          <w:sz w:val="52"/>
          <w:szCs w:val="52"/>
          <w:highlight w:val="none"/>
        </w:rPr>
      </w:pPr>
    </w:p>
    <w:p w14:paraId="793FBCB7">
      <w:pPr>
        <w:spacing w:line="400" w:lineRule="atLeast"/>
        <w:jc w:val="center"/>
        <w:rPr>
          <w:rFonts w:hint="eastAsia" w:ascii="宋体" w:hAnsi="宋体" w:eastAsia="宋体" w:cs="宋体"/>
          <w:b/>
          <w:bCs/>
          <w:color w:val="auto"/>
          <w:sz w:val="98"/>
          <w:highlight w:val="none"/>
        </w:rPr>
      </w:pPr>
      <w:r>
        <w:rPr>
          <w:rFonts w:hint="eastAsia" w:ascii="宋体" w:hAnsi="宋体" w:eastAsia="宋体" w:cs="宋体"/>
          <w:b/>
          <w:bCs/>
          <w:color w:val="auto"/>
          <w:sz w:val="98"/>
          <w:highlight w:val="none"/>
          <w:lang w:eastAsia="zh-CN"/>
        </w:rPr>
        <w:t>招</w:t>
      </w:r>
      <w:r>
        <w:rPr>
          <w:rFonts w:hint="eastAsia" w:ascii="宋体" w:hAnsi="宋体" w:eastAsia="宋体" w:cs="宋体"/>
          <w:b/>
          <w:bCs/>
          <w:color w:val="auto"/>
          <w:sz w:val="98"/>
          <w:highlight w:val="none"/>
          <w:lang w:val="en-US" w:eastAsia="zh-CN"/>
        </w:rPr>
        <w:t xml:space="preserve"> </w:t>
      </w:r>
      <w:r>
        <w:rPr>
          <w:rFonts w:hint="eastAsia" w:ascii="宋体" w:hAnsi="宋体" w:eastAsia="宋体" w:cs="宋体"/>
          <w:b/>
          <w:bCs/>
          <w:color w:val="auto"/>
          <w:sz w:val="98"/>
          <w:highlight w:val="none"/>
          <w:lang w:eastAsia="zh-CN"/>
        </w:rPr>
        <w:t>标</w:t>
      </w:r>
      <w:r>
        <w:rPr>
          <w:rFonts w:hint="eastAsia" w:ascii="宋体" w:hAnsi="宋体" w:eastAsia="宋体" w:cs="宋体"/>
          <w:b/>
          <w:bCs/>
          <w:color w:val="auto"/>
          <w:sz w:val="98"/>
          <w:highlight w:val="none"/>
        </w:rPr>
        <w:t xml:space="preserve"> 文 件</w:t>
      </w:r>
    </w:p>
    <w:p w14:paraId="11101DE5">
      <w:pPr>
        <w:spacing w:line="400" w:lineRule="atLeast"/>
        <w:ind w:firstLine="3694" w:firstLineChars="1150"/>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 xml:space="preserve"> </w:t>
      </w:r>
      <w:r>
        <w:rPr>
          <w:rFonts w:hint="eastAsia" w:ascii="宋体" w:hAnsi="宋体" w:eastAsia="宋体" w:cs="宋体"/>
          <w:b/>
          <w:color w:val="auto"/>
          <w:sz w:val="32"/>
          <w:highlight w:val="none"/>
          <w:lang w:eastAsia="zh-CN"/>
        </w:rPr>
        <w:t>（</w:t>
      </w:r>
      <w:r>
        <w:rPr>
          <w:rFonts w:hint="eastAsia" w:ascii="宋体" w:hAnsi="宋体" w:eastAsia="宋体" w:cs="宋体"/>
          <w:b/>
          <w:color w:val="auto"/>
          <w:sz w:val="32"/>
          <w:highlight w:val="none"/>
          <w:lang w:val="en-US" w:eastAsia="zh-CN"/>
        </w:rPr>
        <w:t>公开招标）</w:t>
      </w:r>
    </w:p>
    <w:p w14:paraId="2CC6DB1D">
      <w:pPr>
        <w:spacing w:line="480" w:lineRule="exact"/>
        <w:rPr>
          <w:rFonts w:hint="eastAsia" w:ascii="宋体" w:hAnsi="宋体" w:eastAsia="宋体" w:cs="宋体"/>
          <w:b/>
          <w:bCs/>
          <w:color w:val="auto"/>
          <w:sz w:val="44"/>
          <w:highlight w:val="none"/>
        </w:rPr>
      </w:pPr>
    </w:p>
    <w:p w14:paraId="4DF7EE22">
      <w:pPr>
        <w:spacing w:line="480" w:lineRule="exact"/>
        <w:ind w:firstLine="643" w:firstLineChars="200"/>
        <w:jc w:val="center"/>
        <w:rPr>
          <w:rFonts w:hint="eastAsia" w:ascii="宋体" w:hAnsi="宋体" w:eastAsia="宋体" w:cs="宋体"/>
          <w:b/>
          <w:bCs/>
          <w:color w:val="auto"/>
          <w:sz w:val="32"/>
          <w:highlight w:val="none"/>
        </w:rPr>
      </w:pPr>
    </w:p>
    <w:p w14:paraId="7D077592">
      <w:pPr>
        <w:spacing w:line="480" w:lineRule="exact"/>
        <w:ind w:firstLine="472" w:firstLineChars="147"/>
        <w:rPr>
          <w:rFonts w:hint="eastAsia" w:ascii="宋体" w:hAnsi="宋体" w:eastAsia="宋体" w:cs="宋体"/>
          <w:b/>
          <w:bCs/>
          <w:color w:val="auto"/>
          <w:sz w:val="32"/>
          <w:highlight w:val="none"/>
        </w:rPr>
      </w:pPr>
    </w:p>
    <w:p w14:paraId="7EB1F684">
      <w:pPr>
        <w:spacing w:line="480" w:lineRule="exact"/>
        <w:ind w:firstLine="472" w:firstLineChars="147"/>
        <w:rPr>
          <w:rFonts w:hint="eastAsia" w:ascii="宋体" w:hAnsi="宋体" w:eastAsia="宋体" w:cs="宋体"/>
          <w:b/>
          <w:bCs/>
          <w:color w:val="auto"/>
          <w:sz w:val="32"/>
          <w:highlight w:val="none"/>
        </w:rPr>
      </w:pPr>
    </w:p>
    <w:p w14:paraId="191C9979">
      <w:pPr>
        <w:spacing w:line="480" w:lineRule="exact"/>
        <w:ind w:firstLine="472" w:firstLineChars="147"/>
        <w:rPr>
          <w:rFonts w:hint="eastAsia" w:ascii="宋体" w:hAnsi="宋体" w:eastAsia="宋体" w:cs="宋体"/>
          <w:b/>
          <w:bCs/>
          <w:color w:val="auto"/>
          <w:sz w:val="32"/>
          <w:highlight w:val="none"/>
        </w:rPr>
      </w:pPr>
    </w:p>
    <w:p w14:paraId="31BA6E05">
      <w:pPr>
        <w:adjustRightInd w:val="0"/>
        <w:snapToGrid w:val="0"/>
        <w:ind w:firstLine="358" w:firstLineChars="94"/>
        <w:rPr>
          <w:rFonts w:hint="eastAsia" w:ascii="宋体" w:hAnsi="宋体" w:eastAsia="宋体" w:cs="宋体"/>
          <w:b/>
          <w:color w:val="auto"/>
          <w:sz w:val="32"/>
          <w:highlight w:val="none"/>
          <w:u w:val="thick"/>
          <w:lang w:val="en-US" w:eastAsia="zh-CN"/>
        </w:rPr>
      </w:pPr>
      <w:r>
        <w:rPr>
          <w:rFonts w:hint="eastAsia" w:ascii="宋体" w:hAnsi="宋体" w:eastAsia="宋体" w:cs="宋体"/>
          <w:b/>
          <w:color w:val="auto"/>
          <w:spacing w:val="30"/>
          <w:sz w:val="32"/>
          <w:szCs w:val="32"/>
          <w:highlight w:val="none"/>
        </w:rPr>
        <w:t>招  标  人:</w:t>
      </w:r>
      <w:r>
        <w:rPr>
          <w:rFonts w:hint="eastAsia" w:ascii="宋体" w:hAnsi="宋体" w:eastAsia="宋体" w:cs="宋体"/>
          <w:color w:val="auto"/>
          <w:sz w:val="32"/>
          <w:highlight w:val="none"/>
          <w:u w:val="thick"/>
        </w:rPr>
        <w:t xml:space="preserve"> </w:t>
      </w:r>
      <w:r>
        <w:rPr>
          <w:rFonts w:hint="eastAsia" w:ascii="宋体" w:hAnsi="宋体" w:eastAsia="宋体" w:cs="宋体"/>
          <w:b/>
          <w:color w:val="auto"/>
          <w:sz w:val="32"/>
          <w:highlight w:val="none"/>
          <w:u w:val="thick"/>
        </w:rPr>
        <w:t xml:space="preserve"> </w:t>
      </w:r>
      <w:r>
        <w:rPr>
          <w:rFonts w:hint="eastAsia" w:ascii="宋体" w:hAnsi="宋体" w:cs="宋体"/>
          <w:b/>
          <w:color w:val="auto"/>
          <w:sz w:val="32"/>
          <w:highlight w:val="none"/>
          <w:u w:val="thick"/>
          <w:lang w:val="en-US" w:eastAsia="zh-CN"/>
        </w:rPr>
        <w:t xml:space="preserve"> 滁州工投科技产业园发展有限公司 </w:t>
      </w:r>
      <w:r>
        <w:rPr>
          <w:rFonts w:hint="eastAsia" w:ascii="宋体" w:hAnsi="宋体" w:eastAsia="宋体" w:cs="宋体"/>
          <w:b/>
          <w:color w:val="auto"/>
          <w:sz w:val="32"/>
          <w:highlight w:val="none"/>
          <w:u w:val="thick"/>
          <w:lang w:eastAsia="zh-CN"/>
        </w:rPr>
        <w:t>（盖章）</w:t>
      </w:r>
    </w:p>
    <w:p w14:paraId="32B920EA">
      <w:pPr>
        <w:adjustRightInd w:val="0"/>
        <w:snapToGrid w:val="0"/>
        <w:ind w:firstLine="723" w:firstLineChars="200"/>
        <w:rPr>
          <w:rFonts w:hint="eastAsia" w:ascii="宋体" w:hAnsi="宋体" w:eastAsia="宋体" w:cs="宋体"/>
          <w:b/>
          <w:color w:val="auto"/>
          <w:spacing w:val="20"/>
          <w:sz w:val="32"/>
          <w:highlight w:val="none"/>
          <w:u w:val="single"/>
        </w:rPr>
      </w:pPr>
    </w:p>
    <w:p w14:paraId="7802E41D">
      <w:pPr>
        <w:adjustRightInd w:val="0"/>
        <w:snapToGrid w:val="0"/>
        <w:rPr>
          <w:rFonts w:hint="eastAsia" w:ascii="宋体" w:hAnsi="宋体" w:eastAsia="宋体" w:cs="宋体"/>
          <w:b/>
          <w:color w:val="auto"/>
          <w:spacing w:val="20"/>
          <w:sz w:val="32"/>
          <w:highlight w:val="none"/>
        </w:rPr>
      </w:pPr>
    </w:p>
    <w:p w14:paraId="29DB1655">
      <w:pPr>
        <w:adjustRightInd w:val="0"/>
        <w:snapToGrid w:val="0"/>
        <w:spacing w:line="460" w:lineRule="exact"/>
        <w:ind w:firstLine="315" w:firstLineChars="98"/>
        <w:rPr>
          <w:rFonts w:hint="eastAsia" w:ascii="宋体" w:hAnsi="宋体" w:eastAsia="宋体" w:cs="宋体"/>
          <w:b/>
          <w:color w:val="auto"/>
          <w:sz w:val="32"/>
          <w:highlight w:val="none"/>
          <w:u w:val="thick"/>
          <w:lang w:val="en-US" w:eastAsia="zh-CN"/>
        </w:rPr>
      </w:pPr>
      <w:r>
        <w:rPr>
          <w:rFonts w:hint="eastAsia" w:ascii="宋体" w:hAnsi="宋体" w:eastAsia="宋体" w:cs="宋体"/>
          <w:b/>
          <w:color w:val="auto"/>
          <w:spacing w:val="0"/>
          <w:sz w:val="32"/>
          <w:highlight w:val="none"/>
        </w:rPr>
        <w:t>招标代理机构:</w:t>
      </w:r>
      <w:r>
        <w:rPr>
          <w:rFonts w:hint="eastAsia" w:ascii="宋体" w:hAnsi="宋体" w:eastAsia="宋体" w:cs="宋体"/>
          <w:b/>
          <w:color w:val="auto"/>
          <w:sz w:val="32"/>
          <w:highlight w:val="none"/>
          <w:u w:val="thick"/>
          <w:lang w:val="en-US" w:eastAsia="zh-CN"/>
        </w:rPr>
        <w:t xml:space="preserve">    滁州市城投工程咨询管理有限公司 （盖章）</w:t>
      </w:r>
    </w:p>
    <w:p w14:paraId="7EE11B5C">
      <w:pPr>
        <w:adjustRightInd w:val="0"/>
        <w:snapToGrid w:val="0"/>
        <w:spacing w:line="460" w:lineRule="exact"/>
        <w:ind w:firstLine="315" w:firstLineChars="98"/>
        <w:rPr>
          <w:rFonts w:hint="eastAsia" w:ascii="宋体" w:hAnsi="宋体" w:eastAsia="宋体" w:cs="宋体"/>
          <w:b/>
          <w:color w:val="auto"/>
          <w:sz w:val="32"/>
          <w:highlight w:val="none"/>
          <w:u w:val="thick"/>
          <w:lang w:val="en-US" w:eastAsia="zh-CN"/>
        </w:rPr>
      </w:pPr>
    </w:p>
    <w:p w14:paraId="50D88E74">
      <w:pPr>
        <w:adjustRightInd w:val="0"/>
        <w:snapToGrid w:val="0"/>
        <w:ind w:firstLine="900" w:firstLineChars="250"/>
        <w:rPr>
          <w:rFonts w:hint="eastAsia" w:ascii="宋体" w:hAnsi="宋体" w:eastAsia="宋体" w:cs="宋体"/>
          <w:color w:val="auto"/>
          <w:spacing w:val="20"/>
          <w:sz w:val="32"/>
          <w:highlight w:val="none"/>
          <w:u w:val="single"/>
        </w:rPr>
      </w:pPr>
    </w:p>
    <w:p w14:paraId="2D41B98B">
      <w:pPr>
        <w:adjustRightInd w:val="0"/>
        <w:snapToGrid w:val="0"/>
        <w:spacing w:line="460" w:lineRule="exact"/>
        <w:ind w:firstLine="354" w:firstLineChars="98"/>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highlight w:val="none"/>
        </w:rPr>
        <w:t>发 布 日 期:</w:t>
      </w:r>
      <w:r>
        <w:rPr>
          <w:rFonts w:hint="eastAsia" w:ascii="宋体" w:hAnsi="宋体" w:eastAsia="宋体" w:cs="宋体"/>
          <w:b/>
          <w:color w:val="auto"/>
          <w:sz w:val="32"/>
          <w:highlight w:val="none"/>
          <w:u w:val="thick"/>
        </w:rPr>
        <w:t xml:space="preserve">         </w:t>
      </w:r>
      <w:r>
        <w:rPr>
          <w:rFonts w:hint="eastAsia" w:ascii="宋体" w:hAnsi="宋体" w:cs="宋体"/>
          <w:b/>
          <w:color w:val="auto"/>
          <w:sz w:val="32"/>
          <w:highlight w:val="none"/>
          <w:u w:val="thick"/>
          <w:lang w:val="en-US" w:eastAsia="zh-CN"/>
        </w:rPr>
        <w:t xml:space="preserve">2026年6月 23 日 </w:t>
      </w:r>
      <w:r>
        <w:rPr>
          <w:rFonts w:hint="eastAsia" w:ascii="宋体" w:hAnsi="宋体" w:cs="宋体"/>
          <w:b/>
          <w:color w:val="auto"/>
          <w:sz w:val="32"/>
          <w:highlight w:val="none"/>
          <w:u w:val="none"/>
          <w:lang w:val="en-US" w:eastAsia="zh-CN"/>
        </w:rPr>
        <w:t xml:space="preserve">    </w:t>
      </w:r>
      <w:r>
        <w:rPr>
          <w:rFonts w:hint="eastAsia" w:ascii="宋体" w:hAnsi="宋体" w:eastAsia="宋体" w:cs="宋体"/>
          <w:b/>
          <w:color w:val="auto"/>
          <w:sz w:val="32"/>
          <w:highlight w:val="none"/>
          <w:u w:val="none"/>
        </w:rPr>
        <w:t xml:space="preserve">      </w:t>
      </w:r>
      <w:r>
        <w:rPr>
          <w:rFonts w:hint="eastAsia" w:ascii="宋体" w:hAnsi="宋体" w:eastAsia="宋体" w:cs="宋体"/>
          <w:b/>
          <w:color w:val="auto"/>
          <w:sz w:val="32"/>
          <w:highlight w:val="none"/>
          <w:u w:val="thick"/>
        </w:rPr>
        <w:t xml:space="preserve">               </w:t>
      </w:r>
    </w:p>
    <w:p w14:paraId="2AB91967">
      <w:pPr>
        <w:adjustRightInd w:val="0"/>
        <w:snapToGrid w:val="0"/>
        <w:spacing w:line="460" w:lineRule="exact"/>
        <w:rPr>
          <w:rFonts w:hint="eastAsia" w:ascii="宋体" w:hAnsi="宋体" w:eastAsia="宋体" w:cs="宋体"/>
          <w:b/>
          <w:color w:val="auto"/>
          <w:spacing w:val="20"/>
          <w:sz w:val="32"/>
          <w:szCs w:val="32"/>
          <w:highlight w:val="none"/>
        </w:rPr>
      </w:pPr>
    </w:p>
    <w:p w14:paraId="46D906D8">
      <w:pPr>
        <w:jc w:val="center"/>
        <w:rPr>
          <w:rFonts w:hint="eastAsia" w:ascii="仿宋" w:hAnsi="仿宋" w:eastAsia="仿宋" w:cs="仿宋"/>
          <w:b/>
          <w:bCs/>
          <w:color w:val="auto"/>
          <w:sz w:val="28"/>
          <w:szCs w:val="28"/>
          <w:highlight w:val="none"/>
        </w:rPr>
      </w:pPr>
    </w:p>
    <w:p w14:paraId="455C82ED">
      <w:pPr>
        <w:jc w:val="center"/>
        <w:rPr>
          <w:rFonts w:hint="eastAsia" w:ascii="仿宋" w:hAnsi="仿宋" w:eastAsia="仿宋" w:cs="仿宋"/>
          <w:b/>
          <w:bCs/>
          <w:color w:val="auto"/>
          <w:sz w:val="28"/>
          <w:szCs w:val="28"/>
          <w:highlight w:val="none"/>
        </w:rPr>
      </w:pPr>
    </w:p>
    <w:p w14:paraId="713867EA">
      <w:pPr>
        <w:jc w:val="center"/>
        <w:rPr>
          <w:rFonts w:hint="eastAsia" w:ascii="仿宋" w:hAnsi="仿宋" w:eastAsia="仿宋" w:cs="仿宋"/>
          <w:b/>
          <w:bCs/>
          <w:color w:val="auto"/>
          <w:sz w:val="28"/>
          <w:szCs w:val="28"/>
          <w:highlight w:val="none"/>
        </w:rPr>
      </w:pPr>
    </w:p>
    <w:p w14:paraId="35094F88">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rPr>
        <w:t>录</w:t>
      </w:r>
    </w:p>
    <w:p w14:paraId="38B6EE70">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_Toc31751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_Toc31751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556CB8C">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_Toc29248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章投标须知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_Toc29248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34C966">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_Toc11130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资格审查办法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_Toc11130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8C8FD2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2CBB5A7">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en-US" w:eastAsia="zh-CN"/>
        </w:rPr>
        <w:t>章</w:t>
      </w:r>
      <w:r>
        <w:rPr>
          <w:rFonts w:hint="eastAsia" w:hAnsi="宋体" w:eastAsia="宋体" w:cs="宋体"/>
          <w:color w:val="auto"/>
          <w:sz w:val="28"/>
          <w:szCs w:val="28"/>
          <w:highlight w:val="none"/>
          <w:lang w:val="en-US" w:eastAsia="zh-CN"/>
        </w:rPr>
        <w:t>工程量清单</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7</w:t>
      </w:r>
    </w:p>
    <w:p w14:paraId="2F993C4D">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val="en-US" w:eastAsia="zh-CN"/>
        </w:rPr>
        <w:t>章合同条款及格式</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8</w:t>
      </w:r>
    </w:p>
    <w:p w14:paraId="36749082">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章投标文件格式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_Toc22987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B50F080">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_Toc10914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附件1 关于联合惩戒失信行为加强信用查询管理的通知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_Toc10914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8FC648F">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_Toc12420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附件2 “信用中国”查询的严重失信行为类别及判定依据</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_Toc12420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B609B7">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_Toc31259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章招标单位、招标代理机构对本招标文件的确认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_Toc31259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39437C4">
      <w:pPr>
        <w:rPr>
          <w:color w:val="auto"/>
          <w:highlight w:val="none"/>
        </w:rPr>
      </w:pPr>
      <w:r>
        <w:rPr>
          <w:rFonts w:hint="eastAsia" w:ascii="宋体" w:hAnsi="宋体" w:eastAsia="宋体" w:cs="宋体"/>
          <w:color w:val="auto"/>
          <w:sz w:val="28"/>
          <w:szCs w:val="28"/>
          <w:highlight w:val="none"/>
        </w:rPr>
        <w:fldChar w:fldCharType="end"/>
      </w:r>
    </w:p>
    <w:p w14:paraId="70F828E3">
      <w:pPr>
        <w:pStyle w:val="3"/>
        <w:spacing w:before="0" w:after="0" w:line="480" w:lineRule="auto"/>
        <w:jc w:val="both"/>
        <w:rPr>
          <w:rFonts w:hint="default" w:ascii="仿宋" w:eastAsia="宋体" w:cs="仿宋"/>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609DD41C">
      <w:pPr>
        <w:rPr>
          <w:color w:val="auto"/>
          <w:highlight w:val="none"/>
        </w:rPr>
        <w:sectPr>
          <w:footerReference r:id="rId5" w:type="first"/>
          <w:headerReference r:id="rId3" w:type="default"/>
          <w:footerReference r:id="rId4" w:type="default"/>
          <w:pgSz w:w="11906" w:h="16838"/>
          <w:pgMar w:top="935" w:right="1106" w:bottom="936"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0DD821C9">
      <w:pPr>
        <w:pStyle w:val="3"/>
        <w:keepNext/>
        <w:keepLines/>
        <w:pageBreakBefore w:val="0"/>
        <w:widowControl w:val="0"/>
        <w:kinsoku/>
        <w:wordWrap w:val="0"/>
        <w:overflowPunct/>
        <w:topLinePunct w:val="0"/>
        <w:autoSpaceDE/>
        <w:autoSpaceDN/>
        <w:bidi w:val="0"/>
        <w:adjustRightInd w:val="0"/>
        <w:snapToGrid w:val="0"/>
        <w:spacing w:before="0" w:after="0" w:line="440" w:lineRule="exact"/>
        <w:jc w:val="center"/>
        <w:textAlignment w:val="auto"/>
        <w:rPr>
          <w:rFonts w:hint="eastAsia" w:ascii="宋体" w:hAnsi="宋体" w:eastAsia="宋体" w:cs="宋体"/>
          <w:bCs/>
          <w:color w:val="auto"/>
          <w:sz w:val="36"/>
          <w:szCs w:val="36"/>
          <w:highlight w:val="none"/>
        </w:rPr>
      </w:pPr>
      <w:bookmarkStart w:id="0" w:name="_Toc31751"/>
      <w:r>
        <w:rPr>
          <w:rFonts w:hint="eastAsia" w:ascii="宋体" w:hAnsi="宋体" w:eastAsia="宋体" w:cs="宋体"/>
          <w:bCs/>
          <w:color w:val="auto"/>
          <w:sz w:val="36"/>
          <w:szCs w:val="36"/>
          <w:highlight w:val="none"/>
          <w:lang w:eastAsia="zh-CN"/>
        </w:rPr>
        <w:t>工投科技产业园1号厂房变压器及配套设备采购及安装项目</w:t>
      </w:r>
      <w:r>
        <w:rPr>
          <w:rFonts w:hint="eastAsia" w:ascii="宋体" w:hAnsi="宋体" w:eastAsia="宋体" w:cs="宋体"/>
          <w:bCs/>
          <w:color w:val="auto"/>
          <w:sz w:val="36"/>
          <w:szCs w:val="36"/>
          <w:highlight w:val="none"/>
        </w:rPr>
        <w:t>招标公告</w:t>
      </w:r>
      <w:bookmarkEnd w:id="0"/>
    </w:p>
    <w:tbl>
      <w:tblPr>
        <w:tblStyle w:val="48"/>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75"/>
        <w:gridCol w:w="2505"/>
        <w:gridCol w:w="7"/>
        <w:gridCol w:w="2587"/>
        <w:gridCol w:w="2872"/>
      </w:tblGrid>
      <w:tr w14:paraId="58F1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47" w:type="dxa"/>
            <w:gridSpan w:val="2"/>
            <w:noWrap w:val="0"/>
            <w:vAlign w:val="center"/>
          </w:tcPr>
          <w:p w14:paraId="522324D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71" w:type="dxa"/>
            <w:gridSpan w:val="4"/>
            <w:noWrap w:val="0"/>
            <w:vAlign w:val="center"/>
          </w:tcPr>
          <w:p w14:paraId="61D459A1">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cs="宋体"/>
                <w:bCs/>
                <w:color w:val="auto"/>
                <w:kern w:val="1"/>
                <w:sz w:val="21"/>
                <w:szCs w:val="21"/>
                <w:highlight w:val="none"/>
                <w:lang w:val="en-US" w:eastAsia="zh-CN"/>
              </w:rPr>
              <w:t>工投科技产业园1号厂房变压器及配套设备采购及安装项目</w:t>
            </w:r>
            <w:r>
              <w:rPr>
                <w:rFonts w:hint="default" w:ascii="宋体" w:hAnsi="宋体" w:eastAsia="宋体" w:cs="宋体"/>
                <w:bCs/>
                <w:color w:val="auto"/>
                <w:kern w:val="1"/>
                <w:sz w:val="21"/>
                <w:szCs w:val="21"/>
                <w:highlight w:val="none"/>
                <w:lang w:val="en-US" w:eastAsia="zh-CN"/>
              </w:rPr>
              <w:t xml:space="preserve"> </w:t>
            </w:r>
          </w:p>
        </w:tc>
      </w:tr>
      <w:tr w14:paraId="4878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47" w:type="dxa"/>
            <w:gridSpan w:val="2"/>
            <w:noWrap w:val="0"/>
            <w:vAlign w:val="center"/>
          </w:tcPr>
          <w:p w14:paraId="7A66893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项目编号</w:t>
            </w:r>
          </w:p>
        </w:tc>
        <w:tc>
          <w:tcPr>
            <w:tcW w:w="7971" w:type="dxa"/>
            <w:gridSpan w:val="4"/>
            <w:noWrap w:val="0"/>
            <w:vAlign w:val="center"/>
          </w:tcPr>
          <w:p w14:paraId="332EE9A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cs="宋体"/>
                <w:bCs/>
                <w:color w:val="auto"/>
                <w:kern w:val="1"/>
                <w:sz w:val="21"/>
                <w:szCs w:val="21"/>
                <w:highlight w:val="none"/>
                <w:lang w:val="en-US" w:eastAsia="zh-CN"/>
              </w:rPr>
            </w:pPr>
            <w:r>
              <w:rPr>
                <w:rFonts w:hint="eastAsia" w:ascii="宋体" w:hAnsi="宋体" w:cs="宋体"/>
                <w:bCs/>
                <w:color w:val="auto"/>
                <w:kern w:val="1"/>
                <w:sz w:val="21"/>
                <w:szCs w:val="21"/>
                <w:highlight w:val="none"/>
                <w:lang w:val="en-US" w:eastAsia="zh-CN"/>
              </w:rPr>
              <w:t>HXJY1110001058230</w:t>
            </w:r>
          </w:p>
        </w:tc>
      </w:tr>
      <w:tr w14:paraId="50C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7" w:type="dxa"/>
            <w:gridSpan w:val="2"/>
            <w:noWrap w:val="0"/>
            <w:vAlign w:val="center"/>
          </w:tcPr>
          <w:p w14:paraId="25754D3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71" w:type="dxa"/>
            <w:gridSpan w:val="4"/>
            <w:noWrap w:val="0"/>
            <w:vAlign w:val="center"/>
          </w:tcPr>
          <w:p w14:paraId="573D750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公开招标</w:t>
            </w:r>
          </w:p>
        </w:tc>
      </w:tr>
      <w:tr w14:paraId="672D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5" w:hRule="atLeast"/>
          <w:jc w:val="center"/>
        </w:trPr>
        <w:tc>
          <w:tcPr>
            <w:tcW w:w="2147" w:type="dxa"/>
            <w:gridSpan w:val="2"/>
            <w:noWrap w:val="0"/>
            <w:vAlign w:val="center"/>
          </w:tcPr>
          <w:p w14:paraId="6B91DDD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投标人资格要求</w:t>
            </w:r>
          </w:p>
        </w:tc>
        <w:tc>
          <w:tcPr>
            <w:tcW w:w="7971" w:type="dxa"/>
            <w:gridSpan w:val="4"/>
            <w:noWrap w:val="0"/>
            <w:vAlign w:val="center"/>
          </w:tcPr>
          <w:p w14:paraId="5AE8EDD7">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、企业资格要求：投标人须同时具备以下条件：</w:t>
            </w:r>
          </w:p>
          <w:p w14:paraId="240F5D03">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①</w:t>
            </w:r>
            <w:r>
              <w:rPr>
                <w:rFonts w:hint="eastAsia" w:ascii="宋体" w:hAnsi="宋体" w:eastAsia="宋体" w:cs="宋体"/>
                <w:color w:val="auto"/>
                <w:kern w:val="0"/>
                <w:szCs w:val="21"/>
                <w:highlight w:val="none"/>
                <w:lang w:val="en-US" w:eastAsia="zh-CN"/>
              </w:rPr>
              <w:t>电力工程施工总承包叁级（或以上）资质，并具有有效的安全生产许可证；</w:t>
            </w:r>
          </w:p>
          <w:p w14:paraId="5D7F899F">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②</w:t>
            </w:r>
            <w:r>
              <w:rPr>
                <w:rFonts w:hint="eastAsia" w:ascii="宋体" w:hAnsi="宋体" w:eastAsia="宋体" w:cs="宋体"/>
                <w:color w:val="auto"/>
                <w:kern w:val="0"/>
                <w:szCs w:val="21"/>
                <w:highlight w:val="none"/>
                <w:lang w:val="en-US" w:eastAsia="zh-CN"/>
              </w:rPr>
              <w:t>投标人须具备电力主管部门颁发的承装、承修、承试三级（或以上）电力设施许可证。</w:t>
            </w:r>
          </w:p>
          <w:p w14:paraId="0EFC6816">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color w:val="auto"/>
                <w:kern w:val="0"/>
                <w:szCs w:val="21"/>
                <w:highlight w:val="none"/>
                <w:lang w:val="en-US" w:eastAsia="zh-CN"/>
              </w:rPr>
              <w:t>2、项目经理（项目负责人）要求：注册在投标单位的机电工程专业二级及以上资质的注册建造师</w:t>
            </w:r>
            <w:r>
              <w:rPr>
                <w:rFonts w:hint="eastAsia" w:ascii="宋体" w:hAnsi="宋体" w:eastAsia="宋体" w:cs="宋体"/>
                <w:color w:val="auto"/>
                <w:szCs w:val="21"/>
                <w:highlight w:val="none"/>
                <w:lang w:val="en-US" w:eastAsia="zh-CN"/>
              </w:rPr>
              <w:t>或具有电工作业进网许可证或高压操作证</w:t>
            </w:r>
            <w:r>
              <w:rPr>
                <w:rFonts w:hint="eastAsia" w:ascii="宋体" w:hAnsi="宋体" w:eastAsia="宋体" w:cs="宋体"/>
                <w:color w:val="auto"/>
                <w:kern w:val="0"/>
                <w:szCs w:val="21"/>
                <w:highlight w:val="none"/>
                <w:lang w:val="en-US" w:eastAsia="zh-CN"/>
              </w:rPr>
              <w:t>。</w:t>
            </w:r>
          </w:p>
          <w:p w14:paraId="582A0C98">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投标人存在以下情形之一的，不得被确定为中标人：</w:t>
            </w:r>
          </w:p>
          <w:p w14:paraId="3A2CDADB">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①投标人被人民法院列入失信被执行人的；</w:t>
            </w:r>
          </w:p>
          <w:p w14:paraId="2ACE9933">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②投标人或其法定代表人或拟派项目经理（建造师）前三年有行贿犯罪行为的；</w:t>
            </w:r>
          </w:p>
          <w:p w14:paraId="5051F906">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③投标人被市场监督管理部门列入经营异常名录或者严重违法企业名单，且未被移除的；</w:t>
            </w:r>
          </w:p>
          <w:p w14:paraId="41E8E132">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④投标人被税务部门列入重大税收违法案件当事人的；</w:t>
            </w:r>
          </w:p>
          <w:p w14:paraId="09EAAB6B">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⑤在“信用中国”网站上披露仍在公示期的严重失信行为的；</w:t>
            </w:r>
          </w:p>
          <w:p w14:paraId="4263A68A">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⑥被滁州市县两级各行业主管部门及公管部门取消在一定期限内的投标资格且在取消期限内的；</w:t>
            </w:r>
          </w:p>
          <w:p w14:paraId="6BFC3791">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⑦被人力资源社会保障主管部门列入拖欠农民工工资‘黑名单’或因拖欠农民工工资被县级及以上有关行政主管部门限制投标资格且在限制期限内的；</w:t>
            </w:r>
          </w:p>
          <w:p w14:paraId="44E53F9A">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⑧被列入省级、市级农民工工资支付异常名录的施工企业，限制其参加全市范围内房建和市政工程建设项目投标；列入县级异常名录的施工企业，限制其参加本行政区域内房建和市政建设项目投标。</w:t>
            </w:r>
          </w:p>
          <w:p w14:paraId="14EE8687">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投标人所属分公司、办事处等分支机构存在第2条信誉要求①-⑧项情形之一的，接受其被确定为中标人。</w:t>
            </w:r>
          </w:p>
          <w:p w14:paraId="711EAF0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color w:val="auto"/>
                <w:szCs w:val="21"/>
                <w:highlight w:val="none"/>
              </w:rPr>
              <w:t>备注：第</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条按照附件1“关于联合惩戒失信行为加强信用查询管理的通知”查询或承诺。</w:t>
            </w:r>
            <w:r>
              <w:rPr>
                <w:rFonts w:hint="eastAsia" w:ascii="宋体" w:hAnsi="宋体" w:eastAsia="宋体" w:cs="宋体"/>
                <w:bCs/>
                <w:color w:val="auto"/>
                <w:kern w:val="1"/>
                <w:sz w:val="21"/>
                <w:szCs w:val="21"/>
                <w:highlight w:val="none"/>
              </w:rPr>
              <w:t xml:space="preserve">     </w:t>
            </w:r>
          </w:p>
        </w:tc>
      </w:tr>
      <w:tr w14:paraId="0A64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2D9D33BF">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是否接受联合体投标</w:t>
            </w:r>
          </w:p>
        </w:tc>
        <w:tc>
          <w:tcPr>
            <w:tcW w:w="7971" w:type="dxa"/>
            <w:gridSpan w:val="4"/>
            <w:noWrap w:val="0"/>
            <w:vAlign w:val="center"/>
          </w:tcPr>
          <w:p w14:paraId="4CB7E3D6">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不接受</w:t>
            </w:r>
          </w:p>
        </w:tc>
      </w:tr>
      <w:tr w14:paraId="434C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5083885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招标项目规模</w:t>
            </w:r>
          </w:p>
        </w:tc>
        <w:tc>
          <w:tcPr>
            <w:tcW w:w="7971" w:type="dxa"/>
            <w:gridSpan w:val="4"/>
            <w:noWrap w:val="0"/>
            <w:vAlign w:val="center"/>
          </w:tcPr>
          <w:p w14:paraId="79139DD1">
            <w:pPr>
              <w:pStyle w:val="25"/>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项目预算</w:t>
            </w:r>
            <w:r>
              <w:rPr>
                <w:rFonts w:hint="eastAsia" w:hAnsi="宋体" w:cs="宋体"/>
                <w:color w:val="auto"/>
                <w:kern w:val="0"/>
                <w:sz w:val="21"/>
                <w:szCs w:val="21"/>
                <w:highlight w:val="none"/>
                <w:lang w:val="en-US" w:eastAsia="zh-CN"/>
              </w:rPr>
              <w:t>300000.00元</w:t>
            </w:r>
            <w:r>
              <w:rPr>
                <w:rFonts w:hint="eastAsia" w:ascii="宋体" w:hAnsi="宋体" w:eastAsia="宋体" w:cs="宋体"/>
                <w:color w:val="auto"/>
                <w:kern w:val="0"/>
                <w:sz w:val="21"/>
                <w:szCs w:val="21"/>
                <w:highlight w:val="none"/>
                <w:lang w:val="en-US" w:eastAsia="zh-CN"/>
              </w:rPr>
              <w:t>。</w:t>
            </w:r>
          </w:p>
        </w:tc>
      </w:tr>
      <w:tr w14:paraId="198F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3DB7FDD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招标项目内容范围</w:t>
            </w:r>
          </w:p>
        </w:tc>
        <w:tc>
          <w:tcPr>
            <w:tcW w:w="7971" w:type="dxa"/>
            <w:gridSpan w:val="4"/>
            <w:noWrap w:val="0"/>
            <w:vAlign w:val="center"/>
          </w:tcPr>
          <w:p w14:paraId="1B397A02">
            <w:pPr>
              <w:pStyle w:val="25"/>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 xml:space="preserve">800KVA箱变及配套设备采购及安装                 </w:t>
            </w:r>
            <w:r>
              <w:rPr>
                <w:rFonts w:hint="eastAsia" w:ascii="宋体" w:hAnsi="宋体" w:eastAsia="宋体" w:cs="宋体"/>
                <w:color w:val="auto"/>
                <w:kern w:val="0"/>
                <w:sz w:val="21"/>
                <w:szCs w:val="21"/>
                <w:highlight w:val="none"/>
                <w:lang w:val="en-US" w:eastAsia="zh-CN"/>
              </w:rPr>
              <w:t>。</w:t>
            </w:r>
          </w:p>
        </w:tc>
      </w:tr>
      <w:tr w14:paraId="7341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611DAB6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招标文件获取方式</w:t>
            </w:r>
          </w:p>
        </w:tc>
        <w:tc>
          <w:tcPr>
            <w:tcW w:w="7971" w:type="dxa"/>
            <w:gridSpan w:val="4"/>
            <w:noWrap w:val="0"/>
            <w:vAlign w:val="center"/>
          </w:tcPr>
          <w:p w14:paraId="470DE14C">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网上下载</w:t>
            </w:r>
          </w:p>
          <w:p w14:paraId="77736475">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投标人从滁州市城投工程咨询管理有限公司网站（https://www.czctgczx.com/）下载。</w:t>
            </w:r>
          </w:p>
          <w:p w14:paraId="17619B82">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投标人自行承担因未按要求获取招标文件导致无法上传电子投标文件的风险。</w:t>
            </w:r>
          </w:p>
          <w:p w14:paraId="45CAEC38">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58151515</w:t>
            </w:r>
            <w:r>
              <w:rPr>
                <w:rFonts w:hint="eastAsia" w:ascii="宋体" w:hAnsi="宋体" w:eastAsia="宋体" w:cs="宋体"/>
                <w:b w:val="0"/>
                <w:bCs w:val="0"/>
                <w:color w:val="auto"/>
                <w:sz w:val="21"/>
                <w:szCs w:val="21"/>
                <w:highlight w:val="none"/>
                <w:lang w:val="en-US" w:eastAsia="zh-CN"/>
              </w:rPr>
              <w:t>-5（工作日）。  </w:t>
            </w:r>
          </w:p>
          <w:p w14:paraId="40058797">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58151515</w:t>
            </w:r>
            <w:r>
              <w:rPr>
                <w:rFonts w:hint="eastAsia" w:ascii="宋体" w:hAnsi="宋体" w:eastAsia="宋体" w:cs="宋体"/>
                <w:b w:val="0"/>
                <w:bCs w:val="0"/>
                <w:color w:val="auto"/>
                <w:sz w:val="21"/>
                <w:szCs w:val="21"/>
                <w:highlight w:val="none"/>
                <w:lang w:val="en-US" w:eastAsia="zh-CN"/>
              </w:rPr>
              <w:t>或者网站首页在线客服。</w:t>
            </w:r>
          </w:p>
          <w:p w14:paraId="29165EC2">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2、招标文件及相关资料售价：人民币0元/套</w:t>
            </w:r>
          </w:p>
        </w:tc>
      </w:tr>
      <w:tr w14:paraId="7845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447EB59E">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递交投标文件的</w:t>
            </w:r>
          </w:p>
          <w:p w14:paraId="5EC8D96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截止时间</w:t>
            </w:r>
          </w:p>
        </w:tc>
        <w:tc>
          <w:tcPr>
            <w:tcW w:w="7971" w:type="dxa"/>
            <w:gridSpan w:val="4"/>
            <w:noWrap w:val="0"/>
            <w:vAlign w:val="center"/>
          </w:tcPr>
          <w:p w14:paraId="5AC44AB5">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highlight w:val="none"/>
                <w:lang w:val="en-US" w:eastAsia="zh-CN"/>
              </w:rPr>
            </w:pPr>
            <w:r>
              <w:rPr>
                <w:rFonts w:hint="eastAsia" w:hAnsi="宋体" w:cs="宋体"/>
                <w:b/>
                <w:bCs/>
                <w:color w:val="auto"/>
                <w:kern w:val="0"/>
                <w:sz w:val="21"/>
                <w:szCs w:val="21"/>
                <w:highlight w:val="none"/>
                <w:lang w:val="en-US" w:eastAsia="zh-CN"/>
              </w:rPr>
              <w:t>2026年7月 1 日</w:t>
            </w:r>
            <w:r>
              <w:rPr>
                <w:rFonts w:hint="eastAsia" w:ascii="宋体" w:hAnsi="宋体" w:eastAsia="宋体" w:cs="宋体"/>
                <w:b/>
                <w:bCs/>
                <w:color w:val="auto"/>
                <w:kern w:val="0"/>
                <w:sz w:val="21"/>
                <w:szCs w:val="21"/>
                <w:highlight w:val="none"/>
                <w:lang w:val="en-US" w:eastAsia="zh-CN"/>
              </w:rPr>
              <w:t>9时00分</w:t>
            </w:r>
          </w:p>
        </w:tc>
      </w:tr>
      <w:tr w14:paraId="42E3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0AF6854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开标时间</w:t>
            </w:r>
          </w:p>
        </w:tc>
        <w:tc>
          <w:tcPr>
            <w:tcW w:w="7971" w:type="dxa"/>
            <w:gridSpan w:val="4"/>
            <w:noWrap w:val="0"/>
            <w:vAlign w:val="center"/>
          </w:tcPr>
          <w:p w14:paraId="200607A8">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highlight w:val="none"/>
                <w:lang w:val="en-US" w:eastAsia="zh-CN"/>
              </w:rPr>
            </w:pPr>
            <w:r>
              <w:rPr>
                <w:rFonts w:hint="eastAsia" w:hAnsi="宋体" w:cs="宋体"/>
                <w:b/>
                <w:bCs/>
                <w:color w:val="auto"/>
                <w:kern w:val="0"/>
                <w:sz w:val="21"/>
                <w:szCs w:val="21"/>
                <w:highlight w:val="none"/>
                <w:lang w:val="en-US" w:eastAsia="zh-CN"/>
              </w:rPr>
              <w:t>2026年7月 1 日</w:t>
            </w:r>
            <w:r>
              <w:rPr>
                <w:rFonts w:hint="eastAsia" w:ascii="宋体" w:hAnsi="宋体" w:eastAsia="宋体" w:cs="宋体"/>
                <w:b/>
                <w:bCs/>
                <w:color w:val="auto"/>
                <w:kern w:val="0"/>
                <w:sz w:val="21"/>
                <w:szCs w:val="21"/>
                <w:highlight w:val="none"/>
                <w:lang w:val="en-US" w:eastAsia="zh-CN"/>
              </w:rPr>
              <w:t>9时00分</w:t>
            </w:r>
          </w:p>
        </w:tc>
      </w:tr>
      <w:tr w14:paraId="062F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72E6FFE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开标地点</w:t>
            </w:r>
          </w:p>
        </w:tc>
        <w:tc>
          <w:tcPr>
            <w:tcW w:w="7971" w:type="dxa"/>
            <w:gridSpan w:val="4"/>
            <w:noWrap w:val="0"/>
            <w:vAlign w:val="center"/>
          </w:tcPr>
          <w:p w14:paraId="68B5B564">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本项目仅接受加密电子投标文件</w:t>
            </w:r>
            <w:r>
              <w:rPr>
                <w:rFonts w:hint="eastAsia" w:ascii="宋体" w:hAnsi="宋体" w:cs="宋体"/>
                <w:b/>
                <w:bCs/>
                <w:color w:val="auto"/>
                <w:kern w:val="1"/>
                <w:sz w:val="21"/>
                <w:szCs w:val="21"/>
                <w:highlight w:val="none"/>
                <w:lang w:val="en-US" w:eastAsia="zh-CN"/>
              </w:rPr>
              <w:t>，</w:t>
            </w:r>
            <w:r>
              <w:rPr>
                <w:rFonts w:hint="eastAsia" w:ascii="宋体" w:hAnsi="宋体" w:eastAsia="宋体" w:cs="宋体"/>
                <w:b/>
                <w:bCs/>
                <w:color w:val="auto"/>
                <w:kern w:val="1"/>
                <w:sz w:val="21"/>
                <w:szCs w:val="21"/>
                <w:highlight w:val="none"/>
                <w:lang w:val="en-US" w:eastAsia="zh-CN"/>
              </w:rPr>
              <w:t>投标人在投标截止时间前通过新点电子交易平台后在【滁州专区】</w:t>
            </w:r>
          </w:p>
          <w:p w14:paraId="37A74761">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 xml:space="preserve">（https://www.etrading.cn/BREpointSSO/login/oauth2login?regioncode=DQ_ChuZhou）交易系统递交电子投标文件。   </w:t>
            </w:r>
          </w:p>
        </w:tc>
      </w:tr>
      <w:tr w14:paraId="4D17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7DE474A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招标文件售价</w:t>
            </w:r>
          </w:p>
        </w:tc>
        <w:tc>
          <w:tcPr>
            <w:tcW w:w="7971" w:type="dxa"/>
            <w:gridSpan w:val="4"/>
            <w:noWrap w:val="0"/>
            <w:vAlign w:val="center"/>
          </w:tcPr>
          <w:p w14:paraId="6C89272B">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0元</w:t>
            </w:r>
          </w:p>
        </w:tc>
      </w:tr>
      <w:tr w14:paraId="4BFA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8" w:type="dxa"/>
            <w:gridSpan w:val="6"/>
            <w:noWrap w:val="0"/>
            <w:vAlign w:val="center"/>
          </w:tcPr>
          <w:p w14:paraId="35709136">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信  息  内  容</w:t>
            </w:r>
          </w:p>
        </w:tc>
      </w:tr>
      <w:tr w14:paraId="0FF8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782D3A9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3187" w:type="dxa"/>
            <w:gridSpan w:val="3"/>
            <w:noWrap w:val="0"/>
            <w:vAlign w:val="center"/>
          </w:tcPr>
          <w:p w14:paraId="5C55370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最低评标价法</w:t>
            </w:r>
          </w:p>
        </w:tc>
        <w:tc>
          <w:tcPr>
            <w:tcW w:w="2587" w:type="dxa"/>
            <w:noWrap w:val="0"/>
            <w:vAlign w:val="center"/>
          </w:tcPr>
          <w:p w14:paraId="3583A1F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工程款支付方式</w:t>
            </w:r>
          </w:p>
        </w:tc>
        <w:tc>
          <w:tcPr>
            <w:tcW w:w="2872" w:type="dxa"/>
            <w:noWrap w:val="0"/>
            <w:vAlign w:val="center"/>
          </w:tcPr>
          <w:p w14:paraId="34E079E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6D70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14FB6F8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工程概算</w:t>
            </w:r>
          </w:p>
        </w:tc>
        <w:tc>
          <w:tcPr>
            <w:tcW w:w="3187" w:type="dxa"/>
            <w:gridSpan w:val="3"/>
            <w:noWrap w:val="0"/>
            <w:vAlign w:val="center"/>
          </w:tcPr>
          <w:p w14:paraId="3F09AB1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投资估算约</w:t>
            </w:r>
            <w:r>
              <w:rPr>
                <w:rFonts w:hint="eastAsia" w:ascii="宋体" w:hAnsi="宋体" w:cs="宋体"/>
                <w:color w:val="auto"/>
                <w:kern w:val="0"/>
                <w:sz w:val="21"/>
                <w:szCs w:val="21"/>
                <w:highlight w:val="none"/>
                <w:lang w:eastAsia="zh-CN"/>
              </w:rPr>
              <w:t>300000.00元</w:t>
            </w:r>
          </w:p>
        </w:tc>
        <w:tc>
          <w:tcPr>
            <w:tcW w:w="2587" w:type="dxa"/>
            <w:noWrap w:val="0"/>
            <w:vAlign w:val="center"/>
          </w:tcPr>
          <w:p w14:paraId="34B19B6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2872" w:type="dxa"/>
            <w:noWrap w:val="0"/>
            <w:vAlign w:val="center"/>
          </w:tcPr>
          <w:p w14:paraId="19C267EC">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07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713E4A7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3187" w:type="dxa"/>
            <w:gridSpan w:val="3"/>
            <w:noWrap w:val="0"/>
            <w:vAlign w:val="center"/>
          </w:tcPr>
          <w:p w14:paraId="377A78D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自筹资金</w:t>
            </w:r>
          </w:p>
        </w:tc>
        <w:tc>
          <w:tcPr>
            <w:tcW w:w="2587" w:type="dxa"/>
            <w:noWrap w:val="0"/>
            <w:vAlign w:val="center"/>
          </w:tcPr>
          <w:p w14:paraId="0B75660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招标文件等获取方式</w:t>
            </w:r>
          </w:p>
        </w:tc>
        <w:tc>
          <w:tcPr>
            <w:tcW w:w="2872" w:type="dxa"/>
            <w:noWrap w:val="0"/>
            <w:vAlign w:val="center"/>
          </w:tcPr>
          <w:p w14:paraId="35D2D05E">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网上下载</w:t>
            </w:r>
          </w:p>
        </w:tc>
      </w:tr>
      <w:tr w14:paraId="02B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5CF26526">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val="en-US" w:eastAsia="zh-CN"/>
              </w:rPr>
            </w:pPr>
            <w:r>
              <w:rPr>
                <w:rFonts w:hint="eastAsia"/>
                <w:color w:val="auto"/>
                <w:highlight w:val="none"/>
              </w:rPr>
              <w:t>1、是否要求投标人提交投标保证金：</w:t>
            </w:r>
            <w:r>
              <w:rPr>
                <w:rFonts w:hint="eastAsia"/>
                <w:color w:val="auto"/>
                <w:highlight w:val="none"/>
                <w:lang w:val="en-US" w:eastAsia="zh-CN"/>
              </w:rPr>
              <w:t>不</w:t>
            </w:r>
            <w:r>
              <w:rPr>
                <w:rFonts w:hint="eastAsia"/>
                <w:color w:val="auto"/>
                <w:highlight w:val="none"/>
              </w:rPr>
              <w:t>要求。</w:t>
            </w:r>
          </w:p>
        </w:tc>
      </w:tr>
      <w:tr w14:paraId="3F01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2" w:type="dxa"/>
            <w:gridSpan w:val="3"/>
            <w:noWrap w:val="0"/>
            <w:vAlign w:val="center"/>
          </w:tcPr>
          <w:p w14:paraId="4C17213C">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eastAsia="宋体"/>
                <w:color w:val="auto"/>
                <w:highlight w:val="none"/>
                <w:lang w:eastAsia="zh-CN" w:bidi="ar"/>
              </w:rPr>
            </w:pPr>
            <w:r>
              <w:rPr>
                <w:rFonts w:hint="eastAsia" w:ascii="宋体" w:hAnsi="宋体" w:cs="宋体"/>
                <w:color w:val="auto"/>
                <w:szCs w:val="21"/>
                <w:highlight w:val="none"/>
              </w:rPr>
              <w:t>招标人名称</w:t>
            </w:r>
            <w:r>
              <w:rPr>
                <w:rFonts w:hint="eastAsia"/>
                <w:color w:val="auto"/>
                <w:highlight w:val="none"/>
                <w:lang w:bidi="ar"/>
              </w:rPr>
              <w:t>：</w:t>
            </w:r>
            <w:r>
              <w:rPr>
                <w:rFonts w:hint="eastAsia"/>
                <w:color w:val="auto"/>
                <w:highlight w:val="none"/>
                <w:lang w:eastAsia="zh-CN" w:bidi="ar"/>
              </w:rPr>
              <w:t>滁州工投科技产业园</w:t>
            </w:r>
            <w:r>
              <w:rPr>
                <w:rFonts w:hint="eastAsia"/>
                <w:color w:val="auto"/>
                <w:highlight w:val="none"/>
                <w:lang w:val="en-US" w:eastAsia="zh-CN" w:bidi="ar"/>
              </w:rPr>
              <w:t>发展</w:t>
            </w:r>
            <w:r>
              <w:rPr>
                <w:rFonts w:hint="eastAsia"/>
                <w:color w:val="auto"/>
                <w:highlight w:val="none"/>
                <w:lang w:eastAsia="zh-CN" w:bidi="ar"/>
              </w:rPr>
              <w:t>有限公司</w:t>
            </w:r>
          </w:p>
          <w:p w14:paraId="429E4C6D">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highlight w:val="none"/>
                <w:lang w:eastAsia="zh-CN"/>
              </w:rPr>
            </w:pPr>
            <w:r>
              <w:rPr>
                <w:rFonts w:hint="eastAsia"/>
                <w:color w:val="auto"/>
                <w:highlight w:val="none"/>
                <w:lang w:bidi="ar"/>
              </w:rPr>
              <w:t>地址：</w:t>
            </w:r>
            <w:r>
              <w:rPr>
                <w:rFonts w:hint="eastAsia"/>
                <w:color w:val="auto"/>
                <w:highlight w:val="none"/>
                <w:lang w:eastAsia="zh-CN" w:bidi="ar"/>
              </w:rPr>
              <w:t>滁州市工投科技产业园</w:t>
            </w:r>
          </w:p>
          <w:p w14:paraId="5DFCC5FD">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eastAsia="宋体"/>
                <w:color w:val="auto"/>
                <w:highlight w:val="none"/>
                <w:lang w:val="en-US" w:eastAsia="zh-CN" w:bidi="ar"/>
              </w:rPr>
            </w:pPr>
            <w:r>
              <w:rPr>
                <w:rFonts w:hint="eastAsia"/>
                <w:color w:val="auto"/>
                <w:highlight w:val="none"/>
                <w:lang w:bidi="ar"/>
              </w:rPr>
              <w:t>联系人：</w:t>
            </w:r>
            <w:r>
              <w:rPr>
                <w:rFonts w:hint="eastAsia"/>
                <w:color w:val="auto"/>
                <w:highlight w:val="none"/>
                <w:lang w:val="en-US" w:eastAsia="zh-CN" w:bidi="ar"/>
              </w:rPr>
              <w:t xml:space="preserve"> 张杰</w:t>
            </w:r>
          </w:p>
          <w:p w14:paraId="38E8D794">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val="en-US" w:eastAsia="zh-CN" w:bidi="ar"/>
              </w:rPr>
            </w:pPr>
            <w:r>
              <w:rPr>
                <w:rFonts w:hint="eastAsia"/>
                <w:color w:val="auto"/>
                <w:highlight w:val="none"/>
                <w:lang w:bidi="ar"/>
              </w:rPr>
              <w:t>联系方式：</w:t>
            </w:r>
            <w:r>
              <w:rPr>
                <w:rFonts w:hint="eastAsia"/>
                <w:color w:val="auto"/>
                <w:highlight w:val="none"/>
                <w:lang w:val="en-US" w:eastAsia="zh-CN" w:bidi="ar"/>
              </w:rPr>
              <w:t>0550-3211000</w:t>
            </w:r>
          </w:p>
          <w:p w14:paraId="3F9A708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监督电话:</w:t>
            </w:r>
            <w:r>
              <w:rPr>
                <w:rFonts w:hint="eastAsia" w:ascii="宋体" w:hAnsi="宋体" w:cs="宋体"/>
                <w:color w:val="auto"/>
                <w:sz w:val="21"/>
                <w:szCs w:val="21"/>
                <w:highlight w:val="none"/>
                <w:lang w:eastAsia="zh-CN" w:bidi="ar"/>
              </w:rPr>
              <w:t>0550-3018133</w:t>
            </w:r>
          </w:p>
        </w:tc>
        <w:tc>
          <w:tcPr>
            <w:tcW w:w="5466" w:type="dxa"/>
            <w:gridSpan w:val="3"/>
            <w:noWrap w:val="0"/>
            <w:vAlign w:val="center"/>
          </w:tcPr>
          <w:p w14:paraId="48F4CB69">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bidi="ar"/>
              </w:rPr>
            </w:pPr>
            <w:r>
              <w:rPr>
                <w:rFonts w:hint="eastAsia" w:ascii="宋体" w:hAnsi="宋体" w:cs="宋体"/>
                <w:color w:val="auto"/>
                <w:szCs w:val="21"/>
                <w:highlight w:val="none"/>
              </w:rPr>
              <w:t>招标代理机构名称：滁州市城投</w:t>
            </w:r>
            <w:r>
              <w:rPr>
                <w:rFonts w:hint="eastAsia"/>
                <w:color w:val="auto"/>
                <w:highlight w:val="none"/>
                <w:lang w:bidi="ar"/>
              </w:rPr>
              <w:t xml:space="preserve">工程咨询管理有限公司 </w:t>
            </w:r>
          </w:p>
          <w:p w14:paraId="0AA3E3CC">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bidi="ar"/>
              </w:rPr>
            </w:pPr>
            <w:r>
              <w:rPr>
                <w:rFonts w:hint="eastAsia"/>
                <w:color w:val="auto"/>
                <w:highlight w:val="none"/>
                <w:lang w:bidi="ar"/>
              </w:rPr>
              <w:t>地址： 滁州市龙蟠大道109号房产大厦6楼605室　</w:t>
            </w:r>
          </w:p>
          <w:p w14:paraId="3A75E16E">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color w:val="auto"/>
                <w:highlight w:val="none"/>
                <w:lang w:val="en-US" w:eastAsia="zh-CN" w:bidi="ar"/>
              </w:rPr>
            </w:pPr>
            <w:r>
              <w:rPr>
                <w:rFonts w:hint="eastAsia"/>
                <w:color w:val="auto"/>
                <w:highlight w:val="none"/>
                <w:lang w:bidi="ar"/>
              </w:rPr>
              <w:t>联系</w:t>
            </w:r>
            <w:r>
              <w:rPr>
                <w:rFonts w:hint="eastAsia" w:ascii="宋体" w:hAnsi="宋体" w:eastAsia="宋体" w:cs="宋体"/>
                <w:color w:val="auto"/>
                <w:highlight w:val="none"/>
                <w:lang w:bidi="ar"/>
              </w:rPr>
              <w:t>人：</w:t>
            </w:r>
            <w:r>
              <w:rPr>
                <w:rFonts w:hint="eastAsia" w:ascii="宋体" w:hAnsi="宋体" w:cs="宋体"/>
                <w:color w:val="auto"/>
                <w:highlight w:val="none"/>
                <w:lang w:val="en-US" w:eastAsia="zh-CN" w:bidi="ar"/>
              </w:rPr>
              <w:t>曹思敏</w:t>
            </w:r>
          </w:p>
          <w:p w14:paraId="65221D55">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bidi="ar"/>
              </w:rPr>
              <w:t>联系方式：</w:t>
            </w:r>
            <w:r>
              <w:rPr>
                <w:rFonts w:hint="eastAsia" w:ascii="宋体" w:hAnsi="宋体" w:cs="宋体"/>
                <w:color w:val="auto"/>
                <w:highlight w:val="none"/>
                <w:lang w:eastAsia="zh-CN" w:bidi="ar"/>
              </w:rPr>
              <w:t>0550-3519516、18712012204</w:t>
            </w:r>
          </w:p>
        </w:tc>
      </w:tr>
      <w:tr w14:paraId="17CC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0DB935A9">
            <w:pPr>
              <w:keepNext w:val="0"/>
              <w:keepLines w:val="0"/>
              <w:pageBreakBefore w:val="0"/>
              <w:widowControl w:val="0"/>
              <w:kinsoku/>
              <w:wordWrap w:val="0"/>
              <w:overflowPunct/>
              <w:topLinePunct w:val="0"/>
              <w:autoSpaceDE/>
              <w:autoSpaceDN/>
              <w:bidi w:val="0"/>
              <w:adjustRightInd w:val="0"/>
              <w:snapToGrid w:val="0"/>
              <w:spacing w:line="460" w:lineRule="exact"/>
              <w:jc w:val="left"/>
              <w:textAlignment w:val="auto"/>
              <w:rPr>
                <w:rFonts w:hint="eastAsia"/>
                <w:color w:val="auto"/>
                <w:kern w:val="2"/>
                <w:sz w:val="21"/>
                <w:szCs w:val="24"/>
                <w:highlight w:val="none"/>
                <w:lang w:val="en-US" w:eastAsia="zh-CN" w:bidi="ar"/>
              </w:rPr>
            </w:pPr>
            <w:r>
              <w:rPr>
                <w:rFonts w:hint="eastAsia" w:ascii="宋体" w:hAnsi="宋体" w:eastAsia="宋体" w:cs="宋体"/>
                <w:color w:val="auto"/>
                <w:sz w:val="21"/>
                <w:szCs w:val="21"/>
                <w:highlight w:val="none"/>
                <w:lang w:bidi="ar"/>
              </w:rPr>
              <w:t>公告发布媒体：</w:t>
            </w:r>
            <w:r>
              <w:rPr>
                <w:rFonts w:hint="eastAsia" w:ascii="宋体" w:hAnsi="宋体" w:cs="宋体"/>
                <w:color w:val="auto"/>
                <w:sz w:val="21"/>
                <w:szCs w:val="21"/>
                <w:highlight w:val="none"/>
                <w:lang w:eastAsia="zh-CN" w:bidi="ar"/>
              </w:rPr>
              <w:t>滁州市扬子工业投资集团有限公司官网（https://czyzgtjt.com/)、</w:t>
            </w: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城投工程咨询管理</w:t>
            </w:r>
            <w:r>
              <w:rPr>
                <w:rFonts w:hint="eastAsia" w:ascii="宋体" w:hAnsi="宋体" w:cs="宋体"/>
                <w:color w:val="auto"/>
                <w:highlight w:val="none"/>
                <w:lang w:eastAsia="zh-CN"/>
              </w:rPr>
              <w:t>有限责任公司</w:t>
            </w:r>
            <w:r>
              <w:rPr>
                <w:rFonts w:hint="eastAsia" w:ascii="宋体" w:hAnsi="宋体" w:cs="宋体"/>
                <w:color w:val="auto"/>
                <w:highlight w:val="none"/>
              </w:rPr>
              <w:t>网站（https://www.czctgczx.com/）</w:t>
            </w:r>
          </w:p>
        </w:tc>
      </w:tr>
      <w:tr w14:paraId="53F3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shd w:val="clear" w:color="auto" w:fill="auto"/>
            <w:noWrap w:val="0"/>
            <w:vAlign w:val="center"/>
          </w:tcPr>
          <w:p w14:paraId="10559DE0">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8"/>
                <w:szCs w:val="28"/>
                <w:highlight w:val="none"/>
                <w:lang w:val="en-US" w:eastAsia="zh-CN"/>
              </w:rPr>
              <w:t>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tc>
      </w:tr>
    </w:tbl>
    <w:p w14:paraId="241F75F5">
      <w:pPr>
        <w:jc w:val="both"/>
        <w:rPr>
          <w:rFonts w:hint="eastAsia" w:ascii="宋体" w:hAnsi="宋体" w:eastAsia="宋体" w:cs="宋体"/>
          <w:color w:val="auto"/>
          <w:sz w:val="32"/>
          <w:szCs w:val="32"/>
          <w:highlight w:val="none"/>
        </w:rPr>
      </w:pPr>
    </w:p>
    <w:p w14:paraId="4E75271A">
      <w:pPr>
        <w:jc w:val="center"/>
        <w:rPr>
          <w:rFonts w:hint="eastAsia" w:ascii="宋体" w:hAnsi="宋体" w:eastAsia="宋体" w:cs="宋体"/>
          <w:color w:val="auto"/>
          <w:sz w:val="32"/>
          <w:szCs w:val="32"/>
          <w:highlight w:val="none"/>
        </w:rPr>
      </w:pPr>
    </w:p>
    <w:p w14:paraId="5DE512C8">
      <w:pPr>
        <w:jc w:val="center"/>
        <w:rPr>
          <w:rFonts w:hint="eastAsia" w:ascii="宋体" w:hAnsi="宋体" w:eastAsia="宋体" w:cs="宋体"/>
          <w:color w:val="auto"/>
          <w:sz w:val="32"/>
          <w:szCs w:val="32"/>
          <w:highlight w:val="none"/>
        </w:rPr>
      </w:pPr>
    </w:p>
    <w:p w14:paraId="206B8CC4">
      <w:pPr>
        <w:jc w:val="center"/>
        <w:rPr>
          <w:rFonts w:hint="eastAsia" w:ascii="宋体" w:hAnsi="宋体" w:eastAsia="宋体" w:cs="宋体"/>
          <w:color w:val="auto"/>
          <w:sz w:val="32"/>
          <w:szCs w:val="32"/>
          <w:highlight w:val="none"/>
        </w:rPr>
      </w:pPr>
    </w:p>
    <w:p w14:paraId="10B0444D">
      <w:pPr>
        <w:jc w:val="center"/>
        <w:rPr>
          <w:rFonts w:hint="eastAsia" w:ascii="宋体" w:hAnsi="宋体" w:eastAsia="宋体" w:cs="宋体"/>
          <w:color w:val="auto"/>
          <w:sz w:val="32"/>
          <w:szCs w:val="32"/>
          <w:highlight w:val="none"/>
        </w:rPr>
      </w:pPr>
    </w:p>
    <w:p w14:paraId="7FD50A27">
      <w:pPr>
        <w:jc w:val="center"/>
        <w:rPr>
          <w:rFonts w:hint="eastAsia" w:ascii="宋体" w:hAnsi="宋体" w:eastAsia="宋体" w:cs="宋体"/>
          <w:color w:val="auto"/>
          <w:sz w:val="32"/>
          <w:szCs w:val="32"/>
          <w:highlight w:val="none"/>
        </w:rPr>
      </w:pPr>
    </w:p>
    <w:p w14:paraId="777F6450">
      <w:pPr>
        <w:jc w:val="center"/>
        <w:rPr>
          <w:rFonts w:hint="eastAsia" w:ascii="宋体" w:hAnsi="宋体" w:eastAsia="宋体" w:cs="宋体"/>
          <w:color w:val="auto"/>
          <w:sz w:val="32"/>
          <w:szCs w:val="32"/>
          <w:highlight w:val="none"/>
        </w:rPr>
      </w:pPr>
    </w:p>
    <w:p w14:paraId="0D2AC4D0">
      <w:pPr>
        <w:jc w:val="center"/>
        <w:rPr>
          <w:rFonts w:hint="eastAsia" w:ascii="宋体" w:hAnsi="宋体" w:eastAsia="宋体" w:cs="宋体"/>
          <w:color w:val="auto"/>
          <w:sz w:val="32"/>
          <w:szCs w:val="32"/>
          <w:highlight w:val="none"/>
        </w:rPr>
      </w:pPr>
    </w:p>
    <w:p w14:paraId="7BE553EC">
      <w:pPr>
        <w:jc w:val="center"/>
        <w:rPr>
          <w:rFonts w:hint="eastAsia" w:ascii="宋体" w:hAnsi="宋体" w:eastAsia="宋体" w:cs="宋体"/>
          <w:color w:val="auto"/>
          <w:sz w:val="32"/>
          <w:szCs w:val="32"/>
          <w:highlight w:val="none"/>
        </w:rPr>
      </w:pPr>
    </w:p>
    <w:p w14:paraId="596F0471">
      <w:pPr>
        <w:jc w:val="center"/>
        <w:rPr>
          <w:rFonts w:hint="eastAsia" w:ascii="宋体" w:hAnsi="宋体" w:eastAsia="宋体" w:cs="宋体"/>
          <w:color w:val="auto"/>
          <w:sz w:val="32"/>
          <w:szCs w:val="32"/>
          <w:highlight w:val="none"/>
        </w:rPr>
      </w:pPr>
    </w:p>
    <w:p w14:paraId="466FF895">
      <w:pPr>
        <w:jc w:val="center"/>
        <w:rPr>
          <w:rFonts w:hint="eastAsia" w:ascii="宋体" w:hAnsi="宋体" w:eastAsia="宋体" w:cs="宋体"/>
          <w:color w:val="auto"/>
          <w:sz w:val="32"/>
          <w:szCs w:val="32"/>
          <w:highlight w:val="none"/>
        </w:rPr>
      </w:pPr>
    </w:p>
    <w:p w14:paraId="44B0DF3E">
      <w:pPr>
        <w:jc w:val="center"/>
        <w:rPr>
          <w:rFonts w:hint="eastAsia" w:ascii="宋体" w:hAnsi="宋体" w:eastAsia="宋体" w:cs="宋体"/>
          <w:color w:val="auto"/>
          <w:sz w:val="32"/>
          <w:szCs w:val="32"/>
          <w:highlight w:val="none"/>
        </w:rPr>
      </w:pPr>
    </w:p>
    <w:p w14:paraId="7642EBCE">
      <w:pPr>
        <w:jc w:val="center"/>
        <w:rPr>
          <w:rFonts w:hint="eastAsia" w:ascii="宋体" w:hAnsi="宋体" w:eastAsia="宋体" w:cs="宋体"/>
          <w:color w:val="auto"/>
          <w:sz w:val="32"/>
          <w:szCs w:val="32"/>
          <w:highlight w:val="none"/>
        </w:rPr>
      </w:pPr>
    </w:p>
    <w:p w14:paraId="4B555FD6">
      <w:pPr>
        <w:jc w:val="center"/>
        <w:rPr>
          <w:rFonts w:hint="eastAsia" w:ascii="宋体" w:hAnsi="宋体" w:eastAsia="宋体" w:cs="宋体"/>
          <w:color w:val="auto"/>
          <w:sz w:val="32"/>
          <w:szCs w:val="32"/>
          <w:highlight w:val="none"/>
        </w:rPr>
      </w:pPr>
    </w:p>
    <w:p w14:paraId="75E9DE45">
      <w:pPr>
        <w:jc w:val="center"/>
        <w:rPr>
          <w:rFonts w:hint="eastAsia" w:ascii="宋体" w:hAnsi="宋体" w:eastAsia="宋体" w:cs="宋体"/>
          <w:color w:val="auto"/>
          <w:sz w:val="32"/>
          <w:szCs w:val="32"/>
          <w:highlight w:val="none"/>
        </w:rPr>
      </w:pPr>
    </w:p>
    <w:p w14:paraId="1316F1F4">
      <w:pPr>
        <w:jc w:val="center"/>
        <w:rPr>
          <w:rFonts w:hint="eastAsia" w:ascii="宋体" w:hAnsi="宋体" w:eastAsia="宋体" w:cs="宋体"/>
          <w:color w:val="auto"/>
          <w:sz w:val="32"/>
          <w:szCs w:val="32"/>
          <w:highlight w:val="none"/>
        </w:rPr>
      </w:pPr>
    </w:p>
    <w:p w14:paraId="7EA0BA0C">
      <w:pPr>
        <w:jc w:val="center"/>
        <w:rPr>
          <w:rFonts w:hint="eastAsia" w:ascii="宋体" w:hAnsi="宋体" w:eastAsia="宋体" w:cs="宋体"/>
          <w:color w:val="auto"/>
          <w:sz w:val="32"/>
          <w:szCs w:val="32"/>
          <w:highlight w:val="none"/>
        </w:rPr>
      </w:pPr>
    </w:p>
    <w:p w14:paraId="1A274808">
      <w:pPr>
        <w:jc w:val="center"/>
        <w:rPr>
          <w:rFonts w:hint="eastAsia" w:ascii="宋体" w:hAnsi="宋体" w:eastAsia="宋体" w:cs="宋体"/>
          <w:color w:val="auto"/>
          <w:sz w:val="32"/>
          <w:szCs w:val="32"/>
          <w:highlight w:val="none"/>
        </w:rPr>
      </w:pPr>
    </w:p>
    <w:p w14:paraId="515552F3">
      <w:pPr>
        <w:jc w:val="center"/>
        <w:rPr>
          <w:rFonts w:hint="eastAsia" w:ascii="宋体" w:hAnsi="宋体" w:eastAsia="宋体" w:cs="宋体"/>
          <w:color w:val="auto"/>
          <w:sz w:val="32"/>
          <w:szCs w:val="32"/>
          <w:highlight w:val="none"/>
        </w:rPr>
      </w:pPr>
    </w:p>
    <w:p w14:paraId="279C7068">
      <w:pPr>
        <w:jc w:val="center"/>
        <w:rPr>
          <w:rFonts w:hint="eastAsia" w:ascii="宋体" w:hAnsi="宋体" w:eastAsia="宋体" w:cs="宋体"/>
          <w:color w:val="auto"/>
          <w:sz w:val="32"/>
          <w:szCs w:val="32"/>
          <w:highlight w:val="none"/>
        </w:rPr>
      </w:pPr>
    </w:p>
    <w:p w14:paraId="2BB67B52">
      <w:pPr>
        <w:jc w:val="both"/>
        <w:rPr>
          <w:rFonts w:hint="eastAsia" w:ascii="宋体" w:hAnsi="宋体" w:eastAsia="宋体" w:cs="宋体"/>
          <w:color w:val="auto"/>
          <w:sz w:val="32"/>
          <w:szCs w:val="32"/>
          <w:highlight w:val="none"/>
        </w:rPr>
      </w:pPr>
    </w:p>
    <w:p w14:paraId="35684576">
      <w:pPr>
        <w:jc w:val="center"/>
        <w:rPr>
          <w:rFonts w:hint="eastAsia" w:ascii="宋体" w:hAnsi="宋体" w:eastAsia="宋体" w:cs="宋体"/>
          <w:color w:val="auto"/>
          <w:sz w:val="32"/>
          <w:szCs w:val="32"/>
          <w:highlight w:val="none"/>
        </w:rPr>
      </w:pPr>
    </w:p>
    <w:p w14:paraId="5C20224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A、投标须知前附表</w:t>
      </w:r>
    </w:p>
    <w:tbl>
      <w:tblPr>
        <w:tblStyle w:val="48"/>
        <w:tblW w:w="10260" w:type="dxa"/>
        <w:tblInd w:w="-540" w:type="dxa"/>
        <w:tblLayout w:type="fixed"/>
        <w:tblCellMar>
          <w:top w:w="0" w:type="dxa"/>
          <w:left w:w="0" w:type="dxa"/>
          <w:bottom w:w="0" w:type="dxa"/>
          <w:right w:w="0" w:type="dxa"/>
        </w:tblCellMar>
      </w:tblPr>
      <w:tblGrid>
        <w:gridCol w:w="563"/>
        <w:gridCol w:w="1185"/>
        <w:gridCol w:w="8512"/>
      </w:tblGrid>
      <w:tr w14:paraId="13495E28">
        <w:tblPrEx>
          <w:tblCellMar>
            <w:top w:w="0" w:type="dxa"/>
            <w:left w:w="0" w:type="dxa"/>
            <w:bottom w:w="0" w:type="dxa"/>
            <w:right w:w="0" w:type="dxa"/>
          </w:tblCellMar>
        </w:tblPrEx>
        <w:trPr>
          <w:trHeight w:val="27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C28B4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highlight w:val="none"/>
              </w:rPr>
            </w:pPr>
            <w:bookmarkStart w:id="1" w:name="_Toc25340"/>
            <w:r>
              <w:rPr>
                <w:rFonts w:hint="eastAsia" w:ascii="宋体" w:hAnsi="宋体" w:eastAsia="宋体" w:cs="宋体"/>
                <w:color w:val="auto"/>
                <w:kern w:val="0"/>
                <w:sz w:val="24"/>
                <w:highlight w:val="none"/>
              </w:rPr>
              <w:t>编号</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D0712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内容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5081A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说明与要求</w:t>
            </w:r>
          </w:p>
        </w:tc>
      </w:tr>
      <w:tr w14:paraId="183C631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FBB8A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2BD5DB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项目</w:t>
            </w:r>
            <w:r>
              <w:rPr>
                <w:rFonts w:hint="eastAsia" w:ascii="宋体" w:hAnsi="宋体" w:eastAsia="宋体" w:cs="宋体"/>
                <w:color w:val="auto"/>
                <w:kern w:val="0"/>
                <w:highlight w:val="none"/>
              </w:rPr>
              <w:t>概况</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13587E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kern w:val="0"/>
                <w:sz w:val="21"/>
                <w:highlight w:val="none"/>
                <w:lang w:val="en-US" w:eastAsia="zh-CN"/>
              </w:rPr>
              <w:t>项目</w:t>
            </w:r>
            <w:r>
              <w:rPr>
                <w:rFonts w:hint="eastAsia" w:ascii="宋体" w:hAnsi="宋体" w:eastAsia="宋体" w:cs="宋体"/>
                <w:color w:val="auto"/>
                <w:spacing w:val="0"/>
                <w:kern w:val="0"/>
                <w:sz w:val="21"/>
                <w:highlight w:val="none"/>
              </w:rPr>
              <w:t>名称：</w:t>
            </w:r>
            <w:r>
              <w:rPr>
                <w:rFonts w:hint="eastAsia" w:ascii="宋体" w:hAnsi="宋体" w:cs="宋体"/>
                <w:bCs/>
                <w:color w:val="auto"/>
                <w:kern w:val="1"/>
                <w:sz w:val="21"/>
                <w:szCs w:val="21"/>
                <w:highlight w:val="none"/>
                <w:lang w:val="en-US" w:eastAsia="zh-CN"/>
              </w:rPr>
              <w:t>工投科技产业园1号厂房变压器及配套设备采购及安装项目</w:t>
            </w:r>
            <w:r>
              <w:rPr>
                <w:rFonts w:hint="default" w:ascii="宋体" w:hAnsi="宋体" w:eastAsia="宋体" w:cs="宋体"/>
                <w:bCs/>
                <w:color w:val="auto"/>
                <w:kern w:val="1"/>
                <w:sz w:val="21"/>
                <w:szCs w:val="21"/>
                <w:highlight w:val="none"/>
                <w:lang w:val="en-US" w:eastAsia="zh-CN"/>
              </w:rPr>
              <w:t xml:space="preserve"> </w:t>
            </w:r>
          </w:p>
          <w:p w14:paraId="653BC884">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highlight w:val="none"/>
                <w:lang w:val="en-US"/>
              </w:rPr>
            </w:pPr>
            <w:r>
              <w:rPr>
                <w:rFonts w:hint="eastAsia" w:ascii="宋体" w:hAnsi="宋体" w:eastAsia="宋体" w:cs="宋体"/>
                <w:color w:val="auto"/>
                <w:kern w:val="0"/>
                <w:highlight w:val="none"/>
              </w:rPr>
              <w:t>项目地点：</w:t>
            </w:r>
            <w:r>
              <w:rPr>
                <w:rFonts w:hint="eastAsia" w:ascii="宋体" w:hAnsi="宋体" w:eastAsia="宋体" w:cs="宋体"/>
                <w:color w:val="auto"/>
                <w:kern w:val="0"/>
                <w:highlight w:val="none"/>
                <w:lang w:eastAsia="zh-CN"/>
              </w:rPr>
              <w:t>滁州市</w:t>
            </w:r>
            <w:r>
              <w:rPr>
                <w:rFonts w:hint="eastAsia" w:ascii="宋体" w:hAnsi="宋体" w:eastAsia="宋体" w:cs="宋体"/>
                <w:color w:val="auto"/>
                <w:kern w:val="0"/>
                <w:highlight w:val="none"/>
                <w:lang w:val="en-US" w:eastAsia="zh-CN"/>
              </w:rPr>
              <w:t>内</w:t>
            </w:r>
          </w:p>
          <w:p w14:paraId="36ADD538">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Cs w:val="21"/>
                <w:highlight w:val="none"/>
              </w:rPr>
            </w:pPr>
            <w:r>
              <w:rPr>
                <w:rFonts w:hint="eastAsia" w:ascii="宋体" w:hAnsi="宋体" w:cs="宋体"/>
                <w:color w:val="auto"/>
                <w:kern w:val="0"/>
                <w:highlight w:val="none"/>
                <w:lang w:val="en-US" w:eastAsia="zh-CN"/>
              </w:rPr>
              <w:t>招标</w:t>
            </w:r>
            <w:r>
              <w:rPr>
                <w:rFonts w:hint="eastAsia" w:ascii="宋体" w:hAnsi="宋体" w:eastAsia="宋体" w:cs="宋体"/>
                <w:color w:val="auto"/>
                <w:kern w:val="0"/>
                <w:highlight w:val="none"/>
              </w:rPr>
              <w:t>内容如下：</w:t>
            </w:r>
            <w:r>
              <w:rPr>
                <w:rFonts w:hint="eastAsia" w:ascii="宋体" w:hAnsi="宋体" w:eastAsia="宋体" w:cs="宋体"/>
                <w:color w:val="auto"/>
                <w:kern w:val="0"/>
                <w:sz w:val="21"/>
                <w:szCs w:val="21"/>
                <w:highlight w:val="none"/>
                <w:lang w:val="en-US" w:eastAsia="zh-CN"/>
              </w:rPr>
              <w:t>详见《</w:t>
            </w:r>
            <w:r>
              <w:rPr>
                <w:rFonts w:hint="eastAsia" w:ascii="宋体" w:hAnsi="宋体" w:cs="宋体"/>
                <w:color w:val="auto"/>
                <w:kern w:val="0"/>
                <w:sz w:val="21"/>
                <w:szCs w:val="21"/>
                <w:highlight w:val="none"/>
                <w:lang w:val="en-US" w:eastAsia="zh-CN"/>
              </w:rPr>
              <w:t>工程量清单</w:t>
            </w:r>
            <w:r>
              <w:rPr>
                <w:rFonts w:hint="eastAsia" w:ascii="宋体" w:hAnsi="宋体" w:eastAsia="宋体" w:cs="宋体"/>
                <w:color w:val="auto"/>
                <w:kern w:val="0"/>
                <w:sz w:val="21"/>
                <w:szCs w:val="21"/>
                <w:highlight w:val="none"/>
                <w:lang w:val="en-US" w:eastAsia="zh-CN"/>
              </w:rPr>
              <w:t>》</w:t>
            </w:r>
          </w:p>
        </w:tc>
      </w:tr>
      <w:tr w14:paraId="752A6750">
        <w:tblPrEx>
          <w:tblCellMar>
            <w:top w:w="0" w:type="dxa"/>
            <w:left w:w="0" w:type="dxa"/>
            <w:bottom w:w="0" w:type="dxa"/>
            <w:right w:w="0" w:type="dxa"/>
          </w:tblCellMar>
        </w:tblPrEx>
        <w:trPr>
          <w:trHeight w:val="1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0F0FE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E7211D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招标范围</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C91C028">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sz w:val="21"/>
                <w:szCs w:val="21"/>
                <w:highlight w:val="none"/>
                <w:lang w:val="en-US" w:eastAsia="zh-CN"/>
              </w:rPr>
              <w:t>变压器及</w:t>
            </w:r>
            <w:r>
              <w:rPr>
                <w:rFonts w:hint="eastAsia" w:ascii="宋体" w:hAnsi="宋体" w:cs="宋体"/>
                <w:color w:val="auto"/>
                <w:kern w:val="0"/>
                <w:sz w:val="21"/>
                <w:szCs w:val="21"/>
                <w:highlight w:val="none"/>
                <w:lang w:val="en-US" w:eastAsia="zh-CN"/>
              </w:rPr>
              <w:t>配套设备</w:t>
            </w:r>
            <w:r>
              <w:rPr>
                <w:rFonts w:hint="eastAsia" w:ascii="宋体" w:hAnsi="宋体" w:eastAsia="宋体" w:cs="宋体"/>
                <w:color w:val="auto"/>
                <w:kern w:val="0"/>
                <w:sz w:val="21"/>
                <w:szCs w:val="21"/>
                <w:highlight w:val="none"/>
                <w:lang w:val="en-US" w:eastAsia="zh-CN"/>
              </w:rPr>
              <w:t>采购</w:t>
            </w:r>
            <w:r>
              <w:rPr>
                <w:rFonts w:hint="eastAsia" w:hAnsi="宋体" w:cs="宋体"/>
                <w:color w:val="auto"/>
                <w:kern w:val="0"/>
                <w:sz w:val="21"/>
                <w:szCs w:val="21"/>
                <w:highlight w:val="none"/>
                <w:lang w:val="en-US" w:eastAsia="zh-CN"/>
              </w:rPr>
              <w:t>及安装</w:t>
            </w:r>
            <w:r>
              <w:rPr>
                <w:rFonts w:hint="eastAsia" w:ascii="宋体" w:hAnsi="宋体" w:eastAsia="宋体" w:cs="宋体"/>
                <w:color w:val="auto"/>
                <w:kern w:val="0"/>
                <w:highlight w:val="none"/>
                <w:lang w:val="en-US" w:eastAsia="zh-CN"/>
              </w:rPr>
              <w:t>。</w:t>
            </w:r>
          </w:p>
        </w:tc>
      </w:tr>
      <w:tr w14:paraId="1D0B9905">
        <w:tblPrEx>
          <w:tblCellMar>
            <w:top w:w="0" w:type="dxa"/>
            <w:left w:w="0" w:type="dxa"/>
            <w:bottom w:w="0" w:type="dxa"/>
            <w:right w:w="0" w:type="dxa"/>
          </w:tblCellMar>
        </w:tblPrEx>
        <w:trPr>
          <w:trHeight w:val="22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F0706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3653F23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工期要求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249FB1B4">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eastAsia="zh-CN"/>
              </w:rPr>
              <w:t>自合同签订之日起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个日历天内供货、安装</w:t>
            </w:r>
            <w:r>
              <w:rPr>
                <w:rFonts w:hint="eastAsia" w:ascii="宋体" w:hAnsi="宋体" w:cs="宋体"/>
                <w:color w:val="auto"/>
                <w:szCs w:val="21"/>
                <w:highlight w:val="none"/>
              </w:rPr>
              <w:t>、调试及验收完成</w:t>
            </w:r>
            <w:r>
              <w:rPr>
                <w:rFonts w:hint="eastAsia" w:hAnsi="宋体" w:cs="宋体"/>
                <w:color w:val="auto"/>
                <w:szCs w:val="21"/>
                <w:highlight w:val="none"/>
              </w:rPr>
              <w:t>。</w:t>
            </w:r>
            <w:r>
              <w:rPr>
                <w:rFonts w:hint="eastAsia" w:ascii="宋体" w:hAnsi="宋体" w:eastAsia="宋体" w:cs="宋体"/>
                <w:color w:val="auto"/>
                <w:szCs w:val="21"/>
                <w:highlight w:val="none"/>
                <w:lang w:val="en-US" w:eastAsia="zh-CN"/>
              </w:rPr>
              <w:t>投标人自报的承诺工期为考核标准，每推迟一天，按1000 元/天处以违约金。</w:t>
            </w:r>
          </w:p>
        </w:tc>
      </w:tr>
      <w:tr w14:paraId="6C26A421">
        <w:tblPrEx>
          <w:tblCellMar>
            <w:top w:w="0" w:type="dxa"/>
            <w:left w:w="0" w:type="dxa"/>
            <w:bottom w:w="0" w:type="dxa"/>
            <w:right w:w="0" w:type="dxa"/>
          </w:tblCellMar>
        </w:tblPrEx>
        <w:trPr>
          <w:trHeight w:val="26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BC150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299082B">
            <w:pPr>
              <w:keepNext w:val="0"/>
              <w:keepLines w:val="0"/>
              <w:pageBreakBefore w:val="0"/>
              <w:kinsoku/>
              <w:wordWrap/>
              <w:overflowPunct/>
              <w:topLinePunct w:val="0"/>
              <w:autoSpaceDE/>
              <w:autoSpaceDN/>
              <w:bidi w:val="0"/>
              <w:adjustRightInd/>
              <w:snapToGrid/>
              <w:spacing w:line="350" w:lineRule="exact"/>
              <w:ind w:left="1470" w:leftChars="0" w:hanging="1470" w:hangingChars="700"/>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质量要求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756B9932">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default" w:eastAsia="宋体"/>
                <w:color w:val="auto"/>
                <w:highlight w:val="none"/>
                <w:lang w:val="en-US" w:eastAsia="zh-CN"/>
              </w:rPr>
              <w:t>工程质量必须达到国家工程施工质量验收合格标准。</w:t>
            </w:r>
          </w:p>
        </w:tc>
      </w:tr>
      <w:tr w14:paraId="59A99006">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59F18B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7D29972">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highlight w:val="none"/>
              </w:rPr>
              <w:t>投标人资格要求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24582B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color w:val="auto"/>
                <w:highlight w:val="none"/>
                <w:lang w:val="en-US" w:eastAsia="zh-CN"/>
              </w:rPr>
            </w:pPr>
            <w:r>
              <w:rPr>
                <w:rFonts w:hint="eastAsia" w:ascii="宋体" w:hAnsi="宋体" w:cs="宋体"/>
                <w:color w:val="auto"/>
                <w:kern w:val="0"/>
                <w:szCs w:val="21"/>
                <w:highlight w:val="none"/>
                <w:lang w:val="en-US" w:eastAsia="zh-CN"/>
              </w:rPr>
              <w:t>详见招标公告</w:t>
            </w:r>
            <w:r>
              <w:rPr>
                <w:rFonts w:hint="eastAsia" w:ascii="宋体" w:hAnsi="宋体" w:eastAsia="宋体" w:cs="宋体"/>
                <w:bCs/>
                <w:color w:val="auto"/>
                <w:kern w:val="1"/>
                <w:sz w:val="21"/>
                <w:szCs w:val="21"/>
                <w:highlight w:val="none"/>
                <w:lang w:val="en-US" w:eastAsia="zh-CN"/>
              </w:rPr>
              <w:t xml:space="preserve"> </w:t>
            </w:r>
            <w:r>
              <w:rPr>
                <w:rFonts w:hint="eastAsia" w:ascii="宋体" w:hAnsi="宋体" w:eastAsia="宋体" w:cs="宋体"/>
                <w:bCs/>
                <w:color w:val="auto"/>
                <w:kern w:val="1"/>
                <w:sz w:val="21"/>
                <w:szCs w:val="21"/>
                <w:highlight w:val="none"/>
                <w:lang w:eastAsia="zh-CN"/>
              </w:rPr>
              <w:t xml:space="preserve">         </w:t>
            </w:r>
          </w:p>
        </w:tc>
      </w:tr>
      <w:tr w14:paraId="278819E2">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ED56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2161780">
            <w:pPr>
              <w:keepNext w:val="0"/>
              <w:keepLines w:val="0"/>
              <w:pageBreakBefore w:val="0"/>
              <w:widowControl w:val="0"/>
              <w:kinsoku/>
              <w:wordWrap/>
              <w:overflowPunct/>
              <w:topLinePunct w:val="0"/>
              <w:autoSpaceDE/>
              <w:autoSpaceDN/>
              <w:bidi w:val="0"/>
              <w:adjustRightInd/>
              <w:snapToGrid/>
              <w:spacing w:line="350" w:lineRule="exact"/>
              <w:ind w:left="1470" w:leftChars="0" w:hanging="1470" w:hangingChars="700"/>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最高限价</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2103F9A6">
            <w:pPr>
              <w:keepNext w:val="0"/>
              <w:keepLines w:val="0"/>
              <w:pageBreakBefore w:val="0"/>
              <w:widowControl/>
              <w:numPr>
                <w:ilvl w:val="0"/>
                <w:numId w:val="0"/>
              </w:numPr>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ascii="宋体" w:hAnsi="宋体" w:eastAsia="宋体" w:cs="宋体"/>
                <w:color w:val="auto"/>
                <w:kern w:val="0"/>
                <w:szCs w:val="21"/>
                <w:highlight w:val="none"/>
                <w:lang w:val="en-US" w:eastAsia="zh-CN"/>
              </w:rPr>
              <w:t>项目最高限价为</w:t>
            </w:r>
            <w:r>
              <w:rPr>
                <w:rFonts w:hint="eastAsia" w:ascii="宋体" w:hAnsi="宋体" w:cs="宋体"/>
                <w:color w:val="auto"/>
                <w:kern w:val="0"/>
                <w:szCs w:val="21"/>
                <w:highlight w:val="none"/>
                <w:lang w:val="en-US" w:eastAsia="zh-CN"/>
              </w:rPr>
              <w:t>300000.00元</w:t>
            </w:r>
            <w:r>
              <w:rPr>
                <w:rFonts w:hint="eastAsia" w:ascii="宋体" w:hAnsi="宋体" w:eastAsia="宋体" w:cs="宋体"/>
                <w:color w:val="auto"/>
                <w:kern w:val="0"/>
                <w:szCs w:val="21"/>
                <w:highlight w:val="none"/>
                <w:lang w:val="en-US" w:eastAsia="zh-CN"/>
              </w:rPr>
              <w:t>。投标人结合现行的市场价格信息并充分考虑市场价格的走势风险，按招标文件规定的计价依据及结算方式进行报价。本项目投标人的投标报价不得高于最高限价，否则按无效标处理。</w:t>
            </w:r>
          </w:p>
        </w:tc>
      </w:tr>
      <w:tr w14:paraId="7FDA4F8C">
        <w:tblPrEx>
          <w:tblCellMar>
            <w:top w:w="0" w:type="dxa"/>
            <w:left w:w="0" w:type="dxa"/>
            <w:bottom w:w="0" w:type="dxa"/>
            <w:right w:w="0" w:type="dxa"/>
          </w:tblCellMar>
        </w:tblPrEx>
        <w:trPr>
          <w:trHeight w:val="413"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C6E6F25">
            <w:pPr>
              <w:keepNext w:val="0"/>
              <w:keepLines w:val="0"/>
              <w:pageBreakBefore w:val="0"/>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7</w:t>
            </w:r>
          </w:p>
        </w:tc>
        <w:tc>
          <w:tcPr>
            <w:tcW w:w="1185" w:type="dxa"/>
            <w:tcBorders>
              <w:top w:val="single" w:color="auto" w:sz="8" w:space="0"/>
              <w:left w:val="single" w:color="auto" w:sz="4" w:space="0"/>
              <w:bottom w:val="single" w:color="auto" w:sz="8" w:space="0"/>
              <w:right w:val="single" w:color="auto" w:sz="4" w:space="0"/>
            </w:tcBorders>
            <w:noWrap w:val="0"/>
            <w:vAlign w:val="bottom"/>
          </w:tcPr>
          <w:p w14:paraId="17E41655">
            <w:pPr>
              <w:pStyle w:val="27"/>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6"/>
                <w:kern w:val="0"/>
                <w:sz w:val="21"/>
                <w:szCs w:val="24"/>
                <w:highlight w:val="none"/>
              </w:rPr>
            </w:pPr>
            <w:r>
              <w:rPr>
                <w:rFonts w:hint="eastAsia" w:ascii="宋体" w:hAnsi="宋体" w:eastAsia="宋体" w:cs="宋体"/>
                <w:color w:val="auto"/>
                <w:spacing w:val="-6"/>
                <w:kern w:val="0"/>
                <w:sz w:val="21"/>
                <w:szCs w:val="24"/>
                <w:highlight w:val="none"/>
              </w:rPr>
              <w:t>投标文件份数</w:t>
            </w:r>
          </w:p>
        </w:tc>
        <w:tc>
          <w:tcPr>
            <w:tcW w:w="8512"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4D0D5C7A">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加密电子投标文件应在投标截止时间前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登录</w:t>
            </w:r>
            <w:r>
              <w:rPr>
                <w:rFonts w:hint="eastAsia" w:ascii="宋体" w:hAnsi="宋体" w:eastAsia="宋体" w:cs="宋体"/>
                <w:color w:val="auto"/>
                <w:szCs w:val="21"/>
                <w:highlight w:val="none"/>
              </w:rPr>
              <w:t>新点电子交易平台【滁州专区】上传投标文件。</w:t>
            </w:r>
          </w:p>
          <w:p w14:paraId="31C02638">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（投标人中标后须递交与网上电子投标文件完全一致的纸质版投标文件，并按要求加盖单位公章；份数：正本</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rPr>
              <w:t>份；中标人领取中标通知书时，一并递交给招标代理机构）。</w:t>
            </w:r>
          </w:p>
        </w:tc>
      </w:tr>
      <w:tr w14:paraId="5A7EB89E">
        <w:tblPrEx>
          <w:tblCellMar>
            <w:top w:w="0" w:type="dxa"/>
            <w:left w:w="0" w:type="dxa"/>
            <w:bottom w:w="0" w:type="dxa"/>
            <w:right w:w="0" w:type="dxa"/>
          </w:tblCellMar>
        </w:tblPrEx>
        <w:trPr>
          <w:trHeight w:val="105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30FB3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8</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8934F66">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勘察现场及投标预备会</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83CE86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u w:val="single"/>
              </w:rPr>
              <w:t>不再集中召开招标答疑会；投标人自行组织勘察现场。</w:t>
            </w:r>
          </w:p>
        </w:tc>
      </w:tr>
      <w:tr w14:paraId="4A7D92E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E616B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9</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28EEAE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7C73595E">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详见招标公告</w:t>
            </w:r>
          </w:p>
        </w:tc>
      </w:tr>
      <w:tr w14:paraId="73E9EC3C">
        <w:tblPrEx>
          <w:tblCellMar>
            <w:top w:w="0" w:type="dxa"/>
            <w:left w:w="0" w:type="dxa"/>
            <w:bottom w:w="0" w:type="dxa"/>
            <w:right w:w="0" w:type="dxa"/>
          </w:tblCellMar>
        </w:tblPrEx>
        <w:trPr>
          <w:trHeight w:val="117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CEFF1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0</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4607C3E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highlight w:val="none"/>
              </w:rPr>
              <w:t>投标文件提交截止时间</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04D3E7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时间：</w:t>
            </w:r>
            <w:r>
              <w:rPr>
                <w:rFonts w:hint="eastAsia" w:ascii="宋体" w:hAnsi="宋体" w:cs="宋体"/>
                <w:color w:val="auto"/>
                <w:kern w:val="0"/>
                <w:szCs w:val="21"/>
                <w:highlight w:val="none"/>
                <w:lang w:val="en-US" w:eastAsia="zh-CN"/>
              </w:rPr>
              <w:t>2026年7月 1 日</w:t>
            </w:r>
            <w:r>
              <w:rPr>
                <w:rFonts w:hint="eastAsia" w:ascii="宋体" w:hAnsi="宋体" w:eastAsia="宋体" w:cs="宋体"/>
                <w:color w:val="auto"/>
                <w:kern w:val="0"/>
                <w:szCs w:val="21"/>
                <w:highlight w:val="none"/>
                <w:lang w:val="en-US" w:eastAsia="zh-CN"/>
              </w:rPr>
              <w:t>9时00分</w:t>
            </w:r>
          </w:p>
        </w:tc>
      </w:tr>
      <w:tr w14:paraId="6AE0F34F">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83B54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4344BF9">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sz w:val="21"/>
                <w:szCs w:val="21"/>
                <w:highlight w:val="none"/>
              </w:rPr>
              <w:t>开标</w:t>
            </w:r>
            <w:r>
              <w:rPr>
                <w:rFonts w:hint="eastAsia" w:ascii="宋体" w:hAnsi="宋体" w:eastAsia="宋体" w:cs="宋体"/>
                <w:color w:val="auto"/>
                <w:kern w:val="0"/>
                <w:sz w:val="21"/>
                <w:szCs w:val="21"/>
                <w:highlight w:val="none"/>
                <w:lang w:val="en-US" w:eastAsia="zh-CN"/>
              </w:rPr>
              <w:t>时间及地点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FBD93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开标时间：</w:t>
            </w:r>
            <w:r>
              <w:rPr>
                <w:rFonts w:hint="eastAsia" w:ascii="宋体" w:hAnsi="宋体" w:cs="宋体"/>
                <w:color w:val="auto"/>
                <w:kern w:val="0"/>
                <w:szCs w:val="21"/>
                <w:highlight w:val="none"/>
                <w:lang w:val="en-US" w:eastAsia="zh-CN"/>
              </w:rPr>
              <w:t>2026年7月 1 日</w:t>
            </w:r>
            <w:r>
              <w:rPr>
                <w:rFonts w:hint="eastAsia" w:ascii="宋体" w:hAnsi="宋体" w:eastAsia="宋体" w:cs="宋体"/>
                <w:color w:val="auto"/>
                <w:kern w:val="0"/>
                <w:szCs w:val="21"/>
                <w:highlight w:val="none"/>
                <w:lang w:val="en-US" w:eastAsia="zh-CN"/>
              </w:rPr>
              <w:t>9时00分</w:t>
            </w:r>
          </w:p>
          <w:p w14:paraId="1564462C">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0774D646">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5CCA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DA94F27">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付款方式</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1FDF8F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color w:val="auto"/>
                <w:highlight w:val="none"/>
              </w:rPr>
              <w:t>整体供货安装完成且经招标人验收合格后付至验收合格货物总金额的95％，剩余5%为质保金，质保期（</w:t>
            </w:r>
            <w:r>
              <w:rPr>
                <w:rFonts w:hint="eastAsia"/>
                <w:color w:val="auto"/>
                <w:highlight w:val="none"/>
                <w:lang w:val="en-US" w:eastAsia="zh-CN"/>
              </w:rPr>
              <w:t>五年</w:t>
            </w:r>
            <w:r>
              <w:rPr>
                <w:rFonts w:hint="eastAsia"/>
                <w:color w:val="auto"/>
                <w:highlight w:val="none"/>
              </w:rPr>
              <w:t>，质保期自验收合格之日起计算）满后一次性无息付清。</w:t>
            </w:r>
            <w:r>
              <w:rPr>
                <w:rFonts w:hint="eastAsia"/>
                <w:color w:val="auto"/>
                <w:highlight w:val="none"/>
                <w:lang w:eastAsia="zh-CN"/>
              </w:rPr>
              <w:t>（</w:t>
            </w:r>
            <w:r>
              <w:rPr>
                <w:rFonts w:hint="eastAsia"/>
                <w:color w:val="auto"/>
                <w:highlight w:val="none"/>
                <w:lang w:val="en-US" w:eastAsia="zh-CN"/>
              </w:rPr>
              <w:t>中标单位须提供增值税专用发票，税率按投标时所报为准</w:t>
            </w:r>
            <w:r>
              <w:rPr>
                <w:rFonts w:hint="eastAsia"/>
                <w:color w:val="auto"/>
                <w:highlight w:val="none"/>
                <w:lang w:eastAsia="zh-CN"/>
              </w:rPr>
              <w:t>）</w:t>
            </w:r>
          </w:p>
        </w:tc>
      </w:tr>
      <w:tr w14:paraId="17C1C3C4">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195827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13</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3FB4DB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相关费用</w:t>
            </w:r>
          </w:p>
        </w:tc>
        <w:tc>
          <w:tcPr>
            <w:tcW w:w="8512" w:type="dxa"/>
            <w:tcBorders>
              <w:top w:val="single" w:color="auto" w:sz="4" w:space="0"/>
              <w:left w:val="single" w:color="auto" w:sz="4" w:space="0"/>
              <w:bottom w:val="single" w:color="auto" w:sz="4" w:space="0"/>
              <w:right w:val="single" w:color="auto" w:sz="8" w:space="0"/>
            </w:tcBorders>
            <w:noWrap w:val="0"/>
            <w:vAlign w:val="center"/>
          </w:tcPr>
          <w:p w14:paraId="25EAB1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本工程招标代理费用</w:t>
            </w:r>
            <w:r>
              <w:rPr>
                <w:rFonts w:hint="eastAsia" w:ascii="宋体" w:hAnsi="宋体" w:cs="宋体"/>
                <w:color w:val="auto"/>
                <w:kern w:val="0"/>
                <w:szCs w:val="21"/>
                <w:highlight w:val="none"/>
                <w:lang w:val="en-US" w:eastAsia="zh-CN"/>
              </w:rPr>
              <w:t>3000</w:t>
            </w:r>
            <w:r>
              <w:rPr>
                <w:rFonts w:hint="eastAsia" w:ascii="宋体" w:hAnsi="宋体" w:eastAsia="宋体" w:cs="宋体"/>
                <w:color w:val="auto"/>
                <w:kern w:val="0"/>
                <w:szCs w:val="21"/>
                <w:highlight w:val="none"/>
                <w:lang w:val="en-US" w:eastAsia="zh-CN"/>
              </w:rPr>
              <w:t>元，评委费（如有）另计，以实际发生为准，上述费用含在投标让利中，不单独列项，由中标单位在领取中标通知书时一次性付清给代理机构</w:t>
            </w:r>
          </w:p>
        </w:tc>
      </w:tr>
      <w:tr w14:paraId="220FFB83">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0AEDC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14</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7CBBA">
            <w:pPr>
              <w:pStyle w:val="25"/>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hAnsi="宋体" w:cs="宋体"/>
                <w:color w:val="auto"/>
                <w:szCs w:val="21"/>
                <w:highlight w:val="none"/>
              </w:rPr>
              <w:t>履约担保</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31895BFC">
            <w:pPr>
              <w:widowControl/>
              <w:spacing w:line="44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不收取</w:t>
            </w:r>
          </w:p>
        </w:tc>
      </w:tr>
      <w:tr w14:paraId="7A8CA75A">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EF443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15</w:t>
            </w:r>
          </w:p>
          <w:p w14:paraId="4C4F08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EAB89A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color w:val="auto"/>
                <w:position w:val="6"/>
                <w:sz w:val="21"/>
                <w:szCs w:val="21"/>
                <w:highlight w:val="none"/>
                <w:u w:val="none"/>
                <w:lang w:val="en-US" w:eastAsia="zh-CN"/>
              </w:rPr>
              <w:t>项目其他</w:t>
            </w:r>
          </w:p>
          <w:p w14:paraId="077DE6B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 xml:space="preserve"> </w:t>
            </w:r>
            <w:r>
              <w:rPr>
                <w:rFonts w:hint="eastAsia" w:ascii="宋体" w:hAnsi="宋体" w:eastAsia="宋体" w:cs="宋体"/>
                <w:color w:val="auto"/>
                <w:position w:val="6"/>
                <w:sz w:val="21"/>
                <w:szCs w:val="21"/>
                <w:highlight w:val="none"/>
                <w:u w:val="none"/>
                <w:lang w:val="en-US" w:eastAsia="zh-CN"/>
              </w:rPr>
              <w:t>相关要求</w:t>
            </w:r>
          </w:p>
          <w:p w14:paraId="560E727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cs="宋体"/>
                <w:color w:val="auto"/>
                <w:kern w:val="0"/>
                <w:sz w:val="21"/>
                <w:szCs w:val="21"/>
                <w:highlight w:val="none"/>
                <w:lang w:val="en-US" w:eastAsia="zh-CN"/>
              </w:rPr>
            </w:pPr>
          </w:p>
        </w:tc>
        <w:tc>
          <w:tcPr>
            <w:tcW w:w="8512" w:type="dxa"/>
            <w:tcBorders>
              <w:top w:val="single" w:color="auto" w:sz="4" w:space="0"/>
              <w:left w:val="single" w:color="auto" w:sz="4" w:space="0"/>
              <w:bottom w:val="single" w:color="auto" w:sz="4" w:space="0"/>
              <w:right w:val="single" w:color="auto" w:sz="8" w:space="0"/>
            </w:tcBorders>
            <w:noWrap w:val="0"/>
            <w:vAlign w:val="center"/>
          </w:tcPr>
          <w:p w14:paraId="76B4EDE8">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color w:val="auto"/>
                <w:position w:val="6"/>
                <w:sz w:val="21"/>
                <w:szCs w:val="21"/>
                <w:highlight w:val="none"/>
                <w:u w:val="none"/>
                <w:lang w:val="en-US" w:eastAsia="zh-CN"/>
              </w:rPr>
              <w:t>（</w:t>
            </w:r>
            <w:r>
              <w:rPr>
                <w:rFonts w:hint="eastAsia" w:ascii="宋体" w:hAnsi="宋体" w:eastAsia="宋体" w:cs="宋体"/>
                <w:b w:val="0"/>
                <w:bCs w:val="0"/>
                <w:color w:val="auto"/>
                <w:highlight w:val="none"/>
                <w:lang w:val="en-US" w:eastAsia="zh-CN"/>
              </w:rPr>
              <w:t>一）</w:t>
            </w:r>
            <w:r>
              <w:rPr>
                <w:rFonts w:hint="eastAsia" w:ascii="宋体" w:hAnsi="宋体" w:cs="宋体"/>
                <w:b w:val="0"/>
                <w:bCs w:val="0"/>
                <w:color w:val="auto"/>
                <w:highlight w:val="none"/>
                <w:lang w:val="en-US" w:eastAsia="zh-CN"/>
              </w:rPr>
              <w:t>中标后固定总价</w:t>
            </w:r>
            <w:r>
              <w:rPr>
                <w:rFonts w:hint="eastAsia" w:ascii="宋体" w:hAnsi="宋体" w:eastAsia="宋体" w:cs="宋体"/>
                <w:b w:val="0"/>
                <w:bCs w:val="0"/>
                <w:color w:val="auto"/>
                <w:highlight w:val="none"/>
                <w:lang w:val="en-US" w:eastAsia="zh-CN"/>
              </w:rPr>
              <w:t>不调整。</w:t>
            </w:r>
          </w:p>
          <w:p w14:paraId="258EEEB2">
            <w:pPr>
              <w:widowControl/>
              <w:spacing w:line="440" w:lineRule="exact"/>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b w:val="0"/>
                <w:bCs w:val="0"/>
                <w:color w:val="auto"/>
                <w:highlight w:val="none"/>
                <w:lang w:val="en-US" w:eastAsia="zh-CN"/>
              </w:rPr>
              <w:t>（二）投标人自行勘察现场，地形条件、周边交通等因素由投标人综合考虑在报价中，后期不得以任何理由要求调整费用。</w:t>
            </w:r>
          </w:p>
        </w:tc>
      </w:tr>
      <w:tr w14:paraId="7CA20780">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CED52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16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A156A">
            <w:pPr>
              <w:widowControl/>
              <w:spacing w:line="44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解释权</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2B1D6A5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1、构成本招标文件的各个组成文件应互为解释，互为说明；</w:t>
            </w:r>
          </w:p>
          <w:p w14:paraId="0957139F">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2、同一组成文件中就同一事项的规定或约定不一致的，以编排顺序在后者为准；</w:t>
            </w:r>
          </w:p>
          <w:p w14:paraId="2F495CA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3、如有不明确或不一致，构成合同文件组成内容的，以合同文件约定内容为准，且以专用合同条款约定的合同文件优先顺序解释；</w:t>
            </w:r>
          </w:p>
          <w:p w14:paraId="5B7B6087">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4、按本款前述规定仍不能形成结论的，由招标人负责解释。</w:t>
            </w:r>
          </w:p>
        </w:tc>
      </w:tr>
      <w:tr w14:paraId="04001C26">
        <w:tblPrEx>
          <w:tblCellMar>
            <w:top w:w="0" w:type="dxa"/>
            <w:left w:w="0" w:type="dxa"/>
            <w:bottom w:w="0" w:type="dxa"/>
            <w:right w:w="0" w:type="dxa"/>
          </w:tblCellMar>
        </w:tblPrEx>
        <w:trPr>
          <w:trHeight w:val="370" w:hRule="atLeast"/>
        </w:trPr>
        <w:tc>
          <w:tcPr>
            <w:tcW w:w="10260" w:type="dxa"/>
            <w:gridSpan w:val="3"/>
            <w:tcBorders>
              <w:top w:val="single" w:color="auto" w:sz="4" w:space="0"/>
              <w:left w:val="single" w:color="auto" w:sz="8" w:space="0"/>
              <w:bottom w:val="single" w:color="auto" w:sz="4" w:space="0"/>
              <w:right w:val="single" w:color="auto" w:sz="8" w:space="0"/>
            </w:tcBorders>
            <w:shd w:val="clear" w:color="auto" w:fill="auto"/>
            <w:noWrap w:val="0"/>
            <w:vAlign w:val="center"/>
          </w:tcPr>
          <w:p w14:paraId="17AB8C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F9CD8C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0"/>
                <w:sz w:val="21"/>
                <w:szCs w:val="21"/>
                <w:highlight w:val="none"/>
                <w:lang w:val="en-US" w:eastAsia="zh-CN" w:bidi="ar-SA"/>
              </w:rPr>
              <w:t>58151515</w:t>
            </w:r>
            <w:r>
              <w:rPr>
                <w:rFonts w:hint="eastAsia" w:ascii="宋体" w:hAnsi="宋体" w:eastAsia="宋体" w:cs="宋体"/>
                <w:color w:val="auto"/>
                <w:kern w:val="0"/>
                <w:sz w:val="21"/>
                <w:szCs w:val="21"/>
                <w:highlight w:val="none"/>
                <w:lang w:val="en-US" w:eastAsia="zh-CN" w:bidi="ar-SA"/>
              </w:rPr>
              <w:t>-5（工作日）。 </w:t>
            </w:r>
          </w:p>
          <w:p w14:paraId="6172EC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0"/>
                <w:sz w:val="21"/>
                <w:szCs w:val="21"/>
                <w:highlight w:val="none"/>
                <w:lang w:val="en-US" w:eastAsia="zh-CN" w:bidi="ar-SA"/>
              </w:rPr>
              <w:t>58151515</w:t>
            </w:r>
            <w:r>
              <w:rPr>
                <w:rFonts w:hint="eastAsia" w:ascii="宋体" w:hAnsi="宋体" w:eastAsia="宋体" w:cs="宋体"/>
                <w:color w:val="auto"/>
                <w:kern w:val="0"/>
                <w:sz w:val="21"/>
                <w:szCs w:val="21"/>
                <w:highlight w:val="none"/>
                <w:lang w:val="en-US" w:eastAsia="zh-CN" w:bidi="ar-SA"/>
              </w:rPr>
              <w:t>或者网站首页在线客服。</w:t>
            </w:r>
          </w:p>
          <w:p w14:paraId="083A61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27CE9A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3A061F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69F6E3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2F20C98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5416319A">
      <w:pPr>
        <w:spacing w:line="360" w:lineRule="exact"/>
        <w:ind w:firstLine="3500" w:firstLineChars="1250"/>
        <w:rPr>
          <w:rFonts w:hint="eastAsia" w:ascii="宋体" w:hAnsi="宋体" w:eastAsia="宋体" w:cs="宋体"/>
          <w:bCs/>
          <w:color w:val="auto"/>
          <w:sz w:val="28"/>
          <w:szCs w:val="28"/>
          <w:highlight w:val="none"/>
        </w:rPr>
      </w:pPr>
    </w:p>
    <w:p w14:paraId="1CD26315">
      <w:pPr>
        <w:pStyle w:val="3"/>
        <w:spacing w:before="0" w:after="0"/>
        <w:rPr>
          <w:rFonts w:hint="eastAsia" w:ascii="宋体" w:hAnsi="宋体" w:eastAsia="宋体" w:cs="宋体"/>
          <w:color w:val="auto"/>
          <w:highlight w:val="none"/>
        </w:rPr>
      </w:pPr>
    </w:p>
    <w:p w14:paraId="1530043B">
      <w:pPr>
        <w:pStyle w:val="3"/>
        <w:spacing w:before="0" w:after="0"/>
        <w:rPr>
          <w:rFonts w:hint="eastAsia" w:ascii="宋体" w:hAnsi="宋体" w:eastAsia="宋体" w:cs="宋体"/>
          <w:color w:val="auto"/>
          <w:highlight w:val="none"/>
        </w:rPr>
      </w:pPr>
      <w:bookmarkStart w:id="2" w:name="_Toc29248"/>
    </w:p>
    <w:p w14:paraId="46D4A8DD">
      <w:pPr>
        <w:rPr>
          <w:rFonts w:hint="eastAsia"/>
          <w:color w:val="auto"/>
          <w:highlight w:val="none"/>
        </w:rPr>
      </w:pPr>
    </w:p>
    <w:p w14:paraId="24E6F408">
      <w:pPr>
        <w:pStyle w:val="2"/>
        <w:rPr>
          <w:rFonts w:hint="eastAsia"/>
          <w:color w:val="auto"/>
          <w:highlight w:val="none"/>
        </w:rPr>
      </w:pPr>
    </w:p>
    <w:p w14:paraId="5EC562A4">
      <w:pPr>
        <w:pStyle w:val="2"/>
        <w:rPr>
          <w:rFonts w:hint="eastAsia"/>
          <w:color w:val="auto"/>
          <w:highlight w:val="none"/>
        </w:rPr>
      </w:pPr>
    </w:p>
    <w:p w14:paraId="6F6875F8">
      <w:pPr>
        <w:pStyle w:val="3"/>
        <w:spacing w:before="0" w:after="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章投标须知</w:t>
      </w:r>
      <w:bookmarkEnd w:id="1"/>
      <w:bookmarkEnd w:id="2"/>
    </w:p>
    <w:p w14:paraId="4C9A1375">
      <w:pPr>
        <w:spacing w:line="400" w:lineRule="exact"/>
        <w:jc w:val="center"/>
        <w:outlineLvl w:val="1"/>
        <w:rPr>
          <w:rFonts w:hint="eastAsia" w:ascii="宋体" w:hAnsi="宋体" w:eastAsia="宋体" w:cs="宋体"/>
          <w:b/>
          <w:bCs/>
          <w:color w:val="auto"/>
          <w:sz w:val="28"/>
          <w:highlight w:val="none"/>
        </w:rPr>
      </w:pPr>
      <w:bookmarkStart w:id="3" w:name="_Toc515"/>
      <w:r>
        <w:rPr>
          <w:rFonts w:hint="eastAsia" w:ascii="宋体" w:hAnsi="宋体" w:eastAsia="宋体" w:cs="宋体"/>
          <w:b/>
          <w:bCs/>
          <w:color w:val="auto"/>
          <w:sz w:val="28"/>
          <w:highlight w:val="none"/>
        </w:rPr>
        <w:t>一、总  则</w:t>
      </w:r>
      <w:bookmarkEnd w:id="3"/>
    </w:p>
    <w:p w14:paraId="10F9BD4D">
      <w:pPr>
        <w:keepNext w:val="0"/>
        <w:keepLines w:val="0"/>
        <w:pageBreakBefore w:val="0"/>
        <w:widowControl w:val="0"/>
        <w:kinsoku/>
        <w:wordWrap/>
        <w:overflowPunct/>
        <w:topLinePunct w:val="0"/>
        <w:autoSpaceDE/>
        <w:autoSpaceDN/>
        <w:bidi w:val="0"/>
        <w:adjustRightInd/>
        <w:snapToGrid/>
        <w:spacing w:line="510" w:lineRule="exact"/>
        <w:ind w:left="0" w:left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6F0EFC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1.1本次招标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工投科技产业园1号厂房变压器及配套设备采购及安装项目</w:t>
      </w:r>
      <w:r>
        <w:rPr>
          <w:rFonts w:hint="eastAsia" w:ascii="宋体" w:hAnsi="宋体" w:eastAsia="宋体" w:cs="宋体"/>
          <w:color w:val="auto"/>
          <w:sz w:val="21"/>
          <w:szCs w:val="21"/>
          <w:highlight w:val="none"/>
        </w:rPr>
        <w:t xml:space="preserve"> </w:t>
      </w:r>
    </w:p>
    <w:p w14:paraId="24A206ED">
      <w:pPr>
        <w:keepNext w:val="0"/>
        <w:keepLines w:val="0"/>
        <w:pageBreakBefore w:val="0"/>
        <w:widowControl w:val="0"/>
        <w:kinsoku/>
        <w:wordWrap/>
        <w:overflowPunct/>
        <w:topLinePunct w:val="0"/>
        <w:autoSpaceDE/>
        <w:autoSpaceDN/>
        <w:bidi w:val="0"/>
        <w:adjustRightInd/>
        <w:snapToGrid/>
        <w:spacing w:line="510" w:lineRule="exact"/>
        <w:ind w:left="1050" w:leftChars="0" w:hanging="1050" w:hangingChars="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工程地址：</w:t>
      </w:r>
      <w:r>
        <w:rPr>
          <w:rFonts w:hint="eastAsia" w:ascii="宋体" w:hAnsi="宋体" w:eastAsia="宋体" w:cs="宋体"/>
          <w:color w:val="auto"/>
          <w:sz w:val="21"/>
          <w:szCs w:val="21"/>
          <w:highlight w:val="none"/>
          <w:u w:val="single"/>
        </w:rPr>
        <w:t>滁州市</w:t>
      </w:r>
      <w:r>
        <w:rPr>
          <w:rFonts w:hint="eastAsia" w:ascii="宋体" w:hAnsi="宋体" w:eastAsia="宋体" w:cs="宋体"/>
          <w:color w:val="auto"/>
          <w:sz w:val="21"/>
          <w:szCs w:val="21"/>
          <w:highlight w:val="none"/>
          <w:u w:val="single"/>
          <w:lang w:val="en-US" w:eastAsia="zh-CN"/>
        </w:rPr>
        <w:t>内</w:t>
      </w:r>
    </w:p>
    <w:p w14:paraId="6BCEA7F2">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单位：</w:t>
      </w:r>
      <w:r>
        <w:rPr>
          <w:rFonts w:hint="eastAsia" w:ascii="宋体" w:hAnsi="宋体" w:cs="宋体"/>
          <w:color w:val="auto"/>
          <w:szCs w:val="21"/>
          <w:highlight w:val="none"/>
          <w:u w:val="single"/>
          <w:lang w:eastAsia="zh-CN"/>
        </w:rPr>
        <w:t>滁州工投科技产业园</w:t>
      </w:r>
      <w:r>
        <w:rPr>
          <w:rFonts w:hint="eastAsia" w:ascii="宋体" w:hAnsi="宋体" w:cs="宋体"/>
          <w:color w:val="auto"/>
          <w:szCs w:val="21"/>
          <w:highlight w:val="none"/>
          <w:u w:val="single"/>
          <w:lang w:val="en-US" w:eastAsia="zh-CN"/>
        </w:rPr>
        <w:t>发展</w:t>
      </w:r>
      <w:r>
        <w:rPr>
          <w:rFonts w:hint="eastAsia" w:ascii="宋体" w:hAnsi="宋体" w:cs="宋体"/>
          <w:color w:val="auto"/>
          <w:szCs w:val="21"/>
          <w:highlight w:val="none"/>
          <w:u w:val="single"/>
          <w:lang w:eastAsia="zh-CN"/>
        </w:rPr>
        <w:t>有限公司</w:t>
      </w:r>
      <w:r>
        <w:rPr>
          <w:rFonts w:hint="eastAsia" w:ascii="宋体" w:hAnsi="宋体" w:eastAsia="宋体" w:cs="宋体"/>
          <w:color w:val="auto"/>
          <w:szCs w:val="21"/>
          <w:highlight w:val="none"/>
          <w:u w:val="single"/>
        </w:rPr>
        <w:t xml:space="preserve"> </w:t>
      </w:r>
    </w:p>
    <w:p w14:paraId="1C1FD52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项目采购内容</w:t>
      </w:r>
      <w:r>
        <w:rPr>
          <w:rFonts w:hint="eastAsia" w:ascii="宋体" w:hAnsi="宋体" w:eastAsia="宋体" w:cs="宋体"/>
          <w:color w:val="auto"/>
          <w:sz w:val="21"/>
          <w:szCs w:val="21"/>
          <w:highlight w:val="none"/>
        </w:rPr>
        <w:t>：变压器及</w:t>
      </w:r>
      <w:r>
        <w:rPr>
          <w:rFonts w:hint="eastAsia" w:ascii="宋体" w:hAnsi="宋体" w:cs="宋体"/>
          <w:color w:val="auto"/>
          <w:sz w:val="21"/>
          <w:szCs w:val="21"/>
          <w:highlight w:val="none"/>
          <w:lang w:val="en-US" w:eastAsia="zh-CN"/>
        </w:rPr>
        <w:t>配套设备</w:t>
      </w:r>
      <w:r>
        <w:rPr>
          <w:rFonts w:hint="eastAsia" w:ascii="宋体" w:hAnsi="宋体" w:eastAsia="宋体" w:cs="宋体"/>
          <w:color w:val="auto"/>
          <w:sz w:val="21"/>
          <w:szCs w:val="21"/>
          <w:highlight w:val="none"/>
        </w:rPr>
        <w:t xml:space="preserve">采购及安装。 </w:t>
      </w:r>
      <w:r>
        <w:rPr>
          <w:rFonts w:hint="eastAsia" w:ascii="宋体" w:hAnsi="宋体" w:cs="宋体"/>
          <w:color w:val="auto"/>
          <w:sz w:val="21"/>
          <w:szCs w:val="21"/>
          <w:highlight w:val="none"/>
          <w:lang w:val="en-US" w:eastAsia="zh-CN"/>
        </w:rPr>
        <w:t xml:space="preserve"> </w:t>
      </w:r>
    </w:p>
    <w:p w14:paraId="4D30B02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项目估算价</w:t>
      </w:r>
      <w:r>
        <w:rPr>
          <w:rFonts w:hint="eastAsia" w:ascii="宋体" w:hAnsi="宋体" w:cs="宋体"/>
          <w:color w:val="auto"/>
          <w:szCs w:val="21"/>
          <w:highlight w:val="none"/>
          <w:lang w:val="en-US" w:eastAsia="zh-CN"/>
        </w:rPr>
        <w:t>300000.00元</w:t>
      </w:r>
    </w:p>
    <w:p w14:paraId="52F3513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招标范围</w:t>
      </w:r>
    </w:p>
    <w:p w14:paraId="1431CFF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kern w:val="0"/>
          <w:sz w:val="21"/>
          <w:szCs w:val="21"/>
          <w:highlight w:val="none"/>
          <w:lang w:val="en-US" w:eastAsia="zh-CN"/>
        </w:rPr>
        <w:t>变压器及</w:t>
      </w:r>
      <w:r>
        <w:rPr>
          <w:rFonts w:hint="eastAsia" w:ascii="宋体" w:hAnsi="宋体" w:cs="宋体"/>
          <w:color w:val="auto"/>
          <w:kern w:val="0"/>
          <w:sz w:val="21"/>
          <w:szCs w:val="21"/>
          <w:highlight w:val="none"/>
          <w:lang w:val="en-US" w:eastAsia="zh-CN"/>
        </w:rPr>
        <w:t>配套设备</w:t>
      </w:r>
      <w:r>
        <w:rPr>
          <w:rFonts w:hint="eastAsia" w:ascii="宋体" w:hAnsi="宋体" w:eastAsia="宋体" w:cs="宋体"/>
          <w:color w:val="auto"/>
          <w:kern w:val="0"/>
          <w:sz w:val="21"/>
          <w:szCs w:val="21"/>
          <w:highlight w:val="none"/>
          <w:lang w:val="en-US" w:eastAsia="zh-CN"/>
        </w:rPr>
        <w:t>采购</w:t>
      </w:r>
      <w:r>
        <w:rPr>
          <w:rFonts w:hint="eastAsia" w:hAnsi="宋体" w:cs="宋体"/>
          <w:color w:val="auto"/>
          <w:kern w:val="0"/>
          <w:sz w:val="21"/>
          <w:szCs w:val="21"/>
          <w:highlight w:val="none"/>
          <w:lang w:val="en-US" w:eastAsia="zh-CN"/>
        </w:rPr>
        <w:t>及安装</w:t>
      </w:r>
      <w:r>
        <w:rPr>
          <w:rFonts w:hint="eastAsia" w:ascii="宋体" w:hAnsi="宋体" w:cs="宋体"/>
          <w:color w:val="auto"/>
          <w:sz w:val="21"/>
          <w:szCs w:val="21"/>
          <w:highlight w:val="none"/>
          <w:lang w:val="en-US" w:eastAsia="zh-CN"/>
        </w:rPr>
        <w:t>。</w:t>
      </w:r>
    </w:p>
    <w:p w14:paraId="408D209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2D6596F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Cs w:val="21"/>
          <w:highlight w:val="none"/>
          <w:u w:val="single"/>
        </w:rPr>
        <w:t>总承包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92878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4.供货工期要求</w:t>
      </w:r>
    </w:p>
    <w:p w14:paraId="68BAFE6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szCs w:val="21"/>
          <w:highlight w:val="none"/>
          <w:lang w:val="en-US" w:eastAsia="zh-CN"/>
        </w:rPr>
        <w:t xml:space="preserve">4.1 </w:t>
      </w:r>
      <w:r>
        <w:rPr>
          <w:rFonts w:hint="eastAsia" w:ascii="宋体" w:hAnsi="宋体" w:eastAsia="宋体" w:cs="宋体"/>
          <w:color w:val="auto"/>
          <w:sz w:val="21"/>
          <w:szCs w:val="21"/>
          <w:highlight w:val="none"/>
          <w:lang w:val="en-US" w:eastAsia="zh-CN"/>
        </w:rPr>
        <w:t>详见《投标须知前附表》要求</w:t>
      </w:r>
      <w:r>
        <w:rPr>
          <w:rFonts w:hint="default" w:ascii="宋体" w:hAnsi="宋体" w:eastAsia="宋体" w:cs="宋体"/>
          <w:color w:val="auto"/>
          <w:kern w:val="0"/>
          <w:szCs w:val="21"/>
          <w:highlight w:val="none"/>
          <w:lang w:val="en-US"/>
        </w:rPr>
        <w:t>。</w:t>
      </w:r>
    </w:p>
    <w:p w14:paraId="0312AE0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1"/>
          <w:szCs w:val="21"/>
          <w:highlight w:val="none"/>
        </w:rPr>
      </w:pPr>
      <w:r>
        <w:rPr>
          <w:rFonts w:hint="default" w:ascii="宋体" w:hAnsi="宋体" w:eastAsia="宋体" w:cs="宋体"/>
          <w:color w:val="auto"/>
          <w:kern w:val="0"/>
          <w:szCs w:val="21"/>
          <w:highlight w:val="none"/>
          <w:lang w:val="en-US"/>
        </w:rPr>
        <w:t xml:space="preserve"> （二）若中标人未能按招标人要求的供货时间供货的，招标人有权解除合同并向中标人追偿损失。</w:t>
      </w:r>
    </w:p>
    <w:p w14:paraId="07BAC4A8">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5.质量要求</w:t>
      </w:r>
    </w:p>
    <w:p w14:paraId="110C5C7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5.1</w:t>
      </w:r>
      <w:r>
        <w:rPr>
          <w:rFonts w:hint="eastAsia" w:ascii="宋体" w:hAnsi="宋体" w:eastAsia="宋体" w:cs="宋体"/>
          <w:color w:val="auto"/>
          <w:sz w:val="21"/>
          <w:szCs w:val="21"/>
          <w:highlight w:val="none"/>
          <w:lang w:val="en-US" w:eastAsia="zh-CN"/>
        </w:rPr>
        <w:t>详见《投标须知前附表》要求</w:t>
      </w:r>
      <w:r>
        <w:rPr>
          <w:rFonts w:hint="eastAsia" w:ascii="宋体" w:hAnsi="宋体" w:eastAsia="宋体" w:cs="宋体"/>
          <w:color w:val="auto"/>
          <w:sz w:val="21"/>
          <w:szCs w:val="21"/>
          <w:highlight w:val="none"/>
        </w:rPr>
        <w:t>。</w:t>
      </w:r>
    </w:p>
    <w:p w14:paraId="7C9EC063">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0F6BEEFF">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详见《投标须知前附表》要求。</w:t>
      </w:r>
    </w:p>
    <w:p w14:paraId="48D2FBD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16621F3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6D4046E6">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55A0B78">
      <w:pPr>
        <w:keepNext w:val="0"/>
        <w:keepLines w:val="0"/>
        <w:pageBreakBefore w:val="0"/>
        <w:widowControl w:val="0"/>
        <w:kinsoku/>
        <w:wordWrap/>
        <w:overflowPunct/>
        <w:topLinePunct w:val="0"/>
        <w:autoSpaceDE/>
        <w:autoSpaceDN/>
        <w:bidi w:val="0"/>
        <w:spacing w:line="51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29C1A234">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15B2A7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自行招标 </w:t>
      </w:r>
      <w:r>
        <w:rPr>
          <w:rFonts w:hint="eastAsia" w:ascii="宋体" w:hAnsi="宋体" w:eastAsia="宋体" w:cs="宋体"/>
          <w:color w:val="auto"/>
          <w:sz w:val="21"/>
          <w:szCs w:val="21"/>
          <w:highlight w:val="none"/>
        </w:rPr>
        <w:t>。</w:t>
      </w:r>
    </w:p>
    <w:p w14:paraId="1DE62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0BB05BA8">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cs="宋体"/>
          <w:color w:val="auto"/>
          <w:sz w:val="21"/>
          <w:szCs w:val="21"/>
          <w:highlight w:val="none"/>
          <w:u w:val="single"/>
          <w:lang w:val="en-US" w:eastAsia="zh-CN"/>
        </w:rPr>
        <w:t>总价</w:t>
      </w:r>
      <w:r>
        <w:rPr>
          <w:rFonts w:hint="eastAsia" w:ascii="宋体" w:hAnsi="宋体" w:eastAsia="宋体" w:cs="宋体"/>
          <w:color w:val="auto"/>
          <w:sz w:val="21"/>
          <w:szCs w:val="21"/>
          <w:highlight w:val="none"/>
        </w:rPr>
        <w:t>。</w:t>
      </w:r>
    </w:p>
    <w:p w14:paraId="23BE0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11B3B85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cs="宋体"/>
          <w:color w:val="auto"/>
          <w:sz w:val="21"/>
          <w:szCs w:val="21"/>
          <w:highlight w:val="none"/>
          <w:u w:val="single"/>
          <w:lang w:eastAsia="zh-CN"/>
        </w:rPr>
        <w:t>最低评标价法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19C792C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bookmarkStart w:id="4" w:name="_Toc29988"/>
    </w:p>
    <w:p w14:paraId="602A4F6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r>
        <w:rPr>
          <w:rFonts w:hint="eastAsia" w:ascii="宋体" w:hAnsi="宋体" w:eastAsia="宋体" w:cs="宋体"/>
          <w:color w:val="auto"/>
          <w:sz w:val="28"/>
          <w:highlight w:val="none"/>
        </w:rPr>
        <w:t>二、招标文件</w:t>
      </w:r>
      <w:bookmarkEnd w:id="4"/>
    </w:p>
    <w:p w14:paraId="5058B600">
      <w:pPr>
        <w:keepNext w:val="0"/>
        <w:keepLines w:val="0"/>
        <w:pageBreakBefore w:val="0"/>
        <w:widowControl w:val="0"/>
        <w:kinsoku/>
        <w:wordWrap/>
        <w:overflowPunct/>
        <w:topLinePunct w:val="0"/>
        <w:autoSpaceDE/>
        <w:autoSpaceDN/>
        <w:bidi w:val="0"/>
        <w:spacing w:line="510" w:lineRule="exact"/>
        <w:jc w:val="center"/>
        <w:textAlignment w:val="auto"/>
        <w:rPr>
          <w:rFonts w:hint="eastAsia" w:ascii="宋体" w:hAnsi="宋体" w:eastAsia="宋体" w:cs="宋体"/>
          <w:color w:val="auto"/>
          <w:sz w:val="28"/>
          <w:highlight w:val="none"/>
        </w:rPr>
      </w:pPr>
    </w:p>
    <w:p w14:paraId="75F8D2D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招标文件的编制依据</w:t>
      </w:r>
    </w:p>
    <w:p w14:paraId="6CA59BA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根据《中华人民共和国招标投标法》、《工程建设项目施工招标投标办法》（七部委联合部令第30号）等相关法律法规和规章及部、省、市级规范性文件的规定，编制本招标文件。</w:t>
      </w:r>
    </w:p>
    <w:p w14:paraId="7801DC4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0A32E5D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招标文件包括内容：</w:t>
      </w:r>
    </w:p>
    <w:p w14:paraId="116F9DD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14:paraId="2E1DC6E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cs="宋体"/>
          <w:color w:val="auto"/>
          <w:sz w:val="21"/>
          <w:szCs w:val="21"/>
          <w:highlight w:val="none"/>
          <w:lang w:val="en-US" w:eastAsia="zh-CN"/>
        </w:rPr>
        <w:t>评标办法</w:t>
      </w:r>
    </w:p>
    <w:p w14:paraId="05EABB5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第三章  服务要求</w:t>
      </w:r>
    </w:p>
    <w:p w14:paraId="60917EE1">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  合同条款</w:t>
      </w:r>
    </w:p>
    <w:p w14:paraId="3CD6160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章  投标文件格式</w:t>
      </w:r>
    </w:p>
    <w:p w14:paraId="469F004A">
      <w:pPr>
        <w:keepNext w:val="0"/>
        <w:keepLines w:val="0"/>
        <w:pageBreakBefore w:val="0"/>
        <w:widowControl w:val="0"/>
        <w:kinsoku/>
        <w:wordWrap/>
        <w:overflowPunct/>
        <w:topLinePunct w:val="0"/>
        <w:autoSpaceDE/>
        <w:autoSpaceDN/>
        <w:bidi w:val="0"/>
        <w:adjustRightInd w:val="0"/>
        <w:snapToGrid w:val="0"/>
        <w:spacing w:line="510" w:lineRule="exact"/>
        <w:ind w:firstLine="1050" w:firstLineChars="5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  招标单位、招标代理机构对本招标文件的确认</w:t>
      </w:r>
    </w:p>
    <w:p w14:paraId="6F91BDE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63AA4AA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13.3投标人应仔细检查招标文件的所有内容，</w:t>
      </w:r>
      <w:r>
        <w:rPr>
          <w:rFonts w:hint="eastAsia" w:ascii="宋体" w:hAnsi="宋体" w:eastAsia="宋体" w:cs="宋体"/>
          <w:bCs/>
          <w:color w:val="auto"/>
          <w:sz w:val="21"/>
          <w:szCs w:val="21"/>
          <w:highlight w:val="none"/>
        </w:rPr>
        <w:t>如有残缺等问题应在</w:t>
      </w:r>
      <w:r>
        <w:rPr>
          <w:rFonts w:hint="eastAsia" w:ascii="宋体" w:hAnsi="宋体" w:cs="宋体"/>
          <w:bCs/>
          <w:color w:val="auto"/>
          <w:sz w:val="21"/>
          <w:szCs w:val="21"/>
          <w:highlight w:val="none"/>
          <w:u w:val="single"/>
          <w:lang w:eastAsia="zh-CN"/>
        </w:rPr>
        <w:t>202</w:t>
      </w:r>
      <w:r>
        <w:rPr>
          <w:rFonts w:hint="eastAsia" w:ascii="宋体" w:hAnsi="宋体" w:cs="宋体"/>
          <w:bCs/>
          <w:color w:val="auto"/>
          <w:sz w:val="21"/>
          <w:szCs w:val="21"/>
          <w:highlight w:val="none"/>
          <w:u w:val="single"/>
          <w:lang w:val="en-US" w:eastAsia="zh-CN"/>
        </w:rPr>
        <w:t>6</w:t>
      </w:r>
      <w:r>
        <w:rPr>
          <w:rFonts w:hint="eastAsia" w:ascii="宋体" w:hAnsi="宋体" w:cs="宋体"/>
          <w:bCs/>
          <w:color w:val="auto"/>
          <w:sz w:val="21"/>
          <w:szCs w:val="21"/>
          <w:highlight w:val="none"/>
          <w:u w:val="single"/>
          <w:lang w:eastAsia="zh-CN"/>
        </w:rPr>
        <w:t xml:space="preserve">年6月 </w:t>
      </w:r>
      <w:r>
        <w:rPr>
          <w:rFonts w:hint="eastAsia" w:ascii="宋体" w:hAnsi="宋体" w:cs="宋体"/>
          <w:bCs/>
          <w:color w:val="auto"/>
          <w:sz w:val="21"/>
          <w:szCs w:val="21"/>
          <w:highlight w:val="none"/>
          <w:u w:val="single"/>
          <w:lang w:val="en-US" w:eastAsia="zh-CN"/>
        </w:rPr>
        <w:t>26</w:t>
      </w:r>
      <w:r>
        <w:rPr>
          <w:rFonts w:hint="eastAsia" w:ascii="宋体" w:hAnsi="宋体" w:cs="宋体"/>
          <w:bCs/>
          <w:color w:val="auto"/>
          <w:sz w:val="21"/>
          <w:szCs w:val="21"/>
          <w:highlight w:val="none"/>
          <w:u w:val="single"/>
          <w:lang w:eastAsia="zh-CN"/>
        </w:rPr>
        <w:t xml:space="preserve"> 日</w:t>
      </w:r>
      <w:r>
        <w:rPr>
          <w:rFonts w:hint="eastAsia" w:ascii="宋体" w:hAnsi="宋体" w:cs="宋体"/>
          <w:b/>
          <w:bCs w:val="0"/>
          <w:color w:val="auto"/>
          <w:sz w:val="21"/>
          <w:szCs w:val="21"/>
          <w:highlight w:val="none"/>
          <w:u w:val="single"/>
          <w:lang w:val="en-US" w:eastAsia="zh-CN"/>
        </w:rPr>
        <w:t>12</w:t>
      </w:r>
      <w:r>
        <w:rPr>
          <w:rFonts w:hint="eastAsia" w:ascii="宋体" w:hAnsi="宋体" w:eastAsia="宋体" w:cs="宋体"/>
          <w:b/>
          <w:bCs w:val="0"/>
          <w:color w:val="auto"/>
          <w:sz w:val="21"/>
          <w:szCs w:val="21"/>
          <w:highlight w:val="none"/>
          <w:u w:val="single"/>
        </w:rPr>
        <w:t>时</w:t>
      </w:r>
      <w:r>
        <w:rPr>
          <w:rFonts w:hint="eastAsia" w:ascii="宋体" w:hAnsi="宋体" w:eastAsia="宋体" w:cs="宋体"/>
          <w:bCs/>
          <w:color w:val="auto"/>
          <w:sz w:val="21"/>
          <w:szCs w:val="21"/>
          <w:highlight w:val="none"/>
          <w:u w:val="single"/>
        </w:rPr>
        <w:t>前</w:t>
      </w:r>
      <w:r>
        <w:rPr>
          <w:rFonts w:hint="eastAsia" w:ascii="宋体" w:hAnsi="宋体" w:eastAsia="宋体" w:cs="宋体"/>
          <w:bCs/>
          <w:color w:val="auto"/>
          <w:sz w:val="21"/>
          <w:szCs w:val="21"/>
          <w:highlight w:val="none"/>
        </w:rPr>
        <w:t>投标人将所遇到的</w:t>
      </w:r>
      <w:r>
        <w:rPr>
          <w:rFonts w:hint="eastAsia" w:ascii="宋体" w:hAnsi="宋体" w:cs="宋体"/>
          <w:bCs/>
          <w:color w:val="auto"/>
          <w:sz w:val="21"/>
          <w:szCs w:val="21"/>
          <w:highlight w:val="none"/>
          <w:lang w:val="en-US" w:eastAsia="zh-CN"/>
        </w:rPr>
        <w:t>问题</w:t>
      </w:r>
      <w:r>
        <w:rPr>
          <w:rFonts w:hint="eastAsia" w:ascii="宋体" w:hAnsi="宋体" w:eastAsia="宋体" w:cs="宋体"/>
          <w:bCs/>
          <w:color w:val="auto"/>
          <w:sz w:val="21"/>
          <w:szCs w:val="21"/>
          <w:highlight w:val="none"/>
        </w:rPr>
        <w:t>通过登录新点电子交易平台【滁州专区】线上提出异议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否则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3ABED51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139ED623">
      <w:pPr>
        <w:keepNext w:val="0"/>
        <w:keepLines w:val="0"/>
        <w:pageBreakBefore w:val="0"/>
        <w:widowControl w:val="0"/>
        <w:kinsoku/>
        <w:wordWrap w:val="0"/>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澄清内容</w:t>
      </w:r>
      <w:r>
        <w:rPr>
          <w:rFonts w:hint="eastAsia" w:ascii="宋体" w:hAnsi="宋体" w:eastAsia="宋体" w:cs="宋体"/>
          <w:color w:val="auto"/>
          <w:kern w:val="0"/>
          <w:sz w:val="21"/>
          <w:szCs w:val="21"/>
          <w:highlight w:val="none"/>
        </w:rPr>
        <w:t>将于</w:t>
      </w:r>
      <w:r>
        <w:rPr>
          <w:rFonts w:hint="eastAsia" w:ascii="宋体" w:hAnsi="宋体" w:cs="宋体"/>
          <w:b/>
          <w:bCs w:val="0"/>
          <w:color w:val="auto"/>
          <w:kern w:val="0"/>
          <w:sz w:val="21"/>
          <w:szCs w:val="21"/>
          <w:highlight w:val="none"/>
          <w:u w:val="single"/>
          <w:lang w:eastAsia="zh-CN"/>
        </w:rPr>
        <w:t>202</w:t>
      </w:r>
      <w:r>
        <w:rPr>
          <w:rFonts w:hint="eastAsia" w:ascii="宋体" w:hAnsi="宋体" w:cs="宋体"/>
          <w:b/>
          <w:bCs w:val="0"/>
          <w:color w:val="auto"/>
          <w:kern w:val="0"/>
          <w:sz w:val="21"/>
          <w:szCs w:val="21"/>
          <w:highlight w:val="none"/>
          <w:u w:val="single"/>
          <w:lang w:val="en-US" w:eastAsia="zh-CN"/>
        </w:rPr>
        <w:t>6</w:t>
      </w:r>
      <w:r>
        <w:rPr>
          <w:rFonts w:hint="eastAsia" w:ascii="宋体" w:hAnsi="宋体" w:cs="宋体"/>
          <w:b/>
          <w:bCs w:val="0"/>
          <w:color w:val="auto"/>
          <w:kern w:val="0"/>
          <w:sz w:val="21"/>
          <w:szCs w:val="21"/>
          <w:highlight w:val="none"/>
          <w:u w:val="single"/>
          <w:lang w:eastAsia="zh-CN"/>
        </w:rPr>
        <w:t>年6月  日</w:t>
      </w:r>
      <w:r>
        <w:rPr>
          <w:rFonts w:hint="eastAsia" w:ascii="宋体" w:hAnsi="宋体" w:cs="宋体"/>
          <w:b/>
          <w:bCs w:val="0"/>
          <w:color w:val="auto"/>
          <w:kern w:val="0"/>
          <w:sz w:val="21"/>
          <w:szCs w:val="21"/>
          <w:highlight w:val="none"/>
          <w:u w:val="single"/>
          <w:lang w:val="en-US" w:eastAsia="zh-CN"/>
        </w:rPr>
        <w:t>29</w:t>
      </w:r>
      <w:r>
        <w:rPr>
          <w:rFonts w:hint="eastAsia" w:ascii="宋体" w:hAnsi="宋体" w:eastAsia="宋体" w:cs="宋体"/>
          <w:b/>
          <w:bCs w:val="0"/>
          <w:color w:val="auto"/>
          <w:kern w:val="0"/>
          <w:sz w:val="21"/>
          <w:szCs w:val="21"/>
          <w:highlight w:val="none"/>
          <w:u w:val="single"/>
        </w:rPr>
        <w:t>时</w:t>
      </w:r>
      <w:r>
        <w:rPr>
          <w:rFonts w:hint="eastAsia" w:ascii="宋体" w:hAnsi="宋体" w:eastAsia="宋体" w:cs="宋体"/>
          <w:b/>
          <w:bCs w:val="0"/>
          <w:color w:val="auto"/>
          <w:kern w:val="0"/>
          <w:sz w:val="21"/>
          <w:szCs w:val="21"/>
          <w:highlight w:val="none"/>
        </w:rPr>
        <w:t>后</w:t>
      </w:r>
      <w:r>
        <w:rPr>
          <w:rFonts w:hint="eastAsia" w:ascii="宋体" w:hAnsi="宋体" w:eastAsia="宋体" w:cs="宋体"/>
          <w:color w:val="auto"/>
          <w:kern w:val="0"/>
          <w:sz w:val="21"/>
          <w:szCs w:val="21"/>
          <w:highlight w:val="none"/>
        </w:rPr>
        <w:t>以澄清公告形式在</w:t>
      </w:r>
      <w:r>
        <w:rPr>
          <w:rFonts w:hint="eastAsia" w:ascii="宋体" w:hAnsi="宋体" w:cs="宋体"/>
          <w:color w:val="auto"/>
          <w:kern w:val="0"/>
          <w:sz w:val="21"/>
          <w:szCs w:val="21"/>
          <w:highlight w:val="none"/>
          <w:lang w:eastAsia="zh-CN"/>
        </w:rPr>
        <w:t>滁州市扬子工业投资集团有限公司官网（https://czyzgtjt.com/)</w:t>
      </w:r>
      <w:r>
        <w:rPr>
          <w:rFonts w:hint="eastAsia" w:ascii="宋体" w:hAnsi="宋体" w:eastAsia="宋体" w:cs="宋体"/>
          <w:color w:val="auto"/>
          <w:kern w:val="0"/>
          <w:sz w:val="21"/>
          <w:szCs w:val="21"/>
          <w:highlight w:val="none"/>
        </w:rPr>
        <w:t>、滁州市城投工程咨询管理有限公司网站（https://www.czctgczx.com/）发布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FBB63B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本招标文件由招标人委托的招标代理机构负责解释。</w:t>
      </w:r>
    </w:p>
    <w:p w14:paraId="4E18B7D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 踏勘现场及投标预备会</w:t>
      </w:r>
    </w:p>
    <w:p w14:paraId="25993C06">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15.1 踏勘现场</w:t>
      </w:r>
    </w:p>
    <w:p w14:paraId="1C3DC86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15.1.1 投标人自行对工程现场及周围环境进行踏勘，以便投标人获取有关编制投标文件和签署合同所涉及现场的资料。投标人承担踏勘现场所发生的自身费用。</w:t>
      </w:r>
    </w:p>
    <w:p w14:paraId="60C5F0B8">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15.2 投标预备会</w:t>
      </w:r>
    </w:p>
    <w:p w14:paraId="75D66753">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15.2.1不再集中召开招标答疑会。</w:t>
      </w:r>
    </w:p>
    <w:p w14:paraId="3C9C78B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招标文件的发出</w:t>
      </w:r>
    </w:p>
    <w:p w14:paraId="3F33659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4CA905F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最高投标限价的作用和说明</w:t>
      </w:r>
    </w:p>
    <w:p w14:paraId="2FE6022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本项目最高限价为</w:t>
      </w:r>
      <w:r>
        <w:rPr>
          <w:rFonts w:hint="eastAsia" w:ascii="宋体" w:hAnsi="宋体" w:cs="宋体"/>
          <w:color w:val="auto"/>
          <w:sz w:val="21"/>
          <w:szCs w:val="21"/>
          <w:highlight w:val="none"/>
          <w:lang w:val="en-US" w:eastAsia="zh-CN"/>
        </w:rPr>
        <w:t>300000.00元</w:t>
      </w:r>
      <w:r>
        <w:rPr>
          <w:rFonts w:hint="eastAsia" w:ascii="宋体" w:hAnsi="宋体" w:eastAsia="宋体" w:cs="宋体"/>
          <w:color w:val="auto"/>
          <w:sz w:val="21"/>
          <w:szCs w:val="21"/>
          <w:highlight w:val="none"/>
          <w:lang w:val="en-US" w:eastAsia="zh-CN"/>
        </w:rPr>
        <w:t>。</w:t>
      </w:r>
    </w:p>
    <w:p w14:paraId="358FCE4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17.2</w:t>
      </w:r>
      <w:r>
        <w:rPr>
          <w:rFonts w:hint="eastAsia" w:ascii="宋体" w:hAnsi="宋体" w:eastAsia="宋体" w:cs="宋体"/>
          <w:color w:val="auto"/>
          <w:sz w:val="21"/>
          <w:szCs w:val="21"/>
          <w:highlight w:val="none"/>
          <w:lang w:val="en-US" w:eastAsia="zh-CN"/>
        </w:rPr>
        <w:t>投标人结合现行的市场价格信息并充分考虑市场价格的走势风险，按招标文件规定的计价依据及结算方式进行报价。</w:t>
      </w:r>
    </w:p>
    <w:p w14:paraId="11738E3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5" w:name="_Toc24852"/>
      <w:r>
        <w:rPr>
          <w:rFonts w:hint="eastAsia" w:ascii="宋体" w:hAnsi="宋体" w:eastAsia="宋体" w:cs="宋体"/>
          <w:color w:val="auto"/>
          <w:sz w:val="28"/>
          <w:szCs w:val="28"/>
          <w:highlight w:val="none"/>
        </w:rPr>
        <w:t>三、投标文件的编制</w:t>
      </w:r>
      <w:bookmarkEnd w:id="5"/>
    </w:p>
    <w:p w14:paraId="70C2426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.投标文件的组成：见第五章投标文件格式</w:t>
      </w:r>
    </w:p>
    <w:p w14:paraId="59CFC076">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．投标报价</w:t>
      </w:r>
    </w:p>
    <w:p w14:paraId="1D1FB267">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.1 投标人的投标报价应为提供招标文件及合同条款中明示或暗示的服务内容而所需的（包括但不限于）</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设计费、</w:t>
      </w:r>
      <w:r>
        <w:rPr>
          <w:rFonts w:hint="eastAsia" w:ascii="宋体" w:hAnsi="宋体" w:eastAsia="宋体" w:cs="宋体"/>
          <w:b/>
          <w:color w:val="auto"/>
          <w:szCs w:val="21"/>
          <w:highlight w:val="none"/>
          <w:lang w:val="en-US" w:eastAsia="zh-CN"/>
        </w:rPr>
        <w:t>货物（所有材料）出厂价、材料费、装卸费、运输费、</w:t>
      </w:r>
      <w:r>
        <w:rPr>
          <w:rFonts w:hint="eastAsia" w:ascii="宋体" w:hAnsi="宋体" w:eastAsia="宋体" w:cs="宋体"/>
          <w:b/>
          <w:color w:val="auto"/>
          <w:szCs w:val="21"/>
          <w:highlight w:val="none"/>
        </w:rPr>
        <w:t>人工</w:t>
      </w:r>
      <w:r>
        <w:rPr>
          <w:rFonts w:hint="eastAsia" w:ascii="宋体" w:hAnsi="宋体" w:eastAsia="宋体" w:cs="宋体"/>
          <w:b/>
          <w:color w:val="auto"/>
          <w:szCs w:val="21"/>
          <w:highlight w:val="none"/>
          <w:lang w:val="en-US" w:eastAsia="zh-CN"/>
        </w:rPr>
        <w:t>费、机械费、措施费、保护费、</w:t>
      </w:r>
      <w:r>
        <w:rPr>
          <w:rFonts w:hint="eastAsia" w:ascii="宋体" w:hAnsi="宋体" w:eastAsia="宋体" w:cs="宋体"/>
          <w:b/>
          <w:color w:val="auto"/>
          <w:szCs w:val="21"/>
          <w:highlight w:val="none"/>
        </w:rPr>
        <w:t>验收费用</w:t>
      </w: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安装费、</w:t>
      </w:r>
      <w:r>
        <w:rPr>
          <w:rFonts w:hint="eastAsia" w:ascii="宋体" w:hAnsi="宋体" w:eastAsia="宋体" w:cs="宋体"/>
          <w:b/>
          <w:color w:val="auto"/>
          <w:szCs w:val="21"/>
          <w:highlight w:val="none"/>
        </w:rPr>
        <w:t>管理费、利润、招标代理费用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税费</w:t>
      </w:r>
      <w:r>
        <w:rPr>
          <w:rFonts w:hint="eastAsia" w:ascii="宋体" w:hAnsi="宋体" w:cs="宋体"/>
          <w:b/>
          <w:color w:val="auto"/>
          <w:szCs w:val="21"/>
          <w:highlight w:val="none"/>
          <w:lang w:val="en-US" w:eastAsia="zh-CN"/>
        </w:rPr>
        <w:t>、</w:t>
      </w:r>
      <w:r>
        <w:rPr>
          <w:rFonts w:hint="eastAsia" w:ascii="宋体" w:hAnsi="宋体" w:eastAsia="宋体" w:cs="宋体"/>
          <w:b/>
          <w:bCs/>
          <w:color w:val="auto"/>
          <w:sz w:val="21"/>
          <w:szCs w:val="21"/>
          <w:highlight w:val="none"/>
        </w:rPr>
        <w:t>各类保险、政策性及指导性文件规定及合同包含的所有风险、责任、义务等一切应有费用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固定总价不作任何调整，招标人不再另行支付任何费用</w:t>
      </w:r>
      <w:r>
        <w:rPr>
          <w:rFonts w:hint="eastAsia" w:ascii="宋体" w:hAnsi="宋体" w:cs="宋体"/>
          <w:b/>
          <w:color w:val="auto"/>
          <w:szCs w:val="21"/>
          <w:highlight w:val="none"/>
          <w:lang w:val="en-US" w:eastAsia="zh-CN"/>
        </w:rPr>
        <w:t>。</w:t>
      </w:r>
    </w:p>
    <w:p w14:paraId="48EC500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投标报价不按规定报价的，其投标文件按无效标处理。</w:t>
      </w:r>
    </w:p>
    <w:p w14:paraId="6AFB912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.投标有效期</w:t>
      </w:r>
    </w:p>
    <w:p w14:paraId="6C4214E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666320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3DE1E54A">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4"/>
          <w:highlight w:val="none"/>
          <w:lang w:val="en-US" w:eastAsia="zh-CN"/>
        </w:rPr>
      </w:pPr>
      <w:bookmarkStart w:id="6" w:name="_Toc27519"/>
      <w:r>
        <w:rPr>
          <w:rFonts w:hint="eastAsia" w:ascii="宋体" w:hAnsi="宋体" w:eastAsia="宋体" w:cs="宋体"/>
          <w:color w:val="auto"/>
          <w:sz w:val="24"/>
          <w:highlight w:val="none"/>
          <w:lang w:val="en-US" w:eastAsia="zh-CN"/>
        </w:rPr>
        <w:t xml:space="preserve"> </w:t>
      </w:r>
    </w:p>
    <w:p w14:paraId="71C94BD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四、投标文件的密封和递交</w:t>
      </w:r>
      <w:bookmarkEnd w:id="6"/>
    </w:p>
    <w:p w14:paraId="0C3FC1A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4.1投标文件上传</w:t>
      </w:r>
    </w:p>
    <w:p w14:paraId="2DFD11F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4.1.1请投标人通过系统下载投标工具制作投标文件，并利用CA数字证书进行上传投标文件，上传已加密的投标文件，务必通过此方式上传投标文件。</w:t>
      </w:r>
    </w:p>
    <w:p w14:paraId="3A5B38EB">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4.1.2投标人在投标文件编制、签章、上传过程中如有任何操作的疑问请及时拨打技术支持服务热线</w:t>
      </w:r>
      <w:r>
        <w:rPr>
          <w:rFonts w:hint="eastAsia" w:ascii="宋体" w:hAnsi="宋体" w:cs="宋体"/>
          <w:color w:val="auto"/>
          <w:sz w:val="21"/>
          <w:szCs w:val="21"/>
          <w:highlight w:val="none"/>
          <w:lang w:eastAsia="zh-CN"/>
        </w:rPr>
        <w:t>58151515</w:t>
      </w:r>
      <w:r>
        <w:rPr>
          <w:rFonts w:hint="eastAsia" w:ascii="宋体" w:hAnsi="宋体" w:eastAsia="宋体" w:cs="宋体"/>
          <w:color w:val="auto"/>
          <w:sz w:val="21"/>
          <w:szCs w:val="21"/>
          <w:highlight w:val="none"/>
        </w:rPr>
        <w:t>或者网站首页在线客服。</w:t>
      </w:r>
    </w:p>
    <w:p w14:paraId="0459035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4.2投标文件的密封和标记</w:t>
      </w:r>
    </w:p>
    <w:p w14:paraId="79ACF02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4.2.1投标文件应按照本章第3.5.6项要求制作并加密，未按要求加密的投标文件将被拒绝接收。以投标人在投标截止时间前网上递交的电子投标文件为准。</w:t>
      </w:r>
    </w:p>
    <w:p w14:paraId="27DA135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投标文件的递交</w:t>
      </w:r>
    </w:p>
    <w:p w14:paraId="645EB92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投标人应当在第一章“招标公告”规定的投标截止时间前，将加密投标文件上传至电子交易系统。</w:t>
      </w:r>
    </w:p>
    <w:p w14:paraId="74843F4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除投标人须知前附表另有规定外，投标人所递交的投标文件不予退还。</w:t>
      </w:r>
    </w:p>
    <w:p w14:paraId="05897E9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EC1E358">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投标文件的修改与撤回</w:t>
      </w:r>
    </w:p>
    <w:p w14:paraId="0CBB500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0D955FAD">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7" w:name="_Toc18173"/>
      <w:r>
        <w:rPr>
          <w:rFonts w:hint="eastAsia" w:ascii="宋体" w:hAnsi="宋体" w:eastAsia="宋体" w:cs="宋体"/>
          <w:color w:val="auto"/>
          <w:sz w:val="28"/>
          <w:szCs w:val="28"/>
          <w:highlight w:val="none"/>
        </w:rPr>
        <w:t>五、开标、评标和定标</w:t>
      </w:r>
      <w:bookmarkEnd w:id="7"/>
    </w:p>
    <w:p w14:paraId="105ED9E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开标时间和地点</w:t>
      </w:r>
    </w:p>
    <w:p w14:paraId="411C0D7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招标人在“招标公告”规定的投标截止时间前（开标时间）和地点通过电子交易系统公开开标。</w:t>
      </w:r>
    </w:p>
    <w:p w14:paraId="22422B2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开标程序</w:t>
      </w:r>
    </w:p>
    <w:p w14:paraId="00BC2D3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4B545C0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（1）公布在投标截止时间前通过电子交易系统完成投标文件递交的投标人名称；</w:t>
      </w:r>
    </w:p>
    <w:p w14:paraId="1597C7E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（2）投标人在投标截止时间后在投标人须知前附表规定的解密时间内完成投标文件的解密工作；</w:t>
      </w:r>
    </w:p>
    <w:p w14:paraId="7C6102B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（3）招标人或招标代理机构完成解密工作，导入并读取所有成功解密的投标文件；</w:t>
      </w:r>
    </w:p>
    <w:p w14:paraId="45BAAE2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（4）按投标人须知前附表规定公布投标人名称、标段名称、投标报价、质量目标、工期及其他内容；</w:t>
      </w:r>
    </w:p>
    <w:p w14:paraId="397A641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（5）开标结束。</w:t>
      </w:r>
    </w:p>
    <w:p w14:paraId="7B00DC4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开标异议</w:t>
      </w:r>
    </w:p>
    <w:p w14:paraId="2E3356C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投标人对开标有异议的，应当在开标过程中提出，招标人在开标过程中作出答复，并制作记录。异议与答复应通过电子交易系统进行。</w:t>
      </w:r>
    </w:p>
    <w:p w14:paraId="0715C36A">
      <w:pPr>
        <w:pStyle w:val="5"/>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8" w:name="_Toc4260"/>
      <w:bookmarkStart w:id="9" w:name="_Toc9776"/>
      <w:bookmarkStart w:id="10" w:name="_Toc247085721"/>
      <w:bookmarkStart w:id="11" w:name="_Toc296602452"/>
      <w:bookmarkStart w:id="12" w:name="_Toc144974531"/>
      <w:bookmarkStart w:id="13" w:name="_Toc246996207"/>
      <w:bookmarkStart w:id="14" w:name="_Toc152042339"/>
      <w:bookmarkStart w:id="15" w:name="_Toc60061467"/>
      <w:bookmarkStart w:id="16" w:name="_Toc95223370"/>
      <w:bookmarkStart w:id="17" w:name="_Toc179632581"/>
      <w:bookmarkStart w:id="18" w:name="_Toc324404847"/>
      <w:bookmarkStart w:id="19" w:name="_Toc152045563"/>
      <w:bookmarkStart w:id="20" w:name="_Toc83301722"/>
      <w:bookmarkStart w:id="21" w:name="_Toc15058885"/>
      <w:bookmarkStart w:id="22" w:name="_Toc506107300"/>
      <w:bookmarkStart w:id="23" w:name="_Toc246996950"/>
      <w:r>
        <w:rPr>
          <w:rFonts w:hint="eastAsia" w:ascii="黑体" w:hAnsi="黑体" w:eastAsia="黑体" w:cs="黑体"/>
          <w:color w:val="auto"/>
          <w:sz w:val="21"/>
          <w:szCs w:val="21"/>
          <w:highlight w:val="none"/>
        </w:rPr>
        <w:t>6.1 评标委员会</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40AAEE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C863D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130C6BB">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254C7D1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55ADF109">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7BE8583A">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00912CCC">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1DCBAA7A">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023EEA8E">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42F66C8B">
      <w:pPr>
        <w:pStyle w:val="5"/>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4" w:name="_Toc144974532"/>
      <w:bookmarkStart w:id="25" w:name="_Toc152045564"/>
      <w:bookmarkStart w:id="26" w:name="_Toc83301723"/>
      <w:bookmarkStart w:id="27" w:name="_Toc60061468"/>
      <w:bookmarkStart w:id="28" w:name="_Toc246996208"/>
      <w:bookmarkStart w:id="29" w:name="_Toc95223371"/>
      <w:bookmarkStart w:id="30" w:name="_Toc296602453"/>
      <w:bookmarkStart w:id="31" w:name="_Toc15058886"/>
      <w:bookmarkStart w:id="32" w:name="_Toc179632582"/>
      <w:bookmarkStart w:id="33" w:name="_Toc324404848"/>
      <w:bookmarkStart w:id="34" w:name="_Toc247085722"/>
      <w:bookmarkStart w:id="35" w:name="_Toc26801"/>
      <w:bookmarkStart w:id="36" w:name="_Toc506107301"/>
      <w:bookmarkStart w:id="37" w:name="_Toc152042340"/>
      <w:bookmarkStart w:id="38" w:name="_Toc20923"/>
      <w:bookmarkStart w:id="39" w:name="_Toc246996951"/>
      <w:r>
        <w:rPr>
          <w:rFonts w:hint="eastAsia" w:ascii="黑体" w:hAnsi="黑体" w:eastAsia="黑体" w:cs="黑体"/>
          <w:color w:val="auto"/>
          <w:sz w:val="21"/>
          <w:szCs w:val="21"/>
          <w:highlight w:val="none"/>
        </w:rPr>
        <w:t>6.2 评标原则</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35AFCA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40071F54">
      <w:pPr>
        <w:pStyle w:val="5"/>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0" w:name="_Toc179632583"/>
      <w:bookmarkStart w:id="41" w:name="_Toc296602454"/>
      <w:bookmarkStart w:id="42" w:name="_Toc17223"/>
      <w:bookmarkStart w:id="43" w:name="_Toc506107302"/>
      <w:bookmarkStart w:id="44" w:name="_Toc247085723"/>
      <w:bookmarkStart w:id="45" w:name="_Toc246996952"/>
      <w:bookmarkStart w:id="46" w:name="_Toc152042341"/>
      <w:bookmarkStart w:id="47" w:name="_Toc144974533"/>
      <w:bookmarkStart w:id="48" w:name="_Toc83301724"/>
      <w:bookmarkStart w:id="49" w:name="_Toc324404849"/>
      <w:bookmarkStart w:id="50" w:name="_Toc60061469"/>
      <w:bookmarkStart w:id="51" w:name="_Toc15058887"/>
      <w:bookmarkStart w:id="52" w:name="_Toc26654"/>
      <w:bookmarkStart w:id="53" w:name="_Toc246996209"/>
      <w:bookmarkStart w:id="54" w:name="_Toc152045565"/>
      <w:bookmarkStart w:id="55" w:name="_Toc95223372"/>
      <w:r>
        <w:rPr>
          <w:rFonts w:hint="eastAsia" w:ascii="黑体" w:hAnsi="黑体" w:eastAsia="黑体" w:cs="黑体"/>
          <w:color w:val="auto"/>
          <w:sz w:val="21"/>
          <w:szCs w:val="21"/>
          <w:highlight w:val="none"/>
        </w:rPr>
        <w:t>6.3 评标</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黑体" w:eastAsia="黑体" w:cs="黑体"/>
          <w:color w:val="auto"/>
          <w:sz w:val="21"/>
          <w:szCs w:val="21"/>
          <w:highlight w:val="none"/>
        </w:rPr>
        <w:t xml:space="preserve">    </w:t>
      </w:r>
    </w:p>
    <w:p w14:paraId="26A7E2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15DDF64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0408EC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定标</w:t>
      </w:r>
    </w:p>
    <w:p w14:paraId="05F2F75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  中标候选人和中标人的确定</w:t>
      </w:r>
    </w:p>
    <w:p w14:paraId="6CFE22A7">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.1.1</w:t>
      </w:r>
      <w:bookmarkStart w:id="56" w:name="_Toc21491"/>
      <w:r>
        <w:rPr>
          <w:rFonts w:hint="eastAsia" w:ascii="宋体" w:hAnsi="宋体" w:eastAsia="宋体" w:cs="宋体"/>
          <w:color w:val="auto"/>
          <w:sz w:val="21"/>
          <w:szCs w:val="21"/>
          <w:highlight w:val="none"/>
        </w:rPr>
        <w:t>本次评标采用</w:t>
      </w:r>
      <w:r>
        <w:rPr>
          <w:rFonts w:hint="eastAsia" w:ascii="宋体" w:hAnsi="宋体" w:cs="宋体"/>
          <w:color w:val="auto"/>
          <w:sz w:val="21"/>
          <w:szCs w:val="21"/>
          <w:highlight w:val="none"/>
          <w:lang w:eastAsia="zh-CN"/>
        </w:rPr>
        <w:t>最低评标价法</w:t>
      </w:r>
      <w:r>
        <w:rPr>
          <w:rFonts w:hint="eastAsia" w:ascii="宋体" w:hAnsi="宋体" w:eastAsia="宋体" w:cs="宋体"/>
          <w:color w:val="auto"/>
          <w:sz w:val="21"/>
          <w:szCs w:val="21"/>
          <w:highlight w:val="none"/>
        </w:rPr>
        <w:t>。评标委员会按修正后按投标报价（扣除可抵扣的进项税后的金额）由低到高顺序排序，确定中标候选人。如出现报价相同情况，则由开票税率从高到低确定中标候选人排名顺序，若开票税率也相同，则由招标人</w:t>
      </w:r>
      <w:r>
        <w:rPr>
          <w:rFonts w:hint="eastAsia" w:ascii="宋体" w:hAnsi="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随机抽取确定。备注：所有计算均保留小数点后两位，第三位四舍五入进行计算。</w:t>
      </w:r>
    </w:p>
    <w:p w14:paraId="4EE556E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.1.2商务标评审表注：</w:t>
      </w:r>
    </w:p>
    <w:p w14:paraId="5416EB55">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1、只有通过商务标符合性评审的投标人才能参加评分。</w:t>
      </w:r>
    </w:p>
    <w:p w14:paraId="1AF4F4B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2、投标报价是指按招标文件规定修正后的投标总报价（多算投标报价、多报费用不扣减）。</w:t>
      </w:r>
    </w:p>
    <w:p w14:paraId="7D46B28B">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3、报价修正原则：</w:t>
      </w:r>
    </w:p>
    <w:p w14:paraId="662064AC">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评标小组审查投标文件，看其是否有计算或表达上的错误，投标报价有错误的，评标小组按以下原则对投标报价进行修正。</w:t>
      </w:r>
    </w:p>
    <w:p w14:paraId="6D2A0E0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（1）投标文件中的大写金额与小写金额不一致的，以大写金额为准。</w:t>
      </w:r>
    </w:p>
    <w:p w14:paraId="7542E1E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p>
    <w:p w14:paraId="2AF1192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66CE59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p>
    <w:p w14:paraId="502E5792">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六、合同的授予</w:t>
      </w:r>
      <w:bookmarkEnd w:id="56"/>
    </w:p>
    <w:p w14:paraId="2FD38207">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合同授予标准</w:t>
      </w:r>
    </w:p>
    <w:p w14:paraId="486C568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  本招标工程的合同授予按本须知规定所确定的中标人。</w:t>
      </w:r>
    </w:p>
    <w:p w14:paraId="7C6C72F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合同协议书的签订</w:t>
      </w:r>
    </w:p>
    <w:p w14:paraId="53D0FC6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.1  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01DDFB0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 xml:space="preserve"> 中标人如不按本投标须知的规定与招标人订立合同，则招标人将取消其中标资格，给招标人造成的损失超过投标担保数额的，还应当对超过部分予以赔偿，同时依法承担相应法律责任。</w:t>
      </w:r>
    </w:p>
    <w:p w14:paraId="4CDB8BEF">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中标人应当按照合同约定履行义务，完成中标项目的实施，不得将中标项目转让（转包）给他人。</w:t>
      </w:r>
      <w:bookmarkStart w:id="57" w:name="_Toc12737"/>
      <w:bookmarkStart w:id="58" w:name="_Toc31589_WPSOffice_Level1"/>
      <w:bookmarkStart w:id="59" w:name="_Toc3222"/>
    </w:p>
    <w:p w14:paraId="704B14C5">
      <w:pPr>
        <w:pageBreakBefore/>
        <w:spacing w:before="120" w:beforeLines="50" w:after="120" w:afterLines="50" w:line="360" w:lineRule="auto"/>
        <w:jc w:val="center"/>
        <w:outlineLvl w:val="0"/>
        <w:rPr>
          <w:rFonts w:hint="eastAsia"/>
          <w:b/>
          <w:bCs/>
          <w:color w:val="auto"/>
          <w:sz w:val="28"/>
          <w:szCs w:val="28"/>
          <w:highlight w:val="none"/>
        </w:rPr>
      </w:pPr>
      <w:bookmarkStart w:id="60" w:name="_Toc324404864"/>
      <w:bookmarkStart w:id="61" w:name="_Toc22455"/>
      <w:bookmarkStart w:id="62" w:name="_Toc15058902"/>
      <w:bookmarkStart w:id="63" w:name="_Toc11130"/>
      <w:bookmarkStart w:id="64" w:name="_Toc506107317"/>
      <w:bookmarkStart w:id="65" w:name="_Toc79686984"/>
      <w:r>
        <w:rPr>
          <w:rFonts w:hint="eastAsia"/>
          <w:b/>
          <w:bCs/>
          <w:color w:val="auto"/>
          <w:sz w:val="28"/>
          <w:szCs w:val="28"/>
          <w:highlight w:val="none"/>
        </w:rPr>
        <w:t>第二章 资格审查</w:t>
      </w:r>
      <w:bookmarkEnd w:id="60"/>
      <w:r>
        <w:rPr>
          <w:rFonts w:hint="eastAsia"/>
          <w:b/>
          <w:bCs/>
          <w:color w:val="auto"/>
          <w:sz w:val="28"/>
          <w:szCs w:val="28"/>
          <w:highlight w:val="none"/>
        </w:rPr>
        <w:t>办法</w:t>
      </w:r>
      <w:bookmarkEnd w:id="61"/>
      <w:bookmarkEnd w:id="62"/>
      <w:bookmarkEnd w:id="63"/>
      <w:bookmarkEnd w:id="64"/>
      <w:bookmarkEnd w:id="65"/>
    </w:p>
    <w:p w14:paraId="5CC54FAA">
      <w:pPr>
        <w:spacing w:before="120" w:beforeLines="50" w:after="120" w:afterLines="50" w:line="440" w:lineRule="exact"/>
        <w:jc w:val="center"/>
        <w:rPr>
          <w:rFonts w:hint="eastAsia" w:ascii="宋体" w:hAnsi="宋体" w:cs="宋体"/>
          <w:b/>
          <w:bCs/>
          <w:color w:val="auto"/>
          <w:sz w:val="24"/>
          <w:highlight w:val="none"/>
        </w:rPr>
      </w:pPr>
      <w:bookmarkStart w:id="66" w:name="_Toc324404865"/>
      <w:bookmarkStart w:id="67" w:name="_Toc15058903"/>
      <w:bookmarkStart w:id="68" w:name="_Toc5756"/>
      <w:bookmarkStart w:id="69" w:name="_Toc506107318"/>
      <w:r>
        <w:rPr>
          <w:rFonts w:hint="eastAsia" w:ascii="宋体" w:hAnsi="宋体" w:cs="宋体"/>
          <w:b/>
          <w:bCs/>
          <w:color w:val="auto"/>
          <w:sz w:val="24"/>
          <w:highlight w:val="none"/>
        </w:rPr>
        <w:t>资格审查办法前附表</w:t>
      </w:r>
      <w:bookmarkEnd w:id="66"/>
      <w:bookmarkEnd w:id="67"/>
      <w:bookmarkEnd w:id="68"/>
      <w:bookmarkEnd w:id="69"/>
    </w:p>
    <w:tbl>
      <w:tblPr>
        <w:tblStyle w:val="4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6F69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127CD462">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54E77111">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748A24F">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3B99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69861140">
            <w:pPr>
              <w:kinsoku/>
              <w:overflowPunct/>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3A9CEA09">
            <w:pPr>
              <w:kinsoku/>
              <w:overflowPunct/>
              <w:bidi w:val="0"/>
              <w:adjustRightInd w:val="0"/>
              <w:snapToGrid w:val="0"/>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33A4E7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4E24A1D6">
            <w:pPr>
              <w:kinsoku/>
              <w:overflowPunct/>
              <w:bidi w:val="0"/>
              <w:adjustRightInd w:val="0"/>
              <w:snapToGrid w:val="0"/>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2EB7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4FF06B1">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7CD1C64">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494636D3">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continue"/>
            <w:noWrap w:val="0"/>
            <w:vAlign w:val="center"/>
          </w:tcPr>
          <w:p w14:paraId="252616D3">
            <w:pPr>
              <w:kinsoku/>
              <w:overflowPunct/>
              <w:bidi w:val="0"/>
              <w:adjustRightInd w:val="0"/>
              <w:snapToGrid w:val="0"/>
              <w:spacing w:line="440" w:lineRule="exact"/>
              <w:jc w:val="center"/>
              <w:rPr>
                <w:rFonts w:hint="eastAsia" w:ascii="宋体" w:hAnsi="宋体" w:cs="宋体"/>
                <w:b/>
                <w:color w:val="auto"/>
                <w:szCs w:val="21"/>
                <w:highlight w:val="none"/>
              </w:rPr>
            </w:pPr>
          </w:p>
        </w:tc>
      </w:tr>
      <w:tr w14:paraId="7E93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5731E42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571B978">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0F9208E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2C22F879">
            <w:pPr>
              <w:kinsoku/>
              <w:overflowPunct/>
              <w:bidi w:val="0"/>
              <w:adjustRightInd w:val="0"/>
              <w:snapToGrid w:val="0"/>
              <w:spacing w:line="440" w:lineRule="exact"/>
              <w:jc w:val="center"/>
              <w:rPr>
                <w:rFonts w:hint="eastAsia" w:ascii="宋体" w:hAnsi="宋体" w:cs="宋体"/>
                <w:b/>
                <w:color w:val="auto"/>
                <w:szCs w:val="21"/>
                <w:highlight w:val="none"/>
              </w:rPr>
            </w:pPr>
          </w:p>
        </w:tc>
      </w:tr>
      <w:tr w14:paraId="0305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1AA11173">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61F3685">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4A96DC2">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12B654C5">
            <w:pPr>
              <w:kinsoku/>
              <w:overflowPunct/>
              <w:bidi w:val="0"/>
              <w:adjustRightInd w:val="0"/>
              <w:snapToGrid w:val="0"/>
              <w:spacing w:line="440" w:lineRule="exact"/>
              <w:jc w:val="center"/>
              <w:rPr>
                <w:rFonts w:hint="eastAsia" w:ascii="宋体" w:hAnsi="宋体" w:cs="宋体"/>
                <w:color w:val="auto"/>
                <w:szCs w:val="21"/>
                <w:highlight w:val="none"/>
              </w:rPr>
            </w:pPr>
          </w:p>
        </w:tc>
      </w:tr>
      <w:tr w14:paraId="0ADD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169BE8B8">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54980AE0">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BFA576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99" w:type="dxa"/>
            <w:vMerge w:val="continue"/>
            <w:noWrap w:val="0"/>
            <w:vAlign w:val="center"/>
          </w:tcPr>
          <w:p w14:paraId="5184BD66">
            <w:pPr>
              <w:kinsoku/>
              <w:overflowPunct/>
              <w:bidi w:val="0"/>
              <w:adjustRightInd w:val="0"/>
              <w:snapToGrid w:val="0"/>
              <w:spacing w:line="440" w:lineRule="exact"/>
              <w:jc w:val="center"/>
              <w:rPr>
                <w:rFonts w:hint="eastAsia" w:ascii="宋体" w:hAnsi="宋体" w:cs="宋体"/>
                <w:color w:val="auto"/>
                <w:szCs w:val="21"/>
                <w:highlight w:val="none"/>
              </w:rPr>
            </w:pPr>
          </w:p>
        </w:tc>
      </w:tr>
      <w:tr w14:paraId="5FFE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7BF4A934">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7E885BCA">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4982BF3E">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99" w:type="dxa"/>
            <w:vMerge w:val="continue"/>
            <w:noWrap w:val="0"/>
            <w:vAlign w:val="center"/>
          </w:tcPr>
          <w:p w14:paraId="071EDA9B">
            <w:pPr>
              <w:kinsoku/>
              <w:overflowPunct/>
              <w:bidi w:val="0"/>
              <w:adjustRightInd w:val="0"/>
              <w:snapToGrid w:val="0"/>
              <w:spacing w:line="440" w:lineRule="exact"/>
              <w:jc w:val="center"/>
              <w:rPr>
                <w:rFonts w:hint="eastAsia" w:ascii="宋体" w:hAnsi="宋体" w:cs="宋体"/>
                <w:color w:val="auto"/>
                <w:szCs w:val="21"/>
                <w:highlight w:val="none"/>
              </w:rPr>
            </w:pPr>
          </w:p>
        </w:tc>
      </w:tr>
      <w:tr w14:paraId="1A92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4E840A1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661D0EEE">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225C575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noWrap w:val="0"/>
            <w:vAlign w:val="center"/>
          </w:tcPr>
          <w:p w14:paraId="3FE9C77B">
            <w:pPr>
              <w:kinsoku/>
              <w:overflowPunct/>
              <w:bidi w:val="0"/>
              <w:adjustRightInd w:val="0"/>
              <w:snapToGrid w:val="0"/>
              <w:spacing w:line="440" w:lineRule="exact"/>
              <w:jc w:val="center"/>
              <w:rPr>
                <w:rFonts w:hint="eastAsia" w:ascii="宋体" w:hAnsi="宋体" w:cs="宋体"/>
                <w:color w:val="auto"/>
                <w:szCs w:val="21"/>
                <w:highlight w:val="none"/>
              </w:rPr>
            </w:pPr>
          </w:p>
        </w:tc>
      </w:tr>
    </w:tbl>
    <w:p w14:paraId="664200DF">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12814ED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（1）资格审查材料可以按招标文件要求上传至指定位置。</w:t>
      </w:r>
    </w:p>
    <w:p w14:paraId="248990F1">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014C981C">
      <w:pPr>
        <w:kinsoku/>
        <w:overflowPunct/>
        <w:bidi w:val="0"/>
        <w:spacing w:line="440" w:lineRule="exact"/>
        <w:ind w:firstLine="42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（3）投标人拟委任项目经理为注册建造师（含一级、二级）的，须提供在电子证书使用有效期内的纸质版电子证书。</w:t>
      </w:r>
      <w:r>
        <w:rPr>
          <w:rFonts w:ascii="黑体" w:hAnsi="黑体" w:eastAsia="黑体" w:cs="黑体"/>
          <w:b/>
          <w:bCs/>
          <w:color w:val="auto"/>
          <w:szCs w:val="21"/>
          <w:highlight w:val="none"/>
        </w:rPr>
        <w:t>一级建造师打印电子证书后，应在个人签名处手写本人签名，未手写签名或与签名图像笔迹不一致的，该电子证书无效。</w:t>
      </w:r>
    </w:p>
    <w:p w14:paraId="7A299175">
      <w:pPr>
        <w:kinsoku/>
        <w:overflowPunct/>
        <w:bidi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C8BBCF3">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0" w:name="_Toc6839"/>
      <w:bookmarkStart w:id="71" w:name="_Toc6447"/>
      <w:r>
        <w:rPr>
          <w:rFonts w:hint="eastAsia" w:ascii="黑体" w:hAnsi="黑体" w:cs="黑体"/>
          <w:color w:val="auto"/>
          <w:sz w:val="21"/>
          <w:szCs w:val="21"/>
          <w:highlight w:val="none"/>
        </w:rPr>
        <w:t>1.审查资料</w:t>
      </w:r>
      <w:bookmarkEnd w:id="70"/>
      <w:bookmarkEnd w:id="71"/>
    </w:p>
    <w:p w14:paraId="3979CCF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533EECF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63B8D56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187E1643">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083BAC7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4B51852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64555CDD">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1F62B6AB">
      <w:pPr>
        <w:kinsoku/>
        <w:overflowPunct/>
        <w:bidi w:val="0"/>
        <w:adjustRightInd w:val="0"/>
        <w:snapToGrid w:val="0"/>
        <w:spacing w:line="44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343AD25B">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2" w:name="_Toc31948"/>
      <w:bookmarkStart w:id="73" w:name="_Toc13799"/>
      <w:r>
        <w:rPr>
          <w:rFonts w:hint="eastAsia" w:ascii="黑体" w:hAnsi="黑体" w:cs="黑体"/>
          <w:color w:val="auto"/>
          <w:sz w:val="21"/>
          <w:szCs w:val="21"/>
          <w:highlight w:val="none"/>
        </w:rPr>
        <w:t>2.审查办法</w:t>
      </w:r>
      <w:bookmarkEnd w:id="72"/>
      <w:bookmarkEnd w:id="73"/>
    </w:p>
    <w:p w14:paraId="6D79281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6E2F1826">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4" w:name="_Toc29285"/>
      <w:bookmarkStart w:id="75" w:name="_Toc23122"/>
      <w:r>
        <w:rPr>
          <w:rFonts w:hint="eastAsia" w:ascii="黑体" w:hAnsi="黑体" w:cs="黑体"/>
          <w:color w:val="auto"/>
          <w:sz w:val="21"/>
          <w:szCs w:val="21"/>
          <w:highlight w:val="none"/>
        </w:rPr>
        <w:t>3.资格审查委员会和审查标准</w:t>
      </w:r>
      <w:bookmarkEnd w:id="74"/>
      <w:bookmarkEnd w:id="75"/>
    </w:p>
    <w:p w14:paraId="44A9EA6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0D90F63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52909CA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569DD6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0373D61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（3）保证金不按“投标人须知”及其前附表要求提交投标保证金的； </w:t>
      </w:r>
    </w:p>
    <w:p w14:paraId="5EDF7A9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）法律、法规规定的其他情形。</w:t>
      </w:r>
    </w:p>
    <w:p w14:paraId="4EF6BBA4">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6" w:name="_Toc16034"/>
      <w:bookmarkStart w:id="77" w:name="_Toc18794"/>
      <w:r>
        <w:rPr>
          <w:rFonts w:hint="eastAsia" w:ascii="黑体" w:hAnsi="黑体" w:cs="黑体"/>
          <w:color w:val="auto"/>
          <w:sz w:val="21"/>
          <w:szCs w:val="21"/>
          <w:highlight w:val="none"/>
        </w:rPr>
        <w:t>4.审查结果</w:t>
      </w:r>
      <w:bookmarkEnd w:id="76"/>
      <w:bookmarkEnd w:id="77"/>
    </w:p>
    <w:p w14:paraId="7003430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14:paraId="71D612DD">
      <w:pPr>
        <w:kinsoku/>
        <w:overflowPunct/>
        <w:bidi w:val="0"/>
        <w:spacing w:line="440" w:lineRule="exact"/>
        <w:rPr>
          <w:rFonts w:hint="eastAsia"/>
          <w:color w:val="auto"/>
          <w:highlight w:val="none"/>
        </w:rPr>
      </w:pPr>
      <w:bookmarkStart w:id="78" w:name="_Toc506107323"/>
      <w:bookmarkStart w:id="79" w:name="_Toc15058912"/>
      <w:bookmarkStart w:id="80" w:name="_Toc95223398"/>
      <w:bookmarkStart w:id="81" w:name="_Toc60061495"/>
    </w:p>
    <w:bookmarkEnd w:id="78"/>
    <w:bookmarkEnd w:id="79"/>
    <w:bookmarkEnd w:id="80"/>
    <w:bookmarkEnd w:id="81"/>
    <w:p w14:paraId="7362472C">
      <w:pPr>
        <w:pStyle w:val="47"/>
        <w:rPr>
          <w:rFonts w:hint="eastAsia"/>
          <w:color w:val="auto"/>
          <w:highlight w:val="none"/>
          <w:lang w:val="en-US" w:eastAsia="zh-CN"/>
        </w:rPr>
      </w:pPr>
    </w:p>
    <w:p w14:paraId="2921D19B">
      <w:pPr>
        <w:rPr>
          <w:rFonts w:hint="eastAsia" w:ascii="宋体" w:hAnsi="宋体" w:eastAsia="宋体" w:cs="宋体"/>
          <w:color w:val="auto"/>
          <w:highlight w:val="none"/>
          <w:lang w:val="en-US" w:eastAsia="zh-CN"/>
        </w:rPr>
      </w:pPr>
    </w:p>
    <w:p w14:paraId="1C5BE0D6">
      <w:pPr>
        <w:rPr>
          <w:rFonts w:hint="eastAsia" w:ascii="宋体" w:hAnsi="宋体" w:eastAsia="宋体" w:cs="宋体"/>
          <w:color w:val="auto"/>
          <w:highlight w:val="none"/>
          <w:lang w:val="en-US" w:eastAsia="zh-CN"/>
        </w:rPr>
      </w:pPr>
    </w:p>
    <w:p w14:paraId="6A8D23AC">
      <w:pPr>
        <w:rPr>
          <w:rFonts w:hint="eastAsia" w:ascii="宋体" w:hAnsi="宋体" w:eastAsia="宋体" w:cs="宋体"/>
          <w:color w:val="auto"/>
          <w:highlight w:val="none"/>
          <w:lang w:val="en-US" w:eastAsia="zh-CN"/>
        </w:rPr>
      </w:pPr>
    </w:p>
    <w:p w14:paraId="0ABD2B36">
      <w:pPr>
        <w:pStyle w:val="3"/>
        <w:spacing w:before="0" w:after="0"/>
        <w:rPr>
          <w:rFonts w:hint="eastAsia" w:ascii="宋体" w:hAnsi="宋体" w:eastAsia="宋体" w:cs="宋体"/>
          <w:color w:val="auto"/>
          <w:highlight w:val="none"/>
          <w:lang w:val="en-US" w:eastAsia="zh-CN"/>
        </w:rPr>
      </w:pPr>
      <w:bookmarkStart w:id="82" w:name="_Toc32139"/>
      <w:r>
        <w:rPr>
          <w:rFonts w:hint="eastAsia" w:ascii="宋体" w:hAnsi="宋体" w:eastAsia="宋体" w:cs="宋体"/>
          <w:color w:val="auto"/>
          <w:highlight w:val="none"/>
          <w:lang w:val="en-US" w:eastAsia="zh-CN"/>
        </w:rPr>
        <w:t>第三章  评标办法</w:t>
      </w:r>
      <w:bookmarkEnd w:id="82"/>
    </w:p>
    <w:p w14:paraId="73184A28">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1、本次评选方法采用</w:t>
      </w:r>
      <w:r>
        <w:rPr>
          <w:rFonts w:hint="eastAsia" w:ascii="宋体" w:hAnsi="宋体" w:cs="宋体"/>
          <w:color w:val="auto"/>
          <w:szCs w:val="21"/>
          <w:highlight w:val="none"/>
          <w:lang w:eastAsia="zh-CN"/>
        </w:rPr>
        <w:t>最低评标价法</w:t>
      </w:r>
      <w:r>
        <w:rPr>
          <w:rFonts w:hint="eastAsia" w:ascii="宋体" w:hAnsi="宋体" w:cs="宋体"/>
          <w:color w:val="auto"/>
          <w:szCs w:val="21"/>
          <w:highlight w:val="none"/>
        </w:rPr>
        <w:t>。评标委员会按修正后按投标报价（扣除可抵扣的进项税后的金额）由低到高顺序排序，确定中标候选人。如出现报价相同情况，则由开票税率从高到低确定中标候选人排名顺序，若开票税率也相同，则由招标人或评标委员会随机抽取确定。备注：所有计算均保留小数点后两位，第三位四舍五入进行计算。</w:t>
      </w:r>
    </w:p>
    <w:p w14:paraId="67037DF2">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2、投标报价（扣除可抵扣的进项税后的金额）</w:t>
      </w:r>
      <w:r>
        <w:rPr>
          <w:rFonts w:hint="eastAsia" w:ascii="宋体" w:hAnsi="宋体" w:cs="宋体"/>
          <w:color w:val="auto"/>
          <w:szCs w:val="21"/>
          <w:highlight w:val="none"/>
          <w:lang w:val="en-US" w:eastAsia="zh-CN"/>
        </w:rPr>
        <w:t>=投标报价/（1+开票税率）</w:t>
      </w:r>
      <w:r>
        <w:rPr>
          <w:rFonts w:hint="eastAsia" w:ascii="宋体" w:hAnsi="宋体" w:cs="宋体"/>
          <w:color w:val="auto"/>
          <w:szCs w:val="21"/>
          <w:highlight w:val="none"/>
        </w:rPr>
        <w:t>。</w:t>
      </w:r>
    </w:p>
    <w:bookmarkEnd w:id="57"/>
    <w:bookmarkEnd w:id="58"/>
    <w:bookmarkEnd w:id="59"/>
    <w:p w14:paraId="2E7225DC">
      <w:pPr>
        <w:pageBreakBefore/>
        <w:spacing w:before="249" w:beforeLines="80" w:after="249" w:afterLines="80" w:line="440" w:lineRule="exact"/>
        <w:jc w:val="center"/>
        <w:outlineLvl w:val="1"/>
        <w:rPr>
          <w:rFonts w:hint="default" w:ascii="宋体" w:eastAsia="宋体"/>
          <w:b/>
          <w:color w:val="auto"/>
          <w:sz w:val="32"/>
          <w:szCs w:val="32"/>
          <w:highlight w:val="none"/>
          <w:lang w:val="en-US" w:eastAsia="zh-CN"/>
        </w:rPr>
      </w:pPr>
      <w:bookmarkStart w:id="83" w:name="_Toc77262196"/>
      <w:r>
        <w:rPr>
          <w:rFonts w:hint="eastAsia" w:ascii="宋体"/>
          <w:b/>
          <w:color w:val="auto"/>
          <w:sz w:val="32"/>
          <w:szCs w:val="32"/>
          <w:highlight w:val="none"/>
        </w:rPr>
        <w:t>第</w:t>
      </w:r>
      <w:r>
        <w:rPr>
          <w:rFonts w:hint="eastAsia" w:ascii="宋体"/>
          <w:b/>
          <w:color w:val="auto"/>
          <w:sz w:val="32"/>
          <w:szCs w:val="32"/>
          <w:highlight w:val="none"/>
          <w:lang w:val="en-US" w:eastAsia="zh-CN"/>
        </w:rPr>
        <w:t>四</w:t>
      </w:r>
      <w:r>
        <w:rPr>
          <w:rFonts w:hint="eastAsia" w:ascii="宋体"/>
          <w:b/>
          <w:color w:val="auto"/>
          <w:sz w:val="32"/>
          <w:szCs w:val="32"/>
          <w:highlight w:val="none"/>
        </w:rPr>
        <w:t>章</w:t>
      </w:r>
      <w:r>
        <w:rPr>
          <w:rFonts w:ascii="宋体"/>
          <w:b/>
          <w:color w:val="auto"/>
          <w:sz w:val="32"/>
          <w:szCs w:val="32"/>
          <w:highlight w:val="none"/>
        </w:rPr>
        <w:t xml:space="preserve">  </w:t>
      </w:r>
      <w:bookmarkEnd w:id="83"/>
      <w:r>
        <w:rPr>
          <w:rFonts w:hint="eastAsia" w:ascii="宋体"/>
          <w:b/>
          <w:color w:val="auto"/>
          <w:sz w:val="32"/>
          <w:szCs w:val="32"/>
          <w:highlight w:val="none"/>
          <w:lang w:val="en-US" w:eastAsia="zh-CN"/>
        </w:rPr>
        <w:t>工程量清单</w:t>
      </w:r>
    </w:p>
    <w:tbl>
      <w:tblPr>
        <w:tblStyle w:val="48"/>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608"/>
        <w:gridCol w:w="4331"/>
        <w:gridCol w:w="1536"/>
        <w:gridCol w:w="1067"/>
      </w:tblGrid>
      <w:tr w14:paraId="4C01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6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3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3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项目特征描述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3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计量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C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9"/>
                <w:color w:val="auto"/>
                <w:highlight w:val="none"/>
                <w:lang w:val="en-US" w:eastAsia="zh-CN" w:bidi="ar"/>
              </w:rPr>
              <w:t>工程量</w:t>
            </w:r>
          </w:p>
        </w:tc>
      </w:tr>
      <w:tr w14:paraId="7D5C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5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B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组合式成套箱式变电站</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5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1.名称:欧式箱变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2.容量(kV·A):SCB14-800KVA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3.含变压器元器件及相关附件安装，含变压器配套接线电缆及配管安装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4.其他：高压柜带真空断路器加微机保护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7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B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11B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2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6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箱变基础</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5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1.名称:欧式箱变基础</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9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1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F6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7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2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电力电缆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48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1.名称:高压电缆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2.型号:ZC-YJY22-8.7/15kV-3*70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5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4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r>
      <w:tr w14:paraId="0A4A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9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F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电力电缆头</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1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1.名称:高压电缆终端头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2.型号:电缆截面(mm2) ≤70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6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253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接地极</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CC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1.名称:接地极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2.材质:热镀锌角钢50×5-2.5m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7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C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0DE9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4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接地母线</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D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1.名称:接地母线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2.材质:热镀锌扁钢-50×5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4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F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14:paraId="1A7D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3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7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电力变压器系统</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4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1.名称:电力变压器系统调试 容量(kV·A) ≤800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8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B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472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ED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A7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送配电装置系统</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9F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1.名称:输配电装置系统调试 ≤10kV交流供电 带断路器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5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D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7DA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E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A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送配电装置系统</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8F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1.名称:输配电装置系统调试 ≤1kV 交流供电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AC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2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DD1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8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电容器</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9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1.名称:无功补偿装置系统调试 电容器电压 ≤1kV</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E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6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3D6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接地装置</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B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1.名称:接地系统测试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9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305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5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电缆试验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4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1.名称:高压电缆耐压试验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3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次（根、点）</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6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BC9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B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避雷器调试</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CD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1.名称:避雷器调试（10KV以下）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55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D8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E0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7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C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设计费</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4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1.名称:供电图纸设计费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7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5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14:paraId="6508A81C">
      <w:pPr>
        <w:tabs>
          <w:tab w:val="left" w:pos="8820"/>
        </w:tabs>
        <w:snapToGrid w:val="0"/>
        <w:spacing w:line="400" w:lineRule="exact"/>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备注:1、变压器内部器件必须为全铜的，要符合国家二级能耗，需现场实验报告，开关为德力西等一线品牌</w:t>
      </w:r>
      <w:r>
        <w:rPr>
          <w:rFonts w:hint="eastAsia" w:ascii="宋体" w:cs="Times New Roman"/>
          <w:color w:val="auto"/>
          <w:szCs w:val="21"/>
          <w:highlight w:val="none"/>
          <w:lang w:val="en-US" w:eastAsia="zh-CN"/>
        </w:rPr>
        <w:t>、</w:t>
      </w:r>
      <w:r>
        <w:rPr>
          <w:rFonts w:hint="eastAsia" w:ascii="宋体" w:hAnsi="Times New Roman" w:eastAsia="宋体" w:cs="Times New Roman"/>
          <w:color w:val="auto"/>
          <w:szCs w:val="21"/>
          <w:highlight w:val="none"/>
          <w:lang w:val="en-US" w:eastAsia="zh-CN"/>
        </w:rPr>
        <w:t>电缆为主流品牌、国标电缆;进场前必须提供相关检测报告并经过招标人认可后方可进场安装，否则不予计费。</w:t>
      </w:r>
    </w:p>
    <w:p w14:paraId="473B1DB8">
      <w:pPr>
        <w:numPr>
          <w:ilvl w:val="0"/>
          <w:numId w:val="1"/>
        </w:numPr>
        <w:tabs>
          <w:tab w:val="left" w:pos="8820"/>
        </w:tabs>
        <w:snapToGrid w:val="0"/>
        <w:spacing w:line="400" w:lineRule="exact"/>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本项目为固定总价合同，投标人自行勘察现场复验变压器容量</w:t>
      </w:r>
      <w:r>
        <w:rPr>
          <w:rFonts w:hint="eastAsia" w:ascii="宋体" w:cs="Times New Roman"/>
          <w:color w:val="auto"/>
          <w:szCs w:val="21"/>
          <w:highlight w:val="none"/>
          <w:lang w:val="en-US" w:eastAsia="zh-CN"/>
        </w:rPr>
        <w:t>等</w:t>
      </w:r>
      <w:r>
        <w:rPr>
          <w:rFonts w:hint="eastAsia" w:ascii="宋体" w:hAnsi="Times New Roman" w:eastAsia="宋体" w:cs="Times New Roman"/>
          <w:color w:val="auto"/>
          <w:szCs w:val="21"/>
          <w:highlight w:val="none"/>
          <w:lang w:val="en-US" w:eastAsia="zh-CN"/>
        </w:rPr>
        <w:t>，以上工程量均为估算，后期进场施工必须按实际要求进行安装，若未勘察现场造成的工程量差距不予认可，价格不调整。</w:t>
      </w:r>
    </w:p>
    <w:p w14:paraId="78E63D6B">
      <w:pPr>
        <w:numPr>
          <w:ilvl w:val="0"/>
          <w:numId w:val="1"/>
        </w:numPr>
        <w:tabs>
          <w:tab w:val="left" w:pos="8820"/>
        </w:tabs>
        <w:snapToGrid w:val="0"/>
        <w:spacing w:line="400" w:lineRule="exact"/>
        <w:ind w:firstLine="420" w:firstLineChars="200"/>
        <w:rPr>
          <w:rFonts w:hint="default"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本项目设计由中标单位设计，若中标单位无设计资质，可委托具有设计资质的设计单位负责，费用由中标单位自行支付，图纸需要经过业主及相关主管部门审核通过，否则，业主有权不支付费用并终止合同。</w:t>
      </w:r>
    </w:p>
    <w:p w14:paraId="56706D17">
      <w:pPr>
        <w:numPr>
          <w:ilvl w:val="0"/>
          <w:numId w:val="0"/>
        </w:numPr>
        <w:tabs>
          <w:tab w:val="left" w:pos="8820"/>
        </w:tabs>
        <w:snapToGrid w:val="0"/>
        <w:spacing w:line="400" w:lineRule="exact"/>
        <w:ind w:firstLine="420" w:firstLineChars="200"/>
        <w:rPr>
          <w:rFonts w:hint="eastAsia"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4</w:t>
      </w:r>
      <w:r>
        <w:rPr>
          <w:rFonts w:hint="eastAsia" w:ascii="宋体" w:hAnsi="Times New Roman" w:eastAsia="宋体" w:cs="Times New Roman"/>
          <w:color w:val="auto"/>
          <w:szCs w:val="21"/>
          <w:highlight w:val="none"/>
          <w:lang w:val="en-US" w:eastAsia="zh-CN"/>
        </w:rPr>
        <w:t>、本项目为“交钥匙”工程，到变压器送电，合同总价包含所有涉及到本项目的费用，投标人自行考虑报价，结算时总价不予调整。</w:t>
      </w:r>
    </w:p>
    <w:p w14:paraId="142A2ADB">
      <w:pPr>
        <w:rPr>
          <w:rFonts w:hint="eastAsia" w:ascii="Times New Roman" w:hAnsi="Times New Roman" w:eastAsia="宋体"/>
          <w:b/>
          <w:bCs/>
          <w:color w:val="auto"/>
          <w:kern w:val="44"/>
          <w:sz w:val="32"/>
          <w:szCs w:val="32"/>
          <w:highlight w:val="none"/>
          <w:lang w:val="en-US" w:eastAsia="zh-CN" w:bidi="ar-SA"/>
        </w:rPr>
      </w:pPr>
      <w:bookmarkStart w:id="84" w:name="_Toc20868"/>
      <w:bookmarkStart w:id="85" w:name="_Toc12315"/>
      <w:bookmarkStart w:id="86" w:name="_Toc22935"/>
      <w:bookmarkStart w:id="87" w:name="_Toc31238"/>
    </w:p>
    <w:p w14:paraId="7A4CFCEE">
      <w:pPr>
        <w:pStyle w:val="3"/>
        <w:numPr>
          <w:ilvl w:val="0"/>
          <w:numId w:val="0"/>
        </w:numPr>
        <w:spacing w:before="0" w:after="0"/>
        <w:jc w:val="center"/>
        <w:rPr>
          <w:rFonts w:hint="eastAsia"/>
          <w:color w:val="auto"/>
          <w:sz w:val="32"/>
          <w:szCs w:val="32"/>
          <w:highlight w:val="none"/>
        </w:rPr>
      </w:pPr>
      <w:r>
        <w:rPr>
          <w:rFonts w:hint="eastAsia" w:ascii="Times New Roman" w:hAnsi="Times New Roman" w:eastAsia="宋体"/>
          <w:b/>
          <w:bCs/>
          <w:color w:val="auto"/>
          <w:kern w:val="44"/>
          <w:sz w:val="32"/>
          <w:szCs w:val="32"/>
          <w:highlight w:val="none"/>
          <w:lang w:val="en-US" w:eastAsia="zh-CN" w:bidi="ar-SA"/>
        </w:rPr>
        <w:t>第</w:t>
      </w:r>
      <w:r>
        <w:rPr>
          <w:rFonts w:hint="eastAsia"/>
          <w:b/>
          <w:bCs/>
          <w:color w:val="auto"/>
          <w:kern w:val="44"/>
          <w:sz w:val="32"/>
          <w:szCs w:val="32"/>
          <w:highlight w:val="none"/>
          <w:lang w:val="en-US" w:eastAsia="zh-CN" w:bidi="ar-SA"/>
        </w:rPr>
        <w:t>五</w:t>
      </w:r>
      <w:r>
        <w:rPr>
          <w:rFonts w:hint="eastAsia" w:ascii="Times New Roman" w:hAnsi="Times New Roman" w:eastAsia="宋体"/>
          <w:b/>
          <w:bCs/>
          <w:color w:val="auto"/>
          <w:kern w:val="44"/>
          <w:sz w:val="32"/>
          <w:szCs w:val="32"/>
          <w:highlight w:val="none"/>
          <w:lang w:val="en-US" w:eastAsia="zh-CN" w:bidi="ar-SA"/>
        </w:rPr>
        <w:t>章</w:t>
      </w:r>
      <w:r>
        <w:rPr>
          <w:rFonts w:hint="eastAsia"/>
          <w:b/>
          <w:bCs/>
          <w:color w:val="auto"/>
          <w:kern w:val="44"/>
          <w:sz w:val="32"/>
          <w:szCs w:val="32"/>
          <w:highlight w:val="none"/>
          <w:lang w:val="en-US" w:eastAsia="zh-CN" w:bidi="ar-SA"/>
        </w:rPr>
        <w:t xml:space="preserve">   </w:t>
      </w:r>
      <w:r>
        <w:rPr>
          <w:rFonts w:hint="eastAsia"/>
          <w:color w:val="auto"/>
          <w:sz w:val="32"/>
          <w:szCs w:val="32"/>
          <w:highlight w:val="none"/>
        </w:rPr>
        <w:t>合同条款及格式</w:t>
      </w:r>
      <w:bookmarkEnd w:id="84"/>
      <w:bookmarkEnd w:id="85"/>
      <w:bookmarkEnd w:id="86"/>
    </w:p>
    <w:p w14:paraId="615A17D8">
      <w:pPr>
        <w:widowControl/>
        <w:numPr>
          <w:ilvl w:val="0"/>
          <w:numId w:val="2"/>
        </w:numPr>
        <w:spacing w:before="156" w:beforeLines="50" w:after="156" w:afterLines="50" w:line="44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8" w:name="_Toc30183"/>
      <w:bookmarkStart w:id="89" w:name="_Toc24874"/>
      <w:r>
        <w:rPr>
          <w:rFonts w:hint="eastAsia" w:ascii="宋体" w:hAnsi="宋体" w:cs="宋体"/>
          <w:b/>
          <w:color w:val="auto"/>
          <w:sz w:val="28"/>
          <w:szCs w:val="28"/>
          <w:highlight w:val="none"/>
        </w:rPr>
        <w:t>合同协议书（格式）</w:t>
      </w:r>
      <w:bookmarkEnd w:id="88"/>
      <w:bookmarkEnd w:id="89"/>
    </w:p>
    <w:p w14:paraId="4B591551">
      <w:pPr>
        <w:spacing w:line="440" w:lineRule="exact"/>
        <w:ind w:firstLine="2932" w:firstLineChars="1043"/>
        <w:rPr>
          <w:rFonts w:hint="eastAsia" w:ascii="宋体" w:hAnsi="宋体" w:eastAsia="宋体" w:cs="宋体"/>
          <w:color w:val="auto"/>
          <w:sz w:val="24"/>
          <w:highlight w:val="none"/>
          <w:lang w:eastAsia="zh-CN"/>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21964A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bookmarkStart w:id="90" w:name="_Toc152045610"/>
      <w:bookmarkStart w:id="91" w:name="_Toc247085768"/>
      <w:bookmarkStart w:id="92" w:name="_Toc179632628"/>
      <w:bookmarkStart w:id="93" w:name="_Toc246996996"/>
      <w:bookmarkStart w:id="94" w:name="_Toc296602498"/>
      <w:bookmarkStart w:id="95" w:name="_Toc469495742"/>
      <w:bookmarkStart w:id="96" w:name="_Toc246996253"/>
      <w:bookmarkStart w:id="97" w:name="_Toc152042388"/>
      <w:bookmarkStart w:id="98" w:name="_Toc144974578"/>
      <w:r>
        <w:rPr>
          <w:rFonts w:hint="eastAsia" w:ascii="宋体" w:hAnsi="宋体" w:cs="宋体"/>
          <w:color w:val="auto"/>
          <w:szCs w:val="21"/>
          <w:highlight w:val="none"/>
        </w:rPr>
        <w:t>买    方：                                   卖    方：</w:t>
      </w:r>
    </w:p>
    <w:p w14:paraId="1C7B1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57E157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住    所：                                   住    所：                       </w:t>
      </w:r>
    </w:p>
    <w:p w14:paraId="381193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w:t>
      </w:r>
      <w:r>
        <w:rPr>
          <w:rFonts w:hint="eastAsia" w:ascii="宋体" w:hAnsi="宋体" w:cs="宋体"/>
          <w:color w:val="auto"/>
          <w:szCs w:val="21"/>
          <w:highlight w:val="none"/>
          <w:lang w:val="en-US" w:eastAsia="zh-CN"/>
        </w:rPr>
        <w:t>民法典》</w:t>
      </w:r>
      <w:r>
        <w:rPr>
          <w:rFonts w:hint="eastAsia" w:ascii="宋体" w:hAnsi="宋体" w:cs="宋体"/>
          <w:color w:val="auto"/>
          <w:szCs w:val="21"/>
          <w:highlight w:val="none"/>
        </w:rPr>
        <w:t>的规定，买卖双方同意按照下述的条款和条件，签署本合同。</w:t>
      </w:r>
    </w:p>
    <w:p w14:paraId="462D4B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cs="宋体"/>
          <w:color w:val="auto"/>
          <w:szCs w:val="21"/>
          <w:highlight w:val="none"/>
        </w:rPr>
      </w:pPr>
      <w:bookmarkStart w:id="99" w:name="_Toc10447"/>
      <w:bookmarkStart w:id="100" w:name="_Toc22897"/>
      <w:bookmarkStart w:id="101" w:name="_Toc15780"/>
      <w:r>
        <w:rPr>
          <w:rFonts w:hint="eastAsia" w:ascii="宋体" w:hAnsi="宋体" w:cs="宋体"/>
          <w:color w:val="auto"/>
          <w:szCs w:val="21"/>
          <w:highlight w:val="none"/>
        </w:rPr>
        <w:t>1、本合同文件</w:t>
      </w:r>
      <w:bookmarkEnd w:id="99"/>
      <w:bookmarkEnd w:id="100"/>
      <w:bookmarkEnd w:id="101"/>
    </w:p>
    <w:p w14:paraId="00F3C9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36D121E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招标文件；</w:t>
      </w:r>
    </w:p>
    <w:p w14:paraId="1FD8612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eastAsia="zh-CN"/>
        </w:rPr>
        <w:t>；</w:t>
      </w:r>
    </w:p>
    <w:p w14:paraId="5BAF1BA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中标通知书</w:t>
      </w:r>
      <w:r>
        <w:rPr>
          <w:rFonts w:hint="eastAsia" w:ascii="宋体" w:hAnsi="宋体" w:cs="宋体"/>
          <w:color w:val="auto"/>
          <w:szCs w:val="21"/>
          <w:highlight w:val="none"/>
          <w:lang w:eastAsia="zh-CN"/>
        </w:rPr>
        <w:t>；</w:t>
      </w:r>
    </w:p>
    <w:p w14:paraId="76CB60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1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（4）经双方确认进入合同的其它文件、补充条款或说明</w:t>
      </w:r>
      <w:r>
        <w:rPr>
          <w:rFonts w:hint="eastAsia" w:ascii="宋体" w:hAnsi="宋体" w:cs="宋体"/>
          <w:color w:val="auto"/>
          <w:szCs w:val="21"/>
          <w:highlight w:val="none"/>
          <w:lang w:eastAsia="zh-CN"/>
        </w:rPr>
        <w:t>。</w:t>
      </w:r>
    </w:p>
    <w:p w14:paraId="7380FB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2、采购标的、数量、质量要求</w:t>
      </w:r>
    </w:p>
    <w:p w14:paraId="45D400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3、合同总价</w:t>
      </w:r>
    </w:p>
    <w:p w14:paraId="35FB88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r>
        <w:rPr>
          <w:rFonts w:hint="eastAsia" w:ascii="宋体" w:hAnsi="宋体" w:cs="宋体"/>
          <w:color w:val="auto"/>
          <w:szCs w:val="21"/>
          <w:highlight w:val="none"/>
          <w:lang w:val="en-US" w:eastAsia="zh-CN"/>
        </w:rPr>
        <w:t>本项目为固定总价合同，总价不调整。</w:t>
      </w:r>
    </w:p>
    <w:p w14:paraId="06B27817">
      <w:pPr>
        <w:snapToGrid w:val="0"/>
        <w:spacing w:line="440" w:lineRule="exact"/>
        <w:ind w:firstLine="420" w:firstLineChars="200"/>
        <w:rPr>
          <w:rFonts w:hint="default" w:ascii="宋体" w:hAnsi="宋体" w:cs="宋体"/>
          <w:b/>
          <w:bCs/>
          <w:color w:val="auto"/>
          <w:szCs w:val="21"/>
          <w:highlight w:val="none"/>
          <w:lang w:val="en-US" w:eastAsia="zh-CN"/>
        </w:rPr>
      </w:pPr>
      <w:r>
        <w:rPr>
          <w:rFonts w:hint="eastAsia" w:ascii="宋体" w:hAnsi="宋体" w:cs="宋体"/>
          <w:color w:val="auto"/>
          <w:szCs w:val="21"/>
          <w:highlight w:val="none"/>
        </w:rPr>
        <w:t>付款方式</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w:t>
      </w:r>
    </w:p>
    <w:p w14:paraId="72F2AF8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、合同供货期限：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3BEF5009">
      <w:pPr>
        <w:keepNext w:val="0"/>
        <w:keepLines w:val="0"/>
        <w:pageBreakBefore w:val="0"/>
        <w:widowControl w:val="0"/>
        <w:kinsoku/>
        <w:wordWrap/>
        <w:overflowPunct/>
        <w:topLinePunct w:val="0"/>
        <w:autoSpaceDE/>
        <w:autoSpaceDN/>
        <w:bidi w:val="0"/>
        <w:adjustRightInd/>
        <w:snapToGrid/>
        <w:spacing w:line="440" w:lineRule="exact"/>
        <w:ind w:left="416" w:leftChars="198"/>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、供货地点：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指定地点。</w:t>
      </w:r>
    </w:p>
    <w:p w14:paraId="1AA47148">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、验收要求及违约责任</w:t>
      </w:r>
    </w:p>
    <w:p w14:paraId="35A0C8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cs="宋体"/>
          <w:color w:val="auto"/>
          <w:szCs w:val="21"/>
          <w:highlight w:val="none"/>
        </w:rPr>
        <w:t>违约责任及解决争议方法</w:t>
      </w:r>
    </w:p>
    <w:p w14:paraId="447472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、合同的生效</w:t>
      </w:r>
    </w:p>
    <w:p w14:paraId="1DA0D9D3">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合同经双方授权代表签署，买卖双方加盖印章之后生效。</w:t>
      </w:r>
    </w:p>
    <w:p w14:paraId="4EDE4459">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本合同一式     份，双方各执     份。</w:t>
      </w:r>
    </w:p>
    <w:p w14:paraId="19E24699">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买  方：                          卖  方：</w:t>
      </w:r>
    </w:p>
    <w:p w14:paraId="6D8CBD0C">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名  称：（盖章）                   名  称：（盖章）</w:t>
      </w:r>
    </w:p>
    <w:p w14:paraId="47CF00C3">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法定代表人（或委托代理人）：       法定代表人（或委托代理人）：</w:t>
      </w:r>
    </w:p>
    <w:p w14:paraId="185CB280">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（签字）                        （签字）</w:t>
      </w:r>
    </w:p>
    <w:p w14:paraId="1F765E2A">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地    址：                        地    址：</w:t>
      </w:r>
    </w:p>
    <w:p w14:paraId="5B8BE0FB">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邮政编码：                        邮政编码：</w:t>
      </w:r>
    </w:p>
    <w:p w14:paraId="134BE785">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电    话：                        电    话：</w:t>
      </w:r>
    </w:p>
    <w:p w14:paraId="254BB4C3">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开户银行：                        开户银行：</w:t>
      </w:r>
    </w:p>
    <w:p w14:paraId="5EBCB62E">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b/>
          <w:color w:val="auto"/>
          <w:sz w:val="24"/>
          <w:szCs w:val="24"/>
          <w:highlight w:val="none"/>
        </w:rPr>
      </w:pPr>
      <w:r>
        <w:rPr>
          <w:rFonts w:hint="eastAsia" w:ascii="宋体" w:hAnsi="宋体" w:cs="宋体"/>
          <w:color w:val="auto"/>
          <w:kern w:val="0"/>
          <w:sz w:val="24"/>
          <w:szCs w:val="24"/>
          <w:highlight w:val="none"/>
          <w:u w:val="none" w:color="000000"/>
        </w:rPr>
        <w:t>帐    号：                        帐    号：</w:t>
      </w:r>
    </w:p>
    <w:p w14:paraId="63F0462F">
      <w:pPr>
        <w:keepNext w:val="0"/>
        <w:keepLines w:val="0"/>
        <w:pageBreakBefore w:val="0"/>
        <w:widowControl w:val="0"/>
        <w:kinsoku/>
        <w:wordWrap/>
        <w:overflowPunct/>
        <w:topLinePunct w:val="0"/>
        <w:autoSpaceDE/>
        <w:autoSpaceDN/>
        <w:bidi w:val="0"/>
        <w:adjustRightInd/>
        <w:snapToGrid/>
        <w:spacing w:before="162" w:beforeLines="50" w:after="162" w:afterLines="50" w:line="440" w:lineRule="exact"/>
        <w:jc w:val="center"/>
        <w:textAlignment w:val="auto"/>
        <w:outlineLvl w:val="1"/>
        <w:rPr>
          <w:rFonts w:hint="eastAsia" w:ascii="宋体" w:hAnsi="宋体" w:cs="宋体"/>
          <w:b/>
          <w:color w:val="auto"/>
          <w:sz w:val="30"/>
          <w:szCs w:val="30"/>
          <w:highlight w:val="none"/>
        </w:rPr>
      </w:pPr>
      <w:bookmarkStart w:id="102" w:name="_Toc25817"/>
      <w:bookmarkStart w:id="103" w:name="_Toc6483"/>
      <w:r>
        <w:rPr>
          <w:rFonts w:hint="eastAsia" w:ascii="宋体" w:hAnsi="宋体" w:cs="宋体"/>
          <w:b/>
          <w:color w:val="auto"/>
          <w:sz w:val="30"/>
          <w:szCs w:val="30"/>
          <w:highlight w:val="none"/>
        </w:rPr>
        <w:t>二  合同条款</w:t>
      </w:r>
      <w:bookmarkEnd w:id="90"/>
      <w:bookmarkEnd w:id="91"/>
      <w:bookmarkEnd w:id="92"/>
      <w:bookmarkEnd w:id="93"/>
      <w:bookmarkEnd w:id="94"/>
      <w:bookmarkEnd w:id="95"/>
      <w:bookmarkEnd w:id="96"/>
      <w:bookmarkEnd w:id="97"/>
      <w:bookmarkEnd w:id="98"/>
      <w:bookmarkEnd w:id="102"/>
      <w:bookmarkEnd w:id="103"/>
    </w:p>
    <w:p w14:paraId="18E5F417">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  合同文件</w:t>
      </w:r>
    </w:p>
    <w:p w14:paraId="4E574F0F">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04" w:name="_Toc19838"/>
      <w:bookmarkStart w:id="105" w:name="_Toc26120"/>
      <w:bookmarkStart w:id="106" w:name="_Toc4800"/>
      <w:r>
        <w:rPr>
          <w:rFonts w:hint="eastAsia" w:ascii="宋体" w:hAnsi="宋体" w:eastAsia="宋体" w:cs="宋体"/>
          <w:color w:val="auto"/>
          <w:szCs w:val="21"/>
          <w:highlight w:val="none"/>
        </w:rPr>
        <w:t>1.合同文件适用法律</w:t>
      </w:r>
      <w:bookmarkEnd w:id="104"/>
      <w:bookmarkEnd w:id="105"/>
      <w:bookmarkEnd w:id="106"/>
    </w:p>
    <w:p w14:paraId="142EA63D">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适用于合同文件的法律是中华人民共和国现行法律、法规及</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所在地的地方性法规。</w:t>
      </w:r>
    </w:p>
    <w:p w14:paraId="718659DF">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07" w:name="_Toc19941"/>
      <w:bookmarkStart w:id="108" w:name="_Toc31798"/>
      <w:bookmarkStart w:id="109" w:name="_Toc20860"/>
      <w:r>
        <w:rPr>
          <w:rFonts w:hint="eastAsia" w:ascii="宋体" w:hAnsi="宋体" w:eastAsia="宋体" w:cs="宋体"/>
          <w:color w:val="auto"/>
          <w:szCs w:val="21"/>
          <w:highlight w:val="none"/>
        </w:rPr>
        <w:t>2.合同文件组成和解释顺序</w:t>
      </w:r>
      <w:bookmarkEnd w:id="107"/>
      <w:bookmarkEnd w:id="108"/>
      <w:bookmarkEnd w:id="109"/>
    </w:p>
    <w:p w14:paraId="71246EAC">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合同文件的组成和解释顺序如下：</w:t>
      </w:r>
    </w:p>
    <w:p w14:paraId="718BE071">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&lt;1&gt;合同的主要条款；</w:t>
      </w:r>
    </w:p>
    <w:p w14:paraId="59325101">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&lt;2&gt;合同的一般性条款；</w:t>
      </w:r>
    </w:p>
    <w:p w14:paraId="67F5ABAD">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&lt;3&gt;洽商、变更等明确双方权利义务的纪要、协议；</w:t>
      </w:r>
    </w:p>
    <w:p w14:paraId="49935C69">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&lt;4&gt;中标通知书、投标文件和招标文件；</w:t>
      </w:r>
    </w:p>
    <w:p w14:paraId="72BAB004">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&lt;5&gt;有关图纸、标准、规范和其它有关技术资料、技术要求。</w:t>
      </w:r>
    </w:p>
    <w:p w14:paraId="47A5FAC9">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&lt;6&gt;合同的主要条款的效力优于合同的一般性条款的效力。</w:t>
      </w:r>
    </w:p>
    <w:p w14:paraId="6014EAB7">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0" w:name="_Toc25324"/>
      <w:bookmarkStart w:id="111" w:name="_Toc14665"/>
      <w:bookmarkStart w:id="112" w:name="_Toc7488"/>
      <w:r>
        <w:rPr>
          <w:rFonts w:hint="eastAsia" w:ascii="宋体" w:hAnsi="宋体" w:eastAsia="宋体" w:cs="宋体"/>
          <w:color w:val="auto"/>
          <w:szCs w:val="21"/>
          <w:highlight w:val="none"/>
        </w:rPr>
        <w:t>3.合同文件使用文字</w:t>
      </w:r>
      <w:bookmarkEnd w:id="110"/>
      <w:bookmarkEnd w:id="111"/>
      <w:bookmarkEnd w:id="112"/>
    </w:p>
    <w:p w14:paraId="61FC3436">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合同文件使用中文书写、解释和说明。</w:t>
      </w:r>
    </w:p>
    <w:p w14:paraId="7DAD6BC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 xml:space="preserve">合同文件使用技术性条款约定的为国家标准和规范；国家没有相应标准、规范时，可使用行业标准、规范。非标货物应按约定的技术性条款的标准和规范。 </w:t>
      </w:r>
    </w:p>
    <w:p w14:paraId="7E2CAE0E">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  标的物的一般条款</w:t>
      </w:r>
    </w:p>
    <w:p w14:paraId="30A29BBB">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3" w:name="_Toc23759"/>
      <w:bookmarkStart w:id="114" w:name="_Toc25863"/>
      <w:bookmarkStart w:id="115" w:name="_Toc6561"/>
      <w:r>
        <w:rPr>
          <w:rFonts w:hint="eastAsia" w:ascii="宋体" w:hAnsi="宋体" w:eastAsia="宋体" w:cs="宋体"/>
          <w:color w:val="auto"/>
          <w:szCs w:val="21"/>
          <w:highlight w:val="none"/>
        </w:rPr>
        <w:t>4.完整物权</w:t>
      </w:r>
      <w:bookmarkEnd w:id="113"/>
      <w:bookmarkEnd w:id="114"/>
      <w:bookmarkEnd w:id="115"/>
    </w:p>
    <w:p w14:paraId="73A82CFF">
      <w:pPr>
        <w:keepNext w:val="0"/>
        <w:keepLines w:val="0"/>
        <w:pageBreakBefore w:val="0"/>
        <w:widowControl w:val="0"/>
        <w:tabs>
          <w:tab w:val="left" w:pos="660"/>
        </w:tabs>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对于出卖的标的物，卖方应当拥有完整物权，并且卖方负有保证第三人不得向买方主张任何权利（包括知识产权）的义务。</w:t>
      </w:r>
    </w:p>
    <w:p w14:paraId="3A292D1D">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6" w:name="_Toc19484"/>
      <w:bookmarkStart w:id="117" w:name="_Toc32429"/>
      <w:bookmarkStart w:id="118" w:name="_Toc30888"/>
      <w:r>
        <w:rPr>
          <w:rFonts w:hint="eastAsia" w:ascii="宋体" w:hAnsi="宋体" w:eastAsia="宋体" w:cs="宋体"/>
          <w:color w:val="auto"/>
          <w:szCs w:val="21"/>
          <w:highlight w:val="none"/>
        </w:rPr>
        <w:t>5.质量保证</w:t>
      </w:r>
      <w:bookmarkEnd w:id="116"/>
      <w:bookmarkEnd w:id="117"/>
      <w:bookmarkEnd w:id="118"/>
    </w:p>
    <w:p w14:paraId="26B4A06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511A8E06">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54E22576">
      <w:pPr>
        <w:pStyle w:val="2"/>
        <w:keepNext w:val="0"/>
        <w:keepLines w:val="0"/>
        <w:pageBreakBefore w:val="0"/>
        <w:widowControl w:val="0"/>
        <w:tabs>
          <w:tab w:val="left" w:pos="900"/>
        </w:tabs>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除合同主要条款规定外，合同条款中标的物的质量保证期均自标的物通过最终验收之日起计算，且质量保证期按不低于国家标准和卖方承诺的高于国家标准的质保期（卖方有特殊要求的除外）。</w:t>
      </w:r>
    </w:p>
    <w:p w14:paraId="45F4694B">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9" w:name="_Toc23982"/>
      <w:bookmarkStart w:id="120" w:name="_Toc31694"/>
      <w:bookmarkStart w:id="121" w:name="_Toc17808"/>
      <w:r>
        <w:rPr>
          <w:rFonts w:hint="eastAsia" w:ascii="宋体" w:hAnsi="宋体" w:eastAsia="宋体" w:cs="宋体"/>
          <w:color w:val="auto"/>
          <w:szCs w:val="21"/>
          <w:highlight w:val="none"/>
        </w:rPr>
        <w:t>6.包装</w:t>
      </w:r>
      <w:bookmarkEnd w:id="119"/>
      <w:bookmarkEnd w:id="120"/>
      <w:bookmarkEnd w:id="121"/>
    </w:p>
    <w:p w14:paraId="7872596B">
      <w:pPr>
        <w:pStyle w:val="2"/>
        <w:keepNext w:val="0"/>
        <w:keepLines w:val="0"/>
        <w:pageBreakBefore w:val="0"/>
        <w:widowControl w:val="0"/>
        <w:tabs>
          <w:tab w:val="left" w:pos="900"/>
        </w:tabs>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31AE328">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22" w:name="_Toc29963"/>
      <w:bookmarkStart w:id="123" w:name="_Toc1679"/>
      <w:bookmarkStart w:id="124" w:name="_Toc7508"/>
      <w:r>
        <w:rPr>
          <w:rFonts w:hint="eastAsia" w:ascii="宋体" w:hAnsi="宋体" w:eastAsia="宋体" w:cs="宋体"/>
          <w:color w:val="auto"/>
          <w:szCs w:val="21"/>
          <w:highlight w:val="none"/>
        </w:rPr>
        <w:t>7.伴随服务</w:t>
      </w:r>
      <w:bookmarkEnd w:id="122"/>
      <w:bookmarkEnd w:id="123"/>
      <w:bookmarkEnd w:id="124"/>
    </w:p>
    <w:p w14:paraId="37D36AF1">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卖方除应履行按期按量交付合格标的物的义务之外，还应提供下列服务：</w:t>
      </w:r>
    </w:p>
    <w:p w14:paraId="51B6F20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&lt;1&gt;标的物的现场安装或指导安装、启动、调试、监督（如果必须安装、调试的话）；</w:t>
      </w:r>
    </w:p>
    <w:p w14:paraId="7D21D7C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&lt;2&gt;提供标的物组装和一般维修所必须的工具；</w:t>
      </w:r>
    </w:p>
    <w:p w14:paraId="565E13C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4537D002">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&lt;4&gt;对买方技术人员的技术指导或培训。</w:t>
      </w:r>
    </w:p>
    <w:p w14:paraId="53B694F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除合同另有规定之外，伴随服务的费用均已含在合同价款中，买方不再另行进行支付。</w:t>
      </w:r>
    </w:p>
    <w:p w14:paraId="45DCCBF7">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  标的物的交付、检验和验收</w:t>
      </w:r>
    </w:p>
    <w:p w14:paraId="6ABBC6BC">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25" w:name="_Toc19270"/>
      <w:bookmarkStart w:id="126" w:name="_Toc18589"/>
      <w:bookmarkStart w:id="127" w:name="_Toc23390"/>
      <w:r>
        <w:rPr>
          <w:rFonts w:hint="eastAsia" w:ascii="宋体" w:hAnsi="宋体" w:eastAsia="宋体" w:cs="宋体"/>
          <w:color w:val="auto"/>
          <w:szCs w:val="21"/>
          <w:highlight w:val="none"/>
        </w:rPr>
        <w:t>8.标的物的交付</w:t>
      </w:r>
      <w:bookmarkEnd w:id="125"/>
      <w:bookmarkEnd w:id="126"/>
      <w:bookmarkEnd w:id="127"/>
    </w:p>
    <w:p w14:paraId="44EE59A4">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标的物的所有权自标的物交付时转移。</w:t>
      </w:r>
    </w:p>
    <w:p w14:paraId="1B9659E2">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卖方应当按照约定的期限和约定的地点交付符合招标文件要求的标的物。</w:t>
      </w:r>
    </w:p>
    <w:p w14:paraId="7B959FD4">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卖方应当按照约定或者交易习惯向</w:t>
      </w:r>
      <w:r>
        <w:rPr>
          <w:rFonts w:hint="eastAsia" w:ascii="宋体" w:hAnsi="宋体" w:eastAsia="宋体" w:cs="宋体"/>
          <w:color w:val="auto"/>
          <w:sz w:val="21"/>
          <w:szCs w:val="21"/>
          <w:highlight w:val="none"/>
          <w:u w:val="none" w:color="000000"/>
          <w:lang w:eastAsia="zh-CN"/>
        </w:rPr>
        <w:t>招标人</w:t>
      </w:r>
      <w:r>
        <w:rPr>
          <w:rFonts w:hint="eastAsia" w:ascii="宋体" w:hAnsi="宋体" w:eastAsia="宋体" w:cs="宋体"/>
          <w:color w:val="auto"/>
          <w:sz w:val="21"/>
          <w:szCs w:val="21"/>
          <w:highlight w:val="none"/>
          <w:u w:val="none" w:color="000000"/>
        </w:rPr>
        <w:t>交付提取标的物单证以外的有关单证和资料。</w:t>
      </w:r>
    </w:p>
    <w:p w14:paraId="5D1BB2CA">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28" w:name="_Toc29221"/>
      <w:bookmarkStart w:id="129" w:name="_Toc10430"/>
      <w:bookmarkStart w:id="130" w:name="_Toc1873"/>
      <w:r>
        <w:rPr>
          <w:rFonts w:hint="eastAsia" w:ascii="宋体" w:hAnsi="宋体" w:eastAsia="宋体" w:cs="宋体"/>
          <w:color w:val="auto"/>
          <w:szCs w:val="21"/>
          <w:highlight w:val="none"/>
        </w:rPr>
        <w:t>9.检验和验收</w:t>
      </w:r>
      <w:bookmarkEnd w:id="128"/>
      <w:bookmarkEnd w:id="129"/>
      <w:bookmarkEnd w:id="130"/>
    </w:p>
    <w:p w14:paraId="21C6403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在交货时，卖方应配合买方对标的物的质量、规格、性能、数量等进行详细而全面的检验，并出具一份合格检验证明，合格检验证明作为验收的依据，但不能作为有关标的物质量、规格、数量或性能的最终检验结果。</w:t>
      </w:r>
    </w:p>
    <w:p w14:paraId="0C4A1B3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买方根据合同规定的内容和验收标准进行验收</w:t>
      </w:r>
      <w:r>
        <w:rPr>
          <w:rFonts w:hint="eastAsia" w:ascii="宋体" w:hAnsi="宋体" w:eastAsia="宋体" w:cs="宋体"/>
          <w:b/>
          <w:bCs/>
          <w:color w:val="auto"/>
          <w:sz w:val="21"/>
          <w:szCs w:val="21"/>
          <w:highlight w:val="none"/>
          <w:u w:val="none" w:color="000000"/>
          <w:lang w:val="en-US" w:eastAsia="zh-CN"/>
        </w:rPr>
        <w:t>，</w:t>
      </w:r>
      <w:r>
        <w:rPr>
          <w:rFonts w:hint="eastAsia" w:ascii="宋体" w:hAnsi="宋体" w:eastAsia="宋体" w:cs="宋体"/>
          <w:color w:val="auto"/>
          <w:sz w:val="21"/>
          <w:szCs w:val="21"/>
          <w:highlight w:val="none"/>
          <w:u w:val="none" w:color="000000"/>
        </w:rPr>
        <w:t>经检验无误后出具验收合格证明，该证明作为最终付款所需文件的组成部分。</w:t>
      </w:r>
    </w:p>
    <w:p w14:paraId="058FC5CE">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验收期限自标的物交付之日起三十天内。特殊情况需延长的，双方应在合同条款中约定。</w:t>
      </w:r>
    </w:p>
    <w:p w14:paraId="3BB0AB42">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 对标的物提出异议的时间和办法</w:t>
      </w:r>
    </w:p>
    <w:p w14:paraId="4F9CBC53">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31" w:name="_Toc8853"/>
      <w:bookmarkStart w:id="132" w:name="_Toc7147"/>
      <w:bookmarkStart w:id="133" w:name="_Toc25505"/>
      <w:r>
        <w:rPr>
          <w:rFonts w:hint="eastAsia" w:ascii="宋体" w:hAnsi="宋体" w:eastAsia="宋体" w:cs="宋体"/>
          <w:color w:val="auto"/>
          <w:szCs w:val="21"/>
          <w:highlight w:val="none"/>
        </w:rPr>
        <w:t>10.对标的物提出异议的时间和办法</w:t>
      </w:r>
      <w:bookmarkEnd w:id="131"/>
      <w:bookmarkEnd w:id="132"/>
      <w:bookmarkEnd w:id="133"/>
      <w:r>
        <w:rPr>
          <w:rFonts w:hint="eastAsia" w:ascii="宋体" w:hAnsi="宋体" w:eastAsia="宋体" w:cs="宋体"/>
          <w:color w:val="auto"/>
          <w:szCs w:val="21"/>
          <w:highlight w:val="none"/>
        </w:rPr>
        <w:t xml:space="preserve"> </w:t>
      </w:r>
    </w:p>
    <w:p w14:paraId="1F486A9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买方在验收过程中，应当于双方约定的检验期间内将标的物的数量或质量不符合约定的情形及处理方式以书面形式通知卖方。</w:t>
      </w:r>
    </w:p>
    <w:p w14:paraId="5D12870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如买方在验收期满后既不出具验收合格证明又未提出书面异议的视为卖方所交标的物符合合同规定。</w:t>
      </w:r>
    </w:p>
    <w:p w14:paraId="705D206B">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卖方应在收到买方书面异议后七天内负责处理问题，否则将视为默认买方提出的异议和处理意见。</w:t>
      </w:r>
    </w:p>
    <w:p w14:paraId="1AD040A6">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 合同价款和支付</w:t>
      </w:r>
    </w:p>
    <w:p w14:paraId="2F023111">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34" w:name="_Toc30366"/>
      <w:bookmarkStart w:id="135" w:name="_Toc13598"/>
      <w:bookmarkStart w:id="136" w:name="_Toc15512"/>
      <w:r>
        <w:rPr>
          <w:rFonts w:hint="eastAsia" w:ascii="宋体" w:hAnsi="宋体" w:eastAsia="宋体" w:cs="宋体"/>
          <w:color w:val="auto"/>
          <w:szCs w:val="21"/>
          <w:highlight w:val="none"/>
        </w:rPr>
        <w:t>11.合同价款和支付</w:t>
      </w:r>
      <w:bookmarkEnd w:id="134"/>
      <w:bookmarkEnd w:id="135"/>
      <w:bookmarkEnd w:id="136"/>
    </w:p>
    <w:p w14:paraId="6168408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本合同的结算货币为人民币，单位元。</w:t>
      </w:r>
    </w:p>
    <w:p w14:paraId="1FC64CC3">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卖方应按照双方签订的合同规定交货并在合同主要条款规定的期限内持下列单据结算货款：</w:t>
      </w:r>
    </w:p>
    <w:p w14:paraId="272E1474">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&lt;1&gt;合格的销售发票；</w:t>
      </w:r>
    </w:p>
    <w:p w14:paraId="73E24D7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&lt;2&gt;买方盖章签收后的送货回单和验收合格证明。</w:t>
      </w:r>
    </w:p>
    <w:p w14:paraId="646DDBB5">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买方应按合同主要条款规定的期限和方式付款。</w:t>
      </w:r>
    </w:p>
    <w:p w14:paraId="7BC483D8">
      <w:pPr>
        <w:pStyle w:val="2"/>
        <w:keepNext w:val="0"/>
        <w:keepLines w:val="0"/>
        <w:pageBreakBefore w:val="0"/>
        <w:widowControl w:val="0"/>
        <w:tabs>
          <w:tab w:val="left" w:pos="540"/>
        </w:tabs>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4</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根据现行税法对买方征收的与本合同有关的一切税费均由买方承担；根据现行税法对卖方征收的与本合同有关的一切税费均由卖方承担。</w:t>
      </w:r>
    </w:p>
    <w:p w14:paraId="55CB96DB">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 违约责任</w:t>
      </w:r>
    </w:p>
    <w:p w14:paraId="6D874960">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37" w:name="_Toc5449"/>
      <w:bookmarkStart w:id="138" w:name="_Toc11430"/>
      <w:bookmarkStart w:id="139" w:name="_Toc4339"/>
      <w:r>
        <w:rPr>
          <w:rFonts w:hint="eastAsia" w:ascii="宋体" w:hAnsi="宋体" w:eastAsia="宋体" w:cs="宋体"/>
          <w:color w:val="auto"/>
          <w:szCs w:val="21"/>
          <w:highlight w:val="none"/>
        </w:rPr>
        <w:t>12.违约责任</w:t>
      </w:r>
      <w:bookmarkEnd w:id="137"/>
      <w:bookmarkEnd w:id="138"/>
      <w:bookmarkEnd w:id="139"/>
    </w:p>
    <w:p w14:paraId="41CB8A7C">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合同一方不履行合同义务或者履行合同义务不符合约定的，应当承担继续履行、采取补救措施或者赔偿损失等违约责任。</w:t>
      </w:r>
    </w:p>
    <w:p w14:paraId="090A4BCE">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0" w:name="_Toc23803"/>
      <w:bookmarkStart w:id="141" w:name="_Toc20420"/>
      <w:bookmarkStart w:id="142" w:name="_Toc16855"/>
      <w:r>
        <w:rPr>
          <w:rFonts w:hint="eastAsia" w:ascii="宋体" w:hAnsi="宋体" w:eastAsia="宋体" w:cs="宋体"/>
          <w:color w:val="auto"/>
          <w:szCs w:val="21"/>
          <w:highlight w:val="none"/>
        </w:rPr>
        <w:t>13.买方违约责任</w:t>
      </w:r>
      <w:bookmarkEnd w:id="140"/>
      <w:bookmarkEnd w:id="141"/>
      <w:bookmarkEnd w:id="142"/>
    </w:p>
    <w:p w14:paraId="7D594C8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在合同生效后，买方要求退货的，应向卖方偿付合同总价款的5%，作为违约金，违约金不足以补偿损失的，卖方有权要求甲方补足。</w:t>
      </w:r>
    </w:p>
    <w:p w14:paraId="23D2363F">
      <w:pPr>
        <w:pStyle w:val="2"/>
        <w:keepNext w:val="0"/>
        <w:keepLines w:val="0"/>
        <w:pageBreakBefore w:val="0"/>
        <w:widowControl w:val="0"/>
        <w:kinsoku/>
        <w:wordWrap/>
        <w:overflowPunct w:val="0"/>
        <w:topLinePunct w:val="0"/>
        <w:autoSpaceDE/>
        <w:autoSpaceDN/>
        <w:bidi w:val="0"/>
        <w:snapToGrid/>
        <w:spacing w:line="440" w:lineRule="exact"/>
        <w:ind w:left="0" w:leftChars="0" w:right="-334" w:rightChars="-159"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买方逾期付款的应按照逾期付款金额的每天万分之四支付逾期付款违约金。</w:t>
      </w:r>
    </w:p>
    <w:p w14:paraId="67C68DF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买方违反合同规定，拒绝接收卖方交付的符合招标文件要求的合格标的物，应当承担卖方由此造成的损失。</w:t>
      </w:r>
    </w:p>
    <w:p w14:paraId="4E32CE13">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3" w:name="_Toc8254"/>
      <w:bookmarkStart w:id="144" w:name="_Toc29168"/>
      <w:bookmarkStart w:id="145" w:name="_Toc32452"/>
      <w:r>
        <w:rPr>
          <w:rFonts w:hint="eastAsia" w:ascii="宋体" w:hAnsi="宋体" w:eastAsia="宋体" w:cs="宋体"/>
          <w:color w:val="auto"/>
          <w:szCs w:val="21"/>
          <w:highlight w:val="none"/>
        </w:rPr>
        <w:t>14.卖方违约责任</w:t>
      </w:r>
      <w:bookmarkEnd w:id="143"/>
      <w:bookmarkEnd w:id="144"/>
      <w:bookmarkEnd w:id="145"/>
    </w:p>
    <w:p w14:paraId="59733313">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卖方不能交货（逾期超过五天视为不能交货），或交货不合格从而影响买方按期正常使用的，应向买方偿付合同总价款5%的违约金，违约金不足以补偿损失的，买方有权要求卖方补足。</w:t>
      </w:r>
    </w:p>
    <w:p w14:paraId="683DEBB5">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卖方逾期交货的，应在发货前与买方和政府采购管理部门协商，买方仍需求的，卖方应立即发货并应按照逾期交货部分货款的每天万分之四支付逾期交货违约金，同时承担买方因此遭致的损失费用。</w:t>
      </w:r>
    </w:p>
    <w:p w14:paraId="760453BD">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6" w:name="_Toc10627"/>
      <w:bookmarkStart w:id="147" w:name="_Toc9471"/>
      <w:bookmarkStart w:id="148" w:name="_Toc9278"/>
      <w:r>
        <w:rPr>
          <w:rFonts w:hint="eastAsia" w:ascii="宋体" w:hAnsi="宋体" w:eastAsia="宋体" w:cs="宋体"/>
          <w:color w:val="auto"/>
          <w:szCs w:val="21"/>
          <w:highlight w:val="none"/>
        </w:rPr>
        <w:t>15.不可抗力</w:t>
      </w:r>
      <w:bookmarkEnd w:id="146"/>
      <w:bookmarkEnd w:id="147"/>
      <w:bookmarkEnd w:id="148"/>
    </w:p>
    <w:p w14:paraId="401A3F4A">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因水灾、火灾、地震、战争等不可抗力不能履行合同的，根据不可抗力的影响，部分或者全部免除责任。但合同一方迟延履行后发生不可抗力的，不能免除责任。</w:t>
      </w:r>
    </w:p>
    <w:p w14:paraId="3DFB4EB0">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合同一方因不可抗力不能履行合同的，应当及时通知对方，以减轻可能给对方造成的损失，并应当在合理期限内提供证明。</w:t>
      </w:r>
    </w:p>
    <w:p w14:paraId="75F88E99">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 索赔</w:t>
      </w:r>
    </w:p>
    <w:p w14:paraId="3328B3F6">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9" w:name="_Toc29441"/>
      <w:bookmarkStart w:id="150" w:name="_Toc2331"/>
      <w:bookmarkStart w:id="151" w:name="_Toc15011"/>
      <w:r>
        <w:rPr>
          <w:rFonts w:hint="eastAsia" w:ascii="宋体" w:hAnsi="宋体" w:eastAsia="宋体" w:cs="宋体"/>
          <w:color w:val="auto"/>
          <w:szCs w:val="21"/>
          <w:highlight w:val="none"/>
        </w:rPr>
        <w:t>16.索赔</w:t>
      </w:r>
      <w:bookmarkEnd w:id="149"/>
      <w:bookmarkEnd w:id="150"/>
      <w:bookmarkEnd w:id="151"/>
    </w:p>
    <w:p w14:paraId="1800BC56">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买方有权根据当地产品质量检验机构或其它有权威部门出具的检验证书向卖方提出索赔。</w:t>
      </w:r>
    </w:p>
    <w:p w14:paraId="6A0A7722">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在本合同规定的检验期和质量保证期内，如果卖方对买方提出的索赔或差异有责任，则卖方应按买方同意的下列一种或多种方式解决索赔事宜：</w:t>
      </w:r>
    </w:p>
    <w:p w14:paraId="4498CE95">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266FC74A">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&lt;2&gt;根据标的物的低劣程度、损坏程度以及甲方遭受损失的数额，经双方协商确定降低标的物的价格；</w:t>
      </w:r>
    </w:p>
    <w:p w14:paraId="3007A98D">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6CF16A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7D2326D7">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4</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买方提出索赔的书面材料应报当地政府采购管理部门备案。卖方同意的索赔方案应报当地政府采购管理部门审核。</w:t>
      </w:r>
    </w:p>
    <w:p w14:paraId="0C9A33D8">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八. 履约保证金</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不采用</w:t>
      </w:r>
      <w:r>
        <w:rPr>
          <w:rFonts w:hint="eastAsia" w:ascii="宋体" w:hAnsi="宋体" w:eastAsia="宋体" w:cs="宋体"/>
          <w:b/>
          <w:color w:val="auto"/>
          <w:szCs w:val="21"/>
          <w:highlight w:val="none"/>
          <w:lang w:eastAsia="zh-CN"/>
        </w:rPr>
        <w:t>）</w:t>
      </w:r>
    </w:p>
    <w:p w14:paraId="1D76E8CE">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52" w:name="_Toc27150"/>
      <w:bookmarkStart w:id="153" w:name="_Toc18141"/>
      <w:bookmarkStart w:id="154" w:name="_Toc29033"/>
      <w:r>
        <w:rPr>
          <w:rFonts w:hint="eastAsia" w:ascii="宋体" w:hAnsi="宋体" w:eastAsia="宋体" w:cs="宋体"/>
          <w:color w:val="auto"/>
          <w:szCs w:val="21"/>
          <w:highlight w:val="none"/>
        </w:rPr>
        <w:t>17.履约保证金</w:t>
      </w:r>
      <w:bookmarkEnd w:id="152"/>
      <w:bookmarkEnd w:id="153"/>
      <w:bookmarkEnd w:id="154"/>
    </w:p>
    <w:p w14:paraId="5DB99EF1">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卖方应在本合同签订时，按招标文件的约定提供相应的履约保证金，保证金的有效期应不低于合同有效期。</w:t>
      </w:r>
    </w:p>
    <w:p w14:paraId="593FE32E">
      <w:pPr>
        <w:pStyle w:val="2"/>
        <w:keepNext w:val="0"/>
        <w:keepLines w:val="0"/>
        <w:pageBreakBefore w:val="0"/>
        <w:widowControl w:val="0"/>
        <w:kinsoku/>
        <w:wordWrap/>
        <w:overflowPunct w:val="0"/>
        <w:topLinePunct w:val="0"/>
        <w:autoSpaceDE/>
        <w:autoSpaceDN/>
        <w:bidi w:val="0"/>
        <w:snapToGrid/>
        <w:spacing w:line="440" w:lineRule="exact"/>
        <w:ind w:left="0" w:leftChars="0" w:right="-334" w:rightChars="-159"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如果卖方未能履行合同规定的任何义务，买方有权从履约保证金中取得补偿。</w:t>
      </w:r>
    </w:p>
    <w:p w14:paraId="17EA3712">
      <w:pPr>
        <w:pStyle w:val="2"/>
        <w:keepNext w:val="0"/>
        <w:keepLines w:val="0"/>
        <w:pageBreakBefore w:val="0"/>
        <w:widowControl w:val="0"/>
        <w:kinsoku/>
        <w:wordWrap/>
        <w:overflowPunct w:val="0"/>
        <w:topLinePunct w:val="0"/>
        <w:autoSpaceDE/>
        <w:autoSpaceDN/>
        <w:bidi w:val="0"/>
        <w:snapToGrid/>
        <w:spacing w:line="440" w:lineRule="exact"/>
        <w:ind w:right="-334" w:rightChars="-159" w:firstLine="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九.  合同的解除和转让</w:t>
      </w:r>
    </w:p>
    <w:p w14:paraId="2A545218">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55" w:name="_Toc19401"/>
      <w:bookmarkStart w:id="156" w:name="_Toc6549"/>
      <w:bookmarkStart w:id="157" w:name="_Toc14359"/>
      <w:r>
        <w:rPr>
          <w:rFonts w:hint="eastAsia" w:ascii="宋体" w:hAnsi="宋体" w:eastAsia="宋体" w:cs="宋体"/>
          <w:color w:val="auto"/>
          <w:szCs w:val="21"/>
          <w:highlight w:val="none"/>
        </w:rPr>
        <w:t>18.合同的解除</w:t>
      </w:r>
      <w:bookmarkEnd w:id="155"/>
      <w:bookmarkEnd w:id="156"/>
      <w:bookmarkEnd w:id="157"/>
    </w:p>
    <w:p w14:paraId="7B539A61">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买方和卖方协商一致，可以解除合同。</w:t>
      </w:r>
    </w:p>
    <w:p w14:paraId="201569FE">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有下列情形之一，合同一方可以解除合同：</w:t>
      </w:r>
    </w:p>
    <w:p w14:paraId="6BB2FB45">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&lt;1&gt;因不可抗力致使不能实现合同目的，未受不可抗力影响的一方有权解除合同；</w:t>
      </w:r>
    </w:p>
    <w:p w14:paraId="26C4A93E">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&lt;2&gt;因合同一方违约导致合同不能履行，另一方有权解除合同。</w:t>
      </w:r>
    </w:p>
    <w:p w14:paraId="7FBFBBA8">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有权解除合同的一方，应当在违约事实或不可抗力发生之后三十天内书面通知对方以主张解除合同，合同在书面通知到达对方时解除。</w:t>
      </w:r>
    </w:p>
    <w:p w14:paraId="087BFA71">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58" w:name="_Toc23775"/>
      <w:bookmarkStart w:id="159" w:name="_Toc19740"/>
      <w:bookmarkStart w:id="160" w:name="_Toc23239"/>
      <w:r>
        <w:rPr>
          <w:rFonts w:hint="eastAsia" w:ascii="宋体" w:hAnsi="宋体" w:eastAsia="宋体" w:cs="宋体"/>
          <w:color w:val="auto"/>
          <w:szCs w:val="21"/>
          <w:highlight w:val="none"/>
        </w:rPr>
        <w:t>19.合同的转让</w:t>
      </w:r>
      <w:bookmarkEnd w:id="158"/>
      <w:bookmarkEnd w:id="159"/>
      <w:bookmarkEnd w:id="160"/>
    </w:p>
    <w:p w14:paraId="176DADD7">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合同的部分和全部都不得转让。</w:t>
      </w:r>
    </w:p>
    <w:p w14:paraId="73A96C3E">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 合同的生效</w:t>
      </w:r>
    </w:p>
    <w:p w14:paraId="56EC9D05">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61" w:name="_Toc19583"/>
      <w:bookmarkStart w:id="162" w:name="_Toc30927"/>
      <w:bookmarkStart w:id="163" w:name="_Toc2193"/>
      <w:r>
        <w:rPr>
          <w:rFonts w:hint="eastAsia" w:ascii="宋体" w:hAnsi="宋体" w:eastAsia="宋体" w:cs="宋体"/>
          <w:color w:val="auto"/>
          <w:szCs w:val="21"/>
          <w:highlight w:val="none"/>
        </w:rPr>
        <w:t>20.合同的生效</w:t>
      </w:r>
      <w:bookmarkEnd w:id="161"/>
      <w:bookmarkEnd w:id="162"/>
      <w:bookmarkEnd w:id="163"/>
    </w:p>
    <w:p w14:paraId="4D7673F6">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本合同在双方签字盖章后生效。</w:t>
      </w:r>
    </w:p>
    <w:p w14:paraId="455F5C62">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 争议解决</w:t>
      </w:r>
    </w:p>
    <w:p w14:paraId="733C3924">
      <w:pPr>
        <w:keepNext w:val="0"/>
        <w:keepLines w:val="0"/>
        <w:pageBreakBefore w:val="0"/>
        <w:widowControl w:val="0"/>
        <w:kinsoku/>
        <w:wordWrap/>
        <w:topLinePunct w:val="0"/>
        <w:autoSpaceDE/>
        <w:autoSpaceDN/>
        <w:bidi w:val="0"/>
        <w:snapToGrid/>
        <w:spacing w:line="440" w:lineRule="exact"/>
        <w:ind w:firstLine="210" w:firstLineChars="100"/>
        <w:jc w:val="left"/>
        <w:outlineLvl w:val="1"/>
        <w:rPr>
          <w:rFonts w:hint="eastAsia" w:ascii="宋体" w:hAnsi="宋体" w:eastAsia="宋体" w:cs="宋体"/>
          <w:color w:val="auto"/>
          <w:szCs w:val="21"/>
          <w:highlight w:val="none"/>
        </w:rPr>
      </w:pPr>
      <w:bookmarkStart w:id="164" w:name="_Toc1767"/>
      <w:bookmarkStart w:id="165" w:name="_Toc9037"/>
      <w:bookmarkStart w:id="166" w:name="_Toc28701"/>
      <w:r>
        <w:rPr>
          <w:rFonts w:hint="eastAsia" w:ascii="宋体" w:hAnsi="宋体" w:eastAsia="宋体" w:cs="宋体"/>
          <w:color w:val="auto"/>
          <w:szCs w:val="21"/>
          <w:highlight w:val="none"/>
        </w:rPr>
        <w:t>21.争议解决</w:t>
      </w:r>
      <w:bookmarkEnd w:id="164"/>
      <w:bookmarkEnd w:id="165"/>
      <w:bookmarkEnd w:id="166"/>
    </w:p>
    <w:p w14:paraId="6B03F75A">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 xml:space="preserve"> 买卖双方因合同发生争议，进行调解，协商不成，可选择：</w:t>
      </w:r>
    </w:p>
    <w:p w14:paraId="4916614C">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双方同时申请仲裁；</w:t>
      </w:r>
    </w:p>
    <w:p w14:paraId="5828FEA1">
      <w:pPr>
        <w:pStyle w:val="2"/>
        <w:keepNext w:val="0"/>
        <w:keepLines w:val="0"/>
        <w:pageBreakBefore w:val="0"/>
        <w:widowControl w:val="0"/>
        <w:tabs>
          <w:tab w:val="left" w:pos="900"/>
        </w:tabs>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向买方所在地人民法院提起诉讼。</w:t>
      </w:r>
    </w:p>
    <w:p w14:paraId="5A94AA5C">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 .附则</w:t>
      </w:r>
    </w:p>
    <w:p w14:paraId="729F3860">
      <w:pPr>
        <w:keepNext w:val="0"/>
        <w:keepLines w:val="0"/>
        <w:pageBreakBefore w:val="0"/>
        <w:widowControl w:val="0"/>
        <w:kinsoku/>
        <w:wordWrap/>
        <w:topLinePunct w:val="0"/>
        <w:autoSpaceDE/>
        <w:autoSpaceDN/>
        <w:bidi w:val="0"/>
        <w:snapToGrid/>
        <w:spacing w:line="440" w:lineRule="exact"/>
        <w:ind w:firstLine="210" w:firstLineChars="100"/>
        <w:jc w:val="left"/>
        <w:outlineLvl w:val="1"/>
        <w:rPr>
          <w:rFonts w:hint="eastAsia" w:ascii="宋体" w:hAnsi="宋体" w:eastAsia="宋体" w:cs="宋体"/>
          <w:color w:val="auto"/>
          <w:szCs w:val="21"/>
          <w:highlight w:val="none"/>
        </w:rPr>
      </w:pPr>
      <w:bookmarkStart w:id="167" w:name="_Toc2171"/>
      <w:bookmarkStart w:id="168" w:name="_Toc30165"/>
      <w:bookmarkStart w:id="169" w:name="_Toc4325"/>
      <w:r>
        <w:rPr>
          <w:rFonts w:hint="eastAsia" w:ascii="宋体" w:hAnsi="宋体" w:eastAsia="宋体" w:cs="宋体"/>
          <w:color w:val="auto"/>
          <w:szCs w:val="21"/>
          <w:highlight w:val="none"/>
        </w:rPr>
        <w:t>22.合同份数。</w:t>
      </w:r>
      <w:bookmarkEnd w:id="167"/>
      <w:bookmarkEnd w:id="168"/>
      <w:bookmarkEnd w:id="169"/>
    </w:p>
    <w:p w14:paraId="09378F42">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本合同一式陆份，买卖双方各执</w:t>
      </w:r>
      <w:r>
        <w:rPr>
          <w:rFonts w:hint="eastAsia" w:ascii="宋体" w:hAnsi="宋体" w:cs="宋体"/>
          <w:color w:val="auto"/>
          <w:szCs w:val="21"/>
          <w:highlight w:val="none"/>
          <w:lang w:val="en-US" w:eastAsia="zh-CN"/>
        </w:rPr>
        <w:t>叁</w:t>
      </w:r>
      <w:r>
        <w:rPr>
          <w:rFonts w:hint="eastAsia" w:ascii="宋体" w:hAnsi="宋体" w:cs="宋体"/>
          <w:color w:val="auto"/>
          <w:szCs w:val="21"/>
          <w:highlight w:val="none"/>
        </w:rPr>
        <w:t>份</w:t>
      </w:r>
      <w:r>
        <w:rPr>
          <w:rFonts w:hint="eastAsia" w:ascii="宋体" w:hAnsi="宋体" w:eastAsia="宋体" w:cs="宋体"/>
          <w:color w:val="auto"/>
          <w:szCs w:val="21"/>
          <w:highlight w:val="none"/>
        </w:rPr>
        <w:t>。</w:t>
      </w:r>
    </w:p>
    <w:p w14:paraId="41BD659F">
      <w:pPr>
        <w:keepNext w:val="0"/>
        <w:keepLines w:val="0"/>
        <w:pageBreakBefore w:val="0"/>
        <w:widowControl w:val="0"/>
        <w:kinsoku/>
        <w:wordWrap/>
        <w:topLinePunct w:val="0"/>
        <w:autoSpaceDE/>
        <w:autoSpaceDN/>
        <w:bidi w:val="0"/>
        <w:snapToGrid/>
        <w:spacing w:line="440" w:lineRule="exact"/>
        <w:ind w:firstLine="210" w:firstLineChars="100"/>
        <w:jc w:val="left"/>
        <w:outlineLvl w:val="1"/>
        <w:rPr>
          <w:rFonts w:hint="eastAsia" w:ascii="宋体" w:hAnsi="宋体" w:eastAsia="宋体" w:cs="宋体"/>
          <w:color w:val="auto"/>
          <w:szCs w:val="21"/>
          <w:highlight w:val="none"/>
        </w:rPr>
      </w:pPr>
      <w:bookmarkStart w:id="170" w:name="_Toc8664"/>
      <w:bookmarkStart w:id="171" w:name="_Toc27096"/>
      <w:bookmarkStart w:id="172" w:name="_Toc24952"/>
      <w:r>
        <w:rPr>
          <w:rFonts w:hint="eastAsia" w:ascii="宋体" w:hAnsi="宋体" w:eastAsia="宋体" w:cs="宋体"/>
          <w:color w:val="auto"/>
          <w:szCs w:val="21"/>
          <w:highlight w:val="none"/>
        </w:rPr>
        <w:t>23.未尽事宜</w:t>
      </w:r>
      <w:bookmarkEnd w:id="170"/>
      <w:bookmarkEnd w:id="171"/>
      <w:bookmarkEnd w:id="172"/>
    </w:p>
    <w:p w14:paraId="6A13515E">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本合同未尽事宜应按《中华人民共和国</w:t>
      </w:r>
      <w:r>
        <w:rPr>
          <w:rFonts w:hint="eastAsia" w:ascii="宋体" w:hAnsi="宋体" w:eastAsia="宋体" w:cs="宋体"/>
          <w:color w:val="auto"/>
          <w:szCs w:val="21"/>
          <w:highlight w:val="none"/>
          <w:lang w:val="en-US" w:eastAsia="zh-CN"/>
        </w:rPr>
        <w:t>招标投标</w:t>
      </w:r>
      <w:r>
        <w:rPr>
          <w:rFonts w:hint="eastAsia" w:ascii="宋体" w:hAnsi="宋体" w:eastAsia="宋体" w:cs="宋体"/>
          <w:color w:val="auto"/>
          <w:szCs w:val="21"/>
          <w:highlight w:val="none"/>
        </w:rPr>
        <w:t>法》、《中华人民共和国民法典》、《中华人民共和国产品质量法》之规定解释。</w:t>
      </w:r>
    </w:p>
    <w:p w14:paraId="0916EA53">
      <w:pPr>
        <w:pStyle w:val="3"/>
        <w:spacing w:before="0" w:after="0"/>
        <w:rPr>
          <w:rFonts w:hint="eastAsia" w:ascii="宋体" w:hAnsi="宋体" w:eastAsia="宋体" w:cs="宋体"/>
          <w:color w:val="auto"/>
          <w:highlight w:val="none"/>
          <w:lang w:val="en-US" w:eastAsia="zh-CN"/>
        </w:rPr>
      </w:pPr>
    </w:p>
    <w:p w14:paraId="3123FA61">
      <w:pPr>
        <w:pStyle w:val="3"/>
        <w:spacing w:before="0" w:after="0"/>
        <w:rPr>
          <w:rFonts w:hint="eastAsia" w:ascii="宋体" w:hAnsi="宋体" w:eastAsia="宋体" w:cs="宋体"/>
          <w:color w:val="auto"/>
          <w:highlight w:val="none"/>
          <w:lang w:val="en-US" w:eastAsia="zh-CN"/>
        </w:rPr>
      </w:pPr>
      <w:bookmarkStart w:id="173" w:name="_Toc22987"/>
    </w:p>
    <w:p w14:paraId="4ABA65A3">
      <w:pPr>
        <w:pStyle w:val="3"/>
        <w:spacing w:before="0" w:after="0"/>
        <w:rPr>
          <w:rFonts w:hint="eastAsia" w:ascii="宋体" w:hAnsi="宋体" w:eastAsia="宋体" w:cs="宋体"/>
          <w:color w:val="auto"/>
          <w:highlight w:val="none"/>
          <w:lang w:val="en-US" w:eastAsia="zh-CN"/>
        </w:rPr>
      </w:pPr>
    </w:p>
    <w:p w14:paraId="6256EA8F">
      <w:pPr>
        <w:pStyle w:val="3"/>
        <w:spacing w:before="0" w:after="0"/>
        <w:rPr>
          <w:rFonts w:hint="eastAsia" w:ascii="宋体" w:hAnsi="宋体" w:eastAsia="宋体" w:cs="宋体"/>
          <w:color w:val="auto"/>
          <w:highlight w:val="none"/>
          <w:lang w:val="en-US" w:eastAsia="zh-CN"/>
        </w:rPr>
      </w:pPr>
    </w:p>
    <w:p w14:paraId="059B2E9C">
      <w:pPr>
        <w:pStyle w:val="3"/>
        <w:spacing w:before="0" w:after="0"/>
        <w:rPr>
          <w:rFonts w:hint="eastAsia" w:ascii="宋体" w:hAnsi="宋体" w:eastAsia="宋体" w:cs="宋体"/>
          <w:color w:val="auto"/>
          <w:highlight w:val="none"/>
          <w:lang w:val="en-US" w:eastAsia="zh-CN"/>
        </w:rPr>
      </w:pPr>
    </w:p>
    <w:p w14:paraId="2F35904E">
      <w:pPr>
        <w:pStyle w:val="3"/>
        <w:spacing w:before="0" w:after="0"/>
        <w:rPr>
          <w:rFonts w:hint="eastAsia" w:ascii="宋体" w:hAnsi="宋体" w:eastAsia="宋体" w:cs="宋体"/>
          <w:color w:val="auto"/>
          <w:highlight w:val="none"/>
          <w:lang w:val="en-US" w:eastAsia="zh-CN"/>
        </w:rPr>
      </w:pPr>
    </w:p>
    <w:p w14:paraId="144D8BAB">
      <w:pPr>
        <w:pStyle w:val="3"/>
        <w:spacing w:before="0" w:after="0"/>
        <w:rPr>
          <w:rFonts w:hint="eastAsia" w:ascii="宋体" w:hAnsi="宋体" w:eastAsia="宋体" w:cs="宋体"/>
          <w:color w:val="auto"/>
          <w:highlight w:val="none"/>
          <w:lang w:val="en-US" w:eastAsia="zh-CN"/>
        </w:rPr>
      </w:pPr>
    </w:p>
    <w:p w14:paraId="20887E34">
      <w:pPr>
        <w:rPr>
          <w:rFonts w:hint="eastAsia" w:ascii="宋体" w:hAnsi="宋体" w:eastAsia="宋体" w:cs="宋体"/>
          <w:color w:val="auto"/>
          <w:highlight w:val="none"/>
          <w:lang w:val="en-US" w:eastAsia="zh-CN"/>
        </w:rPr>
      </w:pPr>
    </w:p>
    <w:p w14:paraId="2BF58923">
      <w:pPr>
        <w:rPr>
          <w:rFonts w:hint="eastAsia" w:ascii="宋体" w:hAnsi="宋体" w:eastAsia="宋体" w:cs="宋体"/>
          <w:color w:val="auto"/>
          <w:highlight w:val="none"/>
          <w:lang w:val="en-US" w:eastAsia="zh-CN"/>
        </w:rPr>
      </w:pPr>
    </w:p>
    <w:p w14:paraId="16B97F1C">
      <w:pPr>
        <w:rPr>
          <w:rFonts w:hint="eastAsia" w:ascii="宋体" w:hAnsi="宋体" w:eastAsia="宋体" w:cs="宋体"/>
          <w:color w:val="auto"/>
          <w:highlight w:val="none"/>
          <w:lang w:val="en-US" w:eastAsia="zh-CN"/>
        </w:rPr>
      </w:pPr>
    </w:p>
    <w:p w14:paraId="04159DF5">
      <w:pPr>
        <w:rPr>
          <w:rFonts w:hint="eastAsia" w:ascii="宋体" w:hAnsi="宋体" w:eastAsia="宋体" w:cs="宋体"/>
          <w:color w:val="auto"/>
          <w:highlight w:val="none"/>
          <w:lang w:val="en-US" w:eastAsia="zh-CN"/>
        </w:rPr>
      </w:pPr>
    </w:p>
    <w:p w14:paraId="7FAC9CD3">
      <w:pPr>
        <w:rPr>
          <w:rFonts w:hint="eastAsia" w:ascii="宋体" w:hAnsi="宋体" w:eastAsia="宋体" w:cs="宋体"/>
          <w:color w:val="auto"/>
          <w:highlight w:val="none"/>
          <w:lang w:val="en-US" w:eastAsia="zh-CN"/>
        </w:rPr>
      </w:pPr>
    </w:p>
    <w:p w14:paraId="0BECD3E6">
      <w:pPr>
        <w:rPr>
          <w:rFonts w:hint="eastAsia" w:ascii="宋体" w:hAnsi="宋体" w:eastAsia="宋体" w:cs="宋体"/>
          <w:color w:val="auto"/>
          <w:highlight w:val="none"/>
          <w:lang w:val="en-US" w:eastAsia="zh-CN"/>
        </w:rPr>
      </w:pPr>
    </w:p>
    <w:p w14:paraId="1125D1F1">
      <w:pPr>
        <w:rPr>
          <w:rFonts w:hint="eastAsia" w:ascii="宋体" w:hAnsi="宋体" w:eastAsia="宋体" w:cs="宋体"/>
          <w:color w:val="auto"/>
          <w:highlight w:val="none"/>
          <w:lang w:val="en-US" w:eastAsia="zh-CN"/>
        </w:rPr>
      </w:pPr>
    </w:p>
    <w:p w14:paraId="042E758A">
      <w:pPr>
        <w:rPr>
          <w:rFonts w:hint="eastAsia" w:ascii="宋体" w:hAnsi="宋体" w:eastAsia="宋体" w:cs="宋体"/>
          <w:color w:val="auto"/>
          <w:highlight w:val="none"/>
          <w:lang w:val="en-US" w:eastAsia="zh-CN"/>
        </w:rPr>
      </w:pPr>
    </w:p>
    <w:p w14:paraId="0AC068DA">
      <w:pPr>
        <w:rPr>
          <w:rFonts w:hint="eastAsia" w:ascii="宋体" w:hAnsi="宋体" w:eastAsia="宋体" w:cs="宋体"/>
          <w:color w:val="auto"/>
          <w:highlight w:val="none"/>
          <w:lang w:val="en-US" w:eastAsia="zh-CN"/>
        </w:rPr>
      </w:pPr>
    </w:p>
    <w:p w14:paraId="1C3A222F">
      <w:pPr>
        <w:rPr>
          <w:rFonts w:hint="eastAsia" w:ascii="宋体" w:hAnsi="宋体" w:eastAsia="宋体" w:cs="宋体"/>
          <w:color w:val="auto"/>
          <w:highlight w:val="none"/>
          <w:lang w:val="en-US" w:eastAsia="zh-CN"/>
        </w:rPr>
      </w:pPr>
    </w:p>
    <w:p w14:paraId="39C05EDB">
      <w:pPr>
        <w:rPr>
          <w:rFonts w:hint="eastAsia" w:ascii="宋体" w:hAnsi="宋体" w:eastAsia="宋体" w:cs="宋体"/>
          <w:color w:val="auto"/>
          <w:highlight w:val="none"/>
          <w:lang w:val="en-US" w:eastAsia="zh-CN"/>
        </w:rPr>
      </w:pPr>
    </w:p>
    <w:p w14:paraId="6C4F510E">
      <w:pPr>
        <w:rPr>
          <w:rFonts w:hint="eastAsia" w:ascii="宋体" w:hAnsi="宋体" w:eastAsia="宋体" w:cs="宋体"/>
          <w:color w:val="auto"/>
          <w:highlight w:val="none"/>
          <w:lang w:val="en-US" w:eastAsia="zh-CN"/>
        </w:rPr>
      </w:pPr>
    </w:p>
    <w:p w14:paraId="44CB11CD">
      <w:pPr>
        <w:rPr>
          <w:rFonts w:hint="eastAsia" w:ascii="宋体" w:hAnsi="宋体" w:eastAsia="宋体" w:cs="宋体"/>
          <w:color w:val="auto"/>
          <w:highlight w:val="none"/>
          <w:lang w:val="en-US" w:eastAsia="zh-CN"/>
        </w:rPr>
      </w:pPr>
    </w:p>
    <w:p w14:paraId="5FAF9FC6">
      <w:pPr>
        <w:rPr>
          <w:rFonts w:hint="eastAsia" w:ascii="宋体" w:hAnsi="宋体" w:eastAsia="宋体" w:cs="宋体"/>
          <w:color w:val="auto"/>
          <w:highlight w:val="none"/>
          <w:lang w:val="en-US" w:eastAsia="zh-CN"/>
        </w:rPr>
      </w:pPr>
    </w:p>
    <w:p w14:paraId="6800F1D1">
      <w:pPr>
        <w:rPr>
          <w:rFonts w:hint="eastAsia" w:ascii="宋体" w:hAnsi="宋体" w:eastAsia="宋体" w:cs="宋体"/>
          <w:color w:val="auto"/>
          <w:highlight w:val="none"/>
          <w:lang w:val="en-US" w:eastAsia="zh-CN"/>
        </w:rPr>
      </w:pPr>
    </w:p>
    <w:p w14:paraId="63674946">
      <w:pPr>
        <w:pStyle w:val="66"/>
        <w:rPr>
          <w:rFonts w:hint="eastAsia"/>
          <w:color w:val="auto"/>
          <w:highlight w:val="none"/>
          <w:lang w:val="en-US" w:eastAsia="zh-CN"/>
        </w:rPr>
      </w:pPr>
    </w:p>
    <w:p w14:paraId="58E8BA10">
      <w:pPr>
        <w:rPr>
          <w:rFonts w:hint="eastAsia" w:ascii="宋体" w:hAnsi="宋体" w:eastAsia="宋体" w:cs="宋体"/>
          <w:color w:val="auto"/>
          <w:highlight w:val="none"/>
          <w:lang w:val="en-US" w:eastAsia="zh-CN"/>
        </w:rPr>
      </w:pPr>
    </w:p>
    <w:p w14:paraId="6E116394">
      <w:pPr>
        <w:pStyle w:val="47"/>
        <w:rPr>
          <w:rFonts w:hint="eastAsia" w:ascii="宋体" w:hAnsi="宋体" w:eastAsia="宋体" w:cs="宋体"/>
          <w:color w:val="auto"/>
          <w:highlight w:val="none"/>
          <w:lang w:val="en-US" w:eastAsia="zh-CN"/>
        </w:rPr>
      </w:pPr>
    </w:p>
    <w:p w14:paraId="1A7822AD">
      <w:pPr>
        <w:rPr>
          <w:rFonts w:hint="eastAsia"/>
          <w:color w:val="auto"/>
          <w:highlight w:val="none"/>
          <w:lang w:val="en-US" w:eastAsia="zh-CN"/>
        </w:rPr>
      </w:pPr>
    </w:p>
    <w:p w14:paraId="4C22060F">
      <w:pPr>
        <w:pStyle w:val="3"/>
        <w:spacing w:before="0" w:after="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第六章投标文件格式</w:t>
      </w:r>
      <w:bookmarkEnd w:id="87"/>
      <w:bookmarkEnd w:id="173"/>
    </w:p>
    <w:p w14:paraId="39ED9576">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36DBE282">
      <w:pPr>
        <w:jc w:val="center"/>
        <w:rPr>
          <w:rFonts w:hint="eastAsia" w:ascii="宋体" w:hAnsi="宋体" w:eastAsia="宋体" w:cs="宋体"/>
          <w:color w:val="auto"/>
          <w:sz w:val="20"/>
          <w:szCs w:val="20"/>
          <w:highlight w:val="none"/>
        </w:rPr>
      </w:pPr>
    </w:p>
    <w:p w14:paraId="054EA7AB">
      <w:pPr>
        <w:jc w:val="center"/>
        <w:rPr>
          <w:rFonts w:hint="eastAsia" w:ascii="宋体" w:hAnsi="宋体" w:eastAsia="宋体" w:cs="宋体"/>
          <w:color w:val="auto"/>
          <w:sz w:val="20"/>
          <w:szCs w:val="20"/>
          <w:highlight w:val="none"/>
        </w:rPr>
      </w:pPr>
    </w:p>
    <w:p w14:paraId="4F979074">
      <w:pPr>
        <w:jc w:val="center"/>
        <w:rPr>
          <w:rFonts w:hint="eastAsia" w:ascii="宋体" w:hAnsi="宋体" w:eastAsia="宋体" w:cs="宋体"/>
          <w:color w:val="auto"/>
          <w:sz w:val="20"/>
          <w:szCs w:val="20"/>
          <w:highlight w:val="none"/>
        </w:rPr>
      </w:pPr>
    </w:p>
    <w:p w14:paraId="13F88BD6">
      <w:pPr>
        <w:rPr>
          <w:rFonts w:hint="eastAsia" w:ascii="宋体" w:hAnsi="宋体" w:eastAsia="宋体" w:cs="宋体"/>
          <w:color w:val="auto"/>
          <w:sz w:val="20"/>
          <w:szCs w:val="20"/>
          <w:highlight w:val="none"/>
        </w:rPr>
      </w:pPr>
    </w:p>
    <w:p w14:paraId="1B69A9F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投标文件一</w:t>
      </w:r>
    </w:p>
    <w:p w14:paraId="4FA0C009">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资格证明材料</w:t>
      </w:r>
      <w:r>
        <w:rPr>
          <w:rFonts w:hint="eastAsia" w:ascii="宋体" w:hAnsi="宋体" w:eastAsia="宋体" w:cs="宋体"/>
          <w:color w:val="auto"/>
          <w:sz w:val="44"/>
          <w:szCs w:val="44"/>
          <w:highlight w:val="none"/>
        </w:rPr>
        <w:t xml:space="preserve"> </w:t>
      </w:r>
    </w:p>
    <w:p w14:paraId="26C5587E">
      <w:pPr>
        <w:jc w:val="center"/>
        <w:rPr>
          <w:rFonts w:hint="eastAsia" w:ascii="宋体" w:hAnsi="宋体" w:eastAsia="宋体" w:cs="宋体"/>
          <w:color w:val="auto"/>
          <w:sz w:val="44"/>
          <w:szCs w:val="44"/>
          <w:highlight w:val="none"/>
        </w:rPr>
      </w:pPr>
    </w:p>
    <w:p w14:paraId="05BFAA20">
      <w:pPr>
        <w:rPr>
          <w:rFonts w:hint="eastAsia" w:ascii="宋体" w:hAnsi="宋体" w:eastAsia="宋体" w:cs="宋体"/>
          <w:color w:val="auto"/>
          <w:sz w:val="28"/>
          <w:szCs w:val="28"/>
          <w:highlight w:val="none"/>
        </w:rPr>
      </w:pPr>
    </w:p>
    <w:p w14:paraId="2F2D5E03">
      <w:pPr>
        <w:rPr>
          <w:rFonts w:hint="eastAsia" w:ascii="宋体" w:hAnsi="宋体" w:eastAsia="宋体" w:cs="宋体"/>
          <w:color w:val="auto"/>
          <w:sz w:val="28"/>
          <w:szCs w:val="28"/>
          <w:highlight w:val="none"/>
        </w:rPr>
      </w:pPr>
    </w:p>
    <w:p w14:paraId="5421C415">
      <w:pPr>
        <w:rPr>
          <w:rFonts w:hint="eastAsia" w:ascii="宋体" w:hAnsi="宋体" w:eastAsia="宋体" w:cs="宋体"/>
          <w:color w:val="auto"/>
          <w:sz w:val="28"/>
          <w:szCs w:val="28"/>
          <w:highlight w:val="none"/>
        </w:rPr>
      </w:pPr>
    </w:p>
    <w:p w14:paraId="3B038DC1">
      <w:pPr>
        <w:rPr>
          <w:rFonts w:hint="eastAsia" w:ascii="宋体" w:hAnsi="宋体" w:eastAsia="宋体" w:cs="宋体"/>
          <w:color w:val="auto"/>
          <w:sz w:val="28"/>
          <w:szCs w:val="28"/>
          <w:highlight w:val="none"/>
        </w:rPr>
      </w:pPr>
    </w:p>
    <w:p w14:paraId="154F26FA">
      <w:pPr>
        <w:rPr>
          <w:rFonts w:hint="eastAsia" w:ascii="宋体" w:hAnsi="宋体" w:eastAsia="宋体" w:cs="宋体"/>
          <w:color w:val="auto"/>
          <w:sz w:val="28"/>
          <w:szCs w:val="28"/>
          <w:highlight w:val="none"/>
        </w:rPr>
      </w:pPr>
    </w:p>
    <w:p w14:paraId="28EAA3C2">
      <w:pPr>
        <w:rPr>
          <w:rFonts w:hint="eastAsia" w:ascii="宋体" w:hAnsi="宋体" w:eastAsia="宋体" w:cs="宋体"/>
          <w:color w:val="auto"/>
          <w:sz w:val="28"/>
          <w:szCs w:val="28"/>
          <w:highlight w:val="none"/>
        </w:rPr>
      </w:pPr>
    </w:p>
    <w:p w14:paraId="31B439BC">
      <w:pPr>
        <w:rPr>
          <w:rFonts w:hint="eastAsia" w:ascii="宋体" w:hAnsi="宋体" w:eastAsia="宋体" w:cs="宋体"/>
          <w:color w:val="auto"/>
          <w:sz w:val="28"/>
          <w:szCs w:val="28"/>
          <w:highlight w:val="none"/>
        </w:rPr>
      </w:pPr>
    </w:p>
    <w:p w14:paraId="3F74875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r>
        <w:rPr>
          <w:rFonts w:hint="eastAsia" w:ascii="宋体" w:hAnsi="宋体" w:eastAsia="宋体" w:cs="宋体"/>
          <w:color w:val="auto"/>
          <w:sz w:val="28"/>
          <w:szCs w:val="28"/>
          <w:highlight w:val="none"/>
        </w:rPr>
        <w:t>）</w:t>
      </w:r>
    </w:p>
    <w:p w14:paraId="6AA690A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r>
        <w:rPr>
          <w:rFonts w:hint="eastAsia" w:ascii="宋体" w:hAnsi="宋体" w:eastAsia="宋体" w:cs="宋体"/>
          <w:color w:val="auto"/>
          <w:sz w:val="28"/>
          <w:szCs w:val="28"/>
          <w:highlight w:val="none"/>
        </w:rPr>
        <w:t>）</w:t>
      </w:r>
    </w:p>
    <w:p w14:paraId="411E5B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E9320F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245EBD4">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58AA69A2">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（1）法定代表人身份证明和本人身份证(或法定代表人授权委托书和委托代理人身份证)；</w:t>
      </w:r>
    </w:p>
    <w:p w14:paraId="7EA67AEC">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（2）诚信投标承诺书；</w:t>
      </w:r>
    </w:p>
    <w:p w14:paraId="3E7D4F0D">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（3）企业法人营业执照；</w:t>
      </w:r>
    </w:p>
    <w:p w14:paraId="680F3686">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（4）企业资质证书；</w:t>
      </w:r>
    </w:p>
    <w:p w14:paraId="34302265">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（5）企业安全生产许可证；</w:t>
      </w:r>
    </w:p>
    <w:p w14:paraId="68F2C96E">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（6）项目负责人建造师（拟任项目经理（建造师））身份证、建造师注册证书以及安全生产考核合格证书（B证）；</w:t>
      </w:r>
    </w:p>
    <w:p w14:paraId="2C6A6962">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7）投标人的法定代表人(或委托代理人)和拟任项目经理（建造师）须持有社保部门出具的本单位为其缴纳的投标前近三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 </w:t>
      </w:r>
    </w:p>
    <w:p w14:paraId="170C333B">
      <w:pPr>
        <w:pStyle w:val="47"/>
        <w:ind w:left="0" w:leftChars="0" w:firstLine="0" w:firstLineChars="0"/>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（8）投标人认为需要提供的其他材料。</w:t>
      </w:r>
    </w:p>
    <w:p w14:paraId="02E1898A">
      <w:pPr>
        <w:rPr>
          <w:rFonts w:ascii="仿宋" w:hAnsi="仿宋" w:eastAsia="仿宋" w:cs="仿宋"/>
          <w:b/>
          <w:color w:val="auto"/>
          <w:sz w:val="21"/>
          <w:szCs w:val="21"/>
          <w:highlight w:val="none"/>
        </w:rPr>
      </w:pPr>
      <w:r>
        <w:rPr>
          <w:rFonts w:ascii="仿宋" w:hAnsi="仿宋" w:eastAsia="仿宋" w:cs="仿宋"/>
          <w:b/>
          <w:color w:val="auto"/>
          <w:sz w:val="21"/>
          <w:szCs w:val="21"/>
          <w:highlight w:val="none"/>
        </w:rPr>
        <w:br w:type="page"/>
      </w:r>
    </w:p>
    <w:p w14:paraId="2E77CC68">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5569495B">
      <w:pPr>
        <w:pStyle w:val="148"/>
        <w:spacing w:beforeLines="100" w:afterLines="100" w:line="480" w:lineRule="exact"/>
        <w:ind w:firstLine="180" w:firstLineChars="75"/>
        <w:rPr>
          <w:rFonts w:hint="eastAsia" w:ascii="宋体" w:hAnsi="宋体" w:eastAsia="宋体" w:cs="宋体"/>
          <w:b/>
          <w:color w:val="auto"/>
          <w:sz w:val="24"/>
          <w:szCs w:val="24"/>
          <w:highlight w:val="none"/>
        </w:rPr>
      </w:pPr>
      <w:bookmarkStart w:id="174" w:name="OLE_LINK13"/>
      <w:r>
        <w:rPr>
          <w:rFonts w:hint="eastAsia" w:ascii="宋体" w:hAnsi="宋体" w:eastAsia="宋体" w:cs="宋体"/>
          <w:color w:val="auto"/>
          <w:sz w:val="24"/>
          <w:szCs w:val="24"/>
          <w:highlight w:val="none"/>
        </w:rPr>
        <w:t>1、法定代表人身份证明</w:t>
      </w:r>
    </w:p>
    <w:p w14:paraId="59B79FC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3DBFB9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4A2E9C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EE7DBA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81F38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CCD6F7">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6E1DD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7781F3EE">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DF54F75">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eastAsia="黑体"/>
          <w:color w:val="auto"/>
          <w:sz w:val="28"/>
          <w:szCs w:val="28"/>
          <w:highlight w:val="none"/>
        </w:rPr>
        <w:t>签</w:t>
      </w:r>
      <w:r>
        <w:rPr>
          <w:rFonts w:eastAsia="黑体"/>
          <w:color w:val="auto"/>
          <w:sz w:val="28"/>
          <w:szCs w:val="28"/>
          <w:highlight w:val="none"/>
        </w:rPr>
        <w:t>章</w:t>
      </w:r>
      <w:r>
        <w:rPr>
          <w:rFonts w:hint="eastAsia" w:ascii="宋体" w:hAnsi="宋体" w:eastAsia="宋体" w:cs="宋体"/>
          <w:color w:val="auto"/>
          <w:sz w:val="24"/>
          <w:szCs w:val="24"/>
          <w:highlight w:val="none"/>
        </w:rPr>
        <w:t>）</w:t>
      </w:r>
    </w:p>
    <w:p w14:paraId="4A489C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174"/>
    <w:p w14:paraId="5272D18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6EA50EE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1208C27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DE994A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附：法定代表人及授权委托人有效身份证复印件</w:t>
      </w:r>
    </w:p>
    <w:p w14:paraId="5FED9BBF">
      <w:pPr>
        <w:spacing w:line="480" w:lineRule="auto"/>
        <w:ind w:right="2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w:t>
      </w:r>
      <w:r>
        <w:rPr>
          <w:rFonts w:hint="eastAsia" w:ascii="宋体" w:hAnsi="宋体" w:eastAsia="宋体" w:cs="宋体"/>
          <w:color w:val="auto"/>
          <w:sz w:val="24"/>
          <w:szCs w:val="24"/>
          <w:highlight w:val="none"/>
          <w:u w:val="single"/>
        </w:rPr>
        <w:t>（签字或签章）</w:t>
      </w:r>
    </w:p>
    <w:p w14:paraId="0AFC90F8">
      <w:pPr>
        <w:spacing w:line="48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（签章）</w:t>
      </w:r>
    </w:p>
    <w:p w14:paraId="478E5304">
      <w:pPr>
        <w:spacing w:line="480" w:lineRule="auto"/>
        <w:ind w:right="20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（签字或签章）</w:t>
      </w:r>
    </w:p>
    <w:p w14:paraId="7C7C774D">
      <w:pPr>
        <w:spacing w:line="480" w:lineRule="auto"/>
        <w:ind w:right="980" w:firstLine="480"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年月日</w:t>
      </w:r>
    </w:p>
    <w:p w14:paraId="64B3B76F">
      <w:pPr>
        <w:rPr>
          <w:rFonts w:hint="eastAsia" w:ascii="宋体" w:hAnsi="宋体" w:cs="宋体"/>
          <w:b/>
          <w:color w:val="auto"/>
          <w:sz w:val="28"/>
          <w:szCs w:val="28"/>
          <w:highlight w:val="none"/>
        </w:rPr>
      </w:pPr>
    </w:p>
    <w:p w14:paraId="39E39A81">
      <w:pPr>
        <w:jc w:val="center"/>
        <w:rPr>
          <w:rFonts w:hint="eastAsia"/>
          <w:b/>
          <w:color w:val="auto"/>
          <w:sz w:val="28"/>
          <w:szCs w:val="28"/>
          <w:highlight w:val="none"/>
        </w:rPr>
      </w:pPr>
      <w:r>
        <w:rPr>
          <w:rFonts w:hint="eastAsia" w:ascii="宋体" w:hAnsi="宋体" w:cs="宋体"/>
          <w:b/>
          <w:color w:val="auto"/>
          <w:sz w:val="28"/>
          <w:szCs w:val="28"/>
          <w:highlight w:val="none"/>
        </w:rPr>
        <w:t>（2）</w:t>
      </w:r>
      <w:r>
        <w:rPr>
          <w:rFonts w:hint="eastAsia"/>
          <w:b/>
          <w:color w:val="auto"/>
          <w:sz w:val="28"/>
          <w:szCs w:val="28"/>
          <w:highlight w:val="none"/>
        </w:rPr>
        <w:t>诚信投标承诺书</w:t>
      </w:r>
    </w:p>
    <w:p w14:paraId="1A92C53D">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39B95ED4">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75" w:name="_Toc503196197"/>
      <w:bookmarkStart w:id="176" w:name="_Toc506107356"/>
      <w:bookmarkStart w:id="177" w:name="_Toc26598"/>
      <w:r>
        <w:rPr>
          <w:rFonts w:hint="eastAsia" w:ascii="宋体" w:hAnsi="宋体"/>
          <w:color w:val="auto"/>
          <w:szCs w:val="21"/>
          <w:highlight w:val="none"/>
        </w:rPr>
        <w:t>开、公正和诚实信用</w:t>
      </w:r>
      <w:bookmarkEnd w:id="175"/>
      <w:bookmarkEnd w:id="176"/>
      <w:r>
        <w:rPr>
          <w:rFonts w:hint="eastAsia" w:ascii="宋体" w:hAnsi="宋体"/>
          <w:color w:val="auto"/>
          <w:szCs w:val="21"/>
          <w:highlight w:val="none"/>
        </w:rPr>
        <w:t>的</w:t>
      </w:r>
      <w:bookmarkEnd w:id="177"/>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28C0FBDB">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6AB9F37">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87C22E">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7190C0F">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C05A1EB">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 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rPr>
        <w:t>被列入省级、市级农民工工资支付异常名录的施工企业，限制其参加全市范围项目投标；列入县级异常名录的施工企业，限制其参加本行政区域内项目投标。（若招标文件对投标人所属分公司、办事处等分支机构有上述1-8项信誉要求，在此一并承诺我公司所属分公司、办事处等分支机构没有上述1-8项情形）</w:t>
      </w:r>
    </w:p>
    <w:p w14:paraId="7231D4D3">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2E05E5F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28D7B5F0">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AAF6611">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0A01D19">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424779F">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77662B54">
      <w:pPr>
        <w:kinsoku/>
        <w:overflowPunct/>
        <w:bidi w:val="0"/>
        <w:adjustRightInd w:val="0"/>
        <w:snapToGrid w:val="0"/>
        <w:spacing w:line="440" w:lineRule="exact"/>
        <w:rPr>
          <w:rFonts w:hint="eastAsia" w:ascii="宋体" w:hAnsi="宋体"/>
          <w:color w:val="auto"/>
          <w:szCs w:val="21"/>
          <w:highlight w:val="none"/>
        </w:rPr>
      </w:pPr>
    </w:p>
    <w:p w14:paraId="628B63B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0D42580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投标人（签章）：          法定代表人（签章或</w:t>
      </w:r>
      <w:r>
        <w:rPr>
          <w:rFonts w:hint="eastAsia" w:ascii="宋体" w:hAnsi="宋体" w:cs="宋体"/>
          <w:color w:val="auto"/>
          <w:szCs w:val="21"/>
          <w:highlight w:val="none"/>
          <w:lang w:val="en-US" w:eastAsia="zh-CN"/>
        </w:rPr>
        <w:t>签章</w:t>
      </w:r>
      <w:r>
        <w:rPr>
          <w:rFonts w:hint="eastAsia" w:ascii="宋体" w:hAnsi="宋体" w:eastAsia="宋体" w:cs="宋体"/>
          <w:color w:val="auto"/>
          <w:szCs w:val="21"/>
          <w:highlight w:val="none"/>
        </w:rPr>
        <w:t>）：</w:t>
      </w:r>
    </w:p>
    <w:p w14:paraId="7854ACFF">
      <w:pPr>
        <w:adjustRightInd w:val="0"/>
        <w:snapToGrid w:val="0"/>
        <w:spacing w:line="400" w:lineRule="exact"/>
        <w:rPr>
          <w:rFonts w:hint="eastAsia" w:ascii="宋体" w:hAnsi="宋体"/>
          <w:color w:val="auto"/>
          <w:szCs w:val="21"/>
          <w:highlight w:val="none"/>
        </w:rPr>
      </w:pPr>
    </w:p>
    <w:p w14:paraId="4F097E67">
      <w:pPr>
        <w:adjustRightInd w:val="0"/>
        <w:snapToGrid w:val="0"/>
        <w:spacing w:line="40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55B15257">
      <w:pPr>
        <w:jc w:val="both"/>
        <w:rPr>
          <w:rFonts w:ascii="仿宋" w:hAnsi="仿宋" w:eastAsia="仿宋" w:cs="仿宋"/>
          <w:color w:val="auto"/>
          <w:sz w:val="28"/>
          <w:szCs w:val="28"/>
          <w:highlight w:val="none"/>
          <w:u w:val="single"/>
        </w:rPr>
      </w:pPr>
    </w:p>
    <w:p w14:paraId="3D852A75">
      <w:pPr>
        <w:jc w:val="center"/>
        <w:rPr>
          <w:rFonts w:ascii="仿宋" w:hAnsi="仿宋" w:eastAsia="仿宋" w:cs="仿宋"/>
          <w:color w:val="auto"/>
          <w:sz w:val="28"/>
          <w:szCs w:val="28"/>
          <w:highlight w:val="none"/>
          <w:u w:val="single"/>
        </w:rPr>
      </w:pPr>
    </w:p>
    <w:p w14:paraId="5867011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7636AF6C">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投标文件二</w:t>
      </w:r>
    </w:p>
    <w:p w14:paraId="417A6ED2">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商务标</w:t>
      </w:r>
      <w:r>
        <w:rPr>
          <w:rFonts w:hint="eastAsia" w:ascii="宋体" w:hAnsi="宋体" w:eastAsia="宋体" w:cs="宋体"/>
          <w:color w:val="auto"/>
          <w:sz w:val="44"/>
          <w:szCs w:val="44"/>
          <w:highlight w:val="none"/>
        </w:rPr>
        <w:t xml:space="preserve"> </w:t>
      </w:r>
    </w:p>
    <w:p w14:paraId="63BE0597">
      <w:pPr>
        <w:jc w:val="center"/>
        <w:rPr>
          <w:rFonts w:hint="eastAsia" w:ascii="宋体" w:hAnsi="宋体" w:eastAsia="宋体" w:cs="宋体"/>
          <w:color w:val="auto"/>
          <w:sz w:val="44"/>
          <w:szCs w:val="44"/>
          <w:highlight w:val="none"/>
        </w:rPr>
      </w:pPr>
    </w:p>
    <w:p w14:paraId="4F1EB2E5">
      <w:pPr>
        <w:rPr>
          <w:rFonts w:hint="eastAsia" w:ascii="宋体" w:hAnsi="宋体" w:eastAsia="宋体" w:cs="宋体"/>
          <w:color w:val="auto"/>
          <w:sz w:val="28"/>
          <w:szCs w:val="28"/>
          <w:highlight w:val="none"/>
        </w:rPr>
      </w:pPr>
    </w:p>
    <w:p w14:paraId="59C9F2E0">
      <w:pPr>
        <w:rPr>
          <w:rFonts w:hint="eastAsia" w:ascii="宋体" w:hAnsi="宋体" w:eastAsia="宋体" w:cs="宋体"/>
          <w:color w:val="auto"/>
          <w:sz w:val="28"/>
          <w:szCs w:val="28"/>
          <w:highlight w:val="none"/>
        </w:rPr>
      </w:pPr>
    </w:p>
    <w:p w14:paraId="7E528519">
      <w:pPr>
        <w:rPr>
          <w:rFonts w:hint="eastAsia" w:ascii="宋体" w:hAnsi="宋体" w:eastAsia="宋体" w:cs="宋体"/>
          <w:color w:val="auto"/>
          <w:sz w:val="28"/>
          <w:szCs w:val="28"/>
          <w:highlight w:val="none"/>
        </w:rPr>
      </w:pPr>
    </w:p>
    <w:p w14:paraId="4961742F">
      <w:pPr>
        <w:rPr>
          <w:rFonts w:hint="eastAsia" w:ascii="宋体" w:hAnsi="宋体" w:eastAsia="宋体" w:cs="宋体"/>
          <w:color w:val="auto"/>
          <w:sz w:val="28"/>
          <w:szCs w:val="28"/>
          <w:highlight w:val="none"/>
        </w:rPr>
      </w:pPr>
    </w:p>
    <w:p w14:paraId="6CF6CC3B">
      <w:pPr>
        <w:rPr>
          <w:rFonts w:hint="eastAsia" w:ascii="宋体" w:hAnsi="宋体" w:eastAsia="宋体" w:cs="宋体"/>
          <w:color w:val="auto"/>
          <w:sz w:val="28"/>
          <w:szCs w:val="28"/>
          <w:highlight w:val="none"/>
        </w:rPr>
      </w:pPr>
    </w:p>
    <w:p w14:paraId="51646F3C">
      <w:pPr>
        <w:rPr>
          <w:rFonts w:hint="eastAsia" w:ascii="宋体" w:hAnsi="宋体" w:eastAsia="宋体" w:cs="宋体"/>
          <w:color w:val="auto"/>
          <w:sz w:val="28"/>
          <w:szCs w:val="28"/>
          <w:highlight w:val="none"/>
        </w:rPr>
      </w:pPr>
    </w:p>
    <w:p w14:paraId="697AF514">
      <w:pPr>
        <w:rPr>
          <w:rFonts w:hint="eastAsia" w:ascii="宋体" w:hAnsi="宋体" w:eastAsia="宋体" w:cs="宋体"/>
          <w:color w:val="auto"/>
          <w:sz w:val="28"/>
          <w:szCs w:val="28"/>
          <w:highlight w:val="none"/>
        </w:rPr>
      </w:pPr>
    </w:p>
    <w:p w14:paraId="2EE672B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785B32F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签字或签章</w:t>
      </w:r>
      <w:r>
        <w:rPr>
          <w:rFonts w:hint="eastAsia" w:ascii="宋体" w:hAnsi="宋体" w:eastAsia="宋体" w:cs="宋体"/>
          <w:color w:val="auto"/>
          <w:sz w:val="28"/>
          <w:szCs w:val="28"/>
          <w:highlight w:val="none"/>
        </w:rPr>
        <w:t>）</w:t>
      </w:r>
    </w:p>
    <w:p w14:paraId="42D58A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8FFB2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71AE57C">
      <w:pPr>
        <w:spacing w:line="480" w:lineRule="auto"/>
        <w:ind w:right="980" w:firstLine="602" w:firstLineChars="200"/>
        <w:jc w:val="center"/>
        <w:rPr>
          <w:rFonts w:hint="default"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目录</w:t>
      </w:r>
    </w:p>
    <w:p w14:paraId="5B8A9D37">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kern w:val="2"/>
          <w:sz w:val="21"/>
          <w:szCs w:val="21"/>
          <w:highlight w:val="none"/>
          <w:lang w:val="en-US" w:eastAsia="zh-CN" w:bidi="ar-SA"/>
        </w:rPr>
      </w:pPr>
    </w:p>
    <w:p w14:paraId="47505683">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38BF6AF9">
      <w:pPr>
        <w:jc w:val="center"/>
        <w:rPr>
          <w:rFonts w:hint="eastAsia" w:ascii="宋体" w:hAnsi="宋体" w:cs="宋体"/>
          <w:b/>
          <w:bCs/>
          <w:color w:val="auto"/>
          <w:sz w:val="28"/>
          <w:szCs w:val="28"/>
          <w:highlight w:val="none"/>
        </w:rPr>
      </w:pPr>
    </w:p>
    <w:p w14:paraId="1BD4A950">
      <w:pPr>
        <w:jc w:val="center"/>
        <w:rPr>
          <w:rFonts w:hint="eastAsia" w:ascii="宋体" w:hAnsi="宋体" w:cs="宋体"/>
          <w:b/>
          <w:bCs/>
          <w:color w:val="auto"/>
          <w:sz w:val="28"/>
          <w:szCs w:val="28"/>
          <w:highlight w:val="none"/>
        </w:rPr>
      </w:pPr>
    </w:p>
    <w:p w14:paraId="1B0D899D">
      <w:pPr>
        <w:jc w:val="center"/>
        <w:rPr>
          <w:rFonts w:hint="eastAsia" w:ascii="宋体" w:hAnsi="宋体" w:cs="宋体"/>
          <w:b/>
          <w:bCs/>
          <w:color w:val="auto"/>
          <w:sz w:val="28"/>
          <w:szCs w:val="28"/>
          <w:highlight w:val="none"/>
        </w:rPr>
      </w:pPr>
    </w:p>
    <w:p w14:paraId="36FE2075">
      <w:pPr>
        <w:jc w:val="center"/>
        <w:rPr>
          <w:rFonts w:hint="eastAsia" w:ascii="宋体" w:hAnsi="宋体" w:cs="宋体"/>
          <w:b/>
          <w:bCs/>
          <w:color w:val="auto"/>
          <w:sz w:val="28"/>
          <w:szCs w:val="28"/>
          <w:highlight w:val="none"/>
        </w:rPr>
      </w:pPr>
    </w:p>
    <w:p w14:paraId="5E181F06">
      <w:pPr>
        <w:jc w:val="center"/>
        <w:rPr>
          <w:rFonts w:hint="eastAsia" w:ascii="宋体" w:hAnsi="宋体" w:cs="宋体"/>
          <w:b/>
          <w:bCs/>
          <w:color w:val="auto"/>
          <w:sz w:val="28"/>
          <w:szCs w:val="28"/>
          <w:highlight w:val="none"/>
        </w:rPr>
      </w:pPr>
    </w:p>
    <w:p w14:paraId="52A39ED1">
      <w:pPr>
        <w:jc w:val="center"/>
        <w:rPr>
          <w:rFonts w:hint="eastAsia" w:ascii="宋体" w:hAnsi="宋体" w:cs="宋体"/>
          <w:b/>
          <w:bCs/>
          <w:color w:val="auto"/>
          <w:sz w:val="28"/>
          <w:szCs w:val="28"/>
          <w:highlight w:val="none"/>
        </w:rPr>
      </w:pPr>
    </w:p>
    <w:p w14:paraId="49005B6A">
      <w:pPr>
        <w:jc w:val="center"/>
        <w:rPr>
          <w:rFonts w:hint="eastAsia" w:ascii="宋体" w:hAnsi="宋体" w:cs="宋体"/>
          <w:b/>
          <w:bCs/>
          <w:color w:val="auto"/>
          <w:sz w:val="28"/>
          <w:szCs w:val="28"/>
          <w:highlight w:val="none"/>
        </w:rPr>
      </w:pPr>
    </w:p>
    <w:p w14:paraId="3D324F23">
      <w:pPr>
        <w:jc w:val="center"/>
        <w:rPr>
          <w:rFonts w:hint="eastAsia" w:ascii="宋体" w:hAnsi="宋体" w:cs="宋体"/>
          <w:b/>
          <w:bCs/>
          <w:color w:val="auto"/>
          <w:sz w:val="28"/>
          <w:szCs w:val="28"/>
          <w:highlight w:val="none"/>
        </w:rPr>
      </w:pPr>
    </w:p>
    <w:p w14:paraId="73ABBA13">
      <w:pPr>
        <w:jc w:val="center"/>
        <w:rPr>
          <w:rFonts w:hint="eastAsia" w:ascii="宋体" w:hAnsi="宋体" w:cs="宋体"/>
          <w:b/>
          <w:bCs/>
          <w:color w:val="auto"/>
          <w:sz w:val="28"/>
          <w:szCs w:val="28"/>
          <w:highlight w:val="none"/>
        </w:rPr>
      </w:pPr>
    </w:p>
    <w:p w14:paraId="25579B1E">
      <w:pPr>
        <w:jc w:val="center"/>
        <w:rPr>
          <w:rFonts w:hint="eastAsia" w:ascii="宋体" w:hAnsi="宋体" w:cs="宋体"/>
          <w:b/>
          <w:bCs/>
          <w:color w:val="auto"/>
          <w:sz w:val="28"/>
          <w:szCs w:val="28"/>
          <w:highlight w:val="none"/>
        </w:rPr>
      </w:pPr>
    </w:p>
    <w:p w14:paraId="3952A502">
      <w:pPr>
        <w:jc w:val="center"/>
        <w:rPr>
          <w:rFonts w:hint="eastAsia" w:ascii="宋体" w:hAnsi="宋体" w:cs="宋体"/>
          <w:b/>
          <w:bCs/>
          <w:color w:val="auto"/>
          <w:sz w:val="28"/>
          <w:szCs w:val="28"/>
          <w:highlight w:val="none"/>
        </w:rPr>
      </w:pPr>
    </w:p>
    <w:p w14:paraId="3A1FDF65">
      <w:pPr>
        <w:jc w:val="center"/>
        <w:rPr>
          <w:rFonts w:hint="eastAsia" w:ascii="宋体" w:hAnsi="宋体" w:cs="宋体"/>
          <w:b/>
          <w:bCs/>
          <w:color w:val="auto"/>
          <w:sz w:val="28"/>
          <w:szCs w:val="28"/>
          <w:highlight w:val="none"/>
        </w:rPr>
      </w:pPr>
    </w:p>
    <w:p w14:paraId="42C8BA2F">
      <w:pPr>
        <w:jc w:val="center"/>
        <w:rPr>
          <w:rFonts w:hint="eastAsia" w:ascii="宋体" w:hAnsi="宋体" w:cs="宋体"/>
          <w:b/>
          <w:bCs/>
          <w:color w:val="auto"/>
          <w:sz w:val="28"/>
          <w:szCs w:val="28"/>
          <w:highlight w:val="none"/>
        </w:rPr>
      </w:pPr>
    </w:p>
    <w:p w14:paraId="16435E1B">
      <w:pPr>
        <w:jc w:val="center"/>
        <w:rPr>
          <w:rFonts w:hint="eastAsia" w:ascii="宋体" w:hAnsi="宋体" w:cs="宋体"/>
          <w:b/>
          <w:bCs/>
          <w:color w:val="auto"/>
          <w:sz w:val="28"/>
          <w:szCs w:val="28"/>
          <w:highlight w:val="none"/>
        </w:rPr>
      </w:pPr>
    </w:p>
    <w:p w14:paraId="71CEC4F7">
      <w:pPr>
        <w:jc w:val="center"/>
        <w:rPr>
          <w:rFonts w:hint="eastAsia" w:ascii="宋体" w:hAnsi="宋体" w:cs="宋体"/>
          <w:b/>
          <w:bCs/>
          <w:color w:val="auto"/>
          <w:sz w:val="28"/>
          <w:szCs w:val="28"/>
          <w:highlight w:val="none"/>
        </w:rPr>
      </w:pPr>
    </w:p>
    <w:p w14:paraId="43B6D58C">
      <w:pPr>
        <w:jc w:val="center"/>
        <w:rPr>
          <w:rFonts w:hint="eastAsia" w:ascii="宋体" w:hAnsi="宋体" w:cs="宋体"/>
          <w:b/>
          <w:bCs/>
          <w:color w:val="auto"/>
          <w:sz w:val="28"/>
          <w:szCs w:val="28"/>
          <w:highlight w:val="none"/>
        </w:rPr>
      </w:pPr>
    </w:p>
    <w:p w14:paraId="4B8D8490">
      <w:pPr>
        <w:jc w:val="center"/>
        <w:rPr>
          <w:rFonts w:hint="eastAsia" w:ascii="宋体" w:hAnsi="宋体" w:cs="宋体"/>
          <w:b/>
          <w:bCs/>
          <w:color w:val="auto"/>
          <w:sz w:val="28"/>
          <w:szCs w:val="28"/>
          <w:highlight w:val="none"/>
        </w:rPr>
      </w:pPr>
    </w:p>
    <w:p w14:paraId="3BAA9E68">
      <w:pPr>
        <w:jc w:val="center"/>
        <w:rPr>
          <w:rFonts w:hint="eastAsia" w:ascii="宋体" w:hAnsi="宋体" w:cs="宋体"/>
          <w:b/>
          <w:bCs/>
          <w:color w:val="auto"/>
          <w:sz w:val="28"/>
          <w:szCs w:val="28"/>
          <w:highlight w:val="none"/>
        </w:rPr>
      </w:pPr>
    </w:p>
    <w:p w14:paraId="43E98097">
      <w:pPr>
        <w:jc w:val="center"/>
        <w:rPr>
          <w:rFonts w:hint="eastAsia" w:ascii="宋体" w:hAnsi="宋体" w:cs="宋体"/>
          <w:b/>
          <w:bCs/>
          <w:color w:val="auto"/>
          <w:sz w:val="28"/>
          <w:szCs w:val="28"/>
          <w:highlight w:val="none"/>
        </w:rPr>
      </w:pPr>
    </w:p>
    <w:p w14:paraId="078DAE51">
      <w:pPr>
        <w:jc w:val="center"/>
        <w:rPr>
          <w:rFonts w:hint="eastAsia" w:ascii="宋体" w:hAnsi="宋体" w:cs="宋体"/>
          <w:b/>
          <w:bCs/>
          <w:color w:val="auto"/>
          <w:sz w:val="28"/>
          <w:szCs w:val="28"/>
          <w:highlight w:val="none"/>
        </w:rPr>
      </w:pPr>
    </w:p>
    <w:p w14:paraId="40C0A75C">
      <w:pPr>
        <w:jc w:val="center"/>
        <w:rPr>
          <w:rFonts w:hint="eastAsia" w:ascii="宋体" w:hAnsi="宋体" w:cs="宋体"/>
          <w:b/>
          <w:bCs/>
          <w:color w:val="auto"/>
          <w:sz w:val="28"/>
          <w:szCs w:val="28"/>
          <w:highlight w:val="none"/>
        </w:rPr>
      </w:pPr>
    </w:p>
    <w:p w14:paraId="3C6F74FA">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 标 函</w:t>
      </w:r>
    </w:p>
    <w:p w14:paraId="6C39BA2C">
      <w:pPr>
        <w:spacing w:line="500" w:lineRule="exact"/>
        <w:rPr>
          <w:rFonts w:hint="eastAsia"/>
          <w:color w:val="auto"/>
          <w:highlight w:val="none"/>
        </w:rPr>
      </w:pPr>
      <w:r>
        <w:rPr>
          <w:rFonts w:hint="eastAsia"/>
          <w:b/>
          <w:bCs/>
          <w:color w:val="auto"/>
          <w:highlight w:val="none"/>
        </w:rPr>
        <w:t>致 ：</w:t>
      </w:r>
      <w:r>
        <w:rPr>
          <w:rFonts w:hint="eastAsia"/>
          <w:b/>
          <w:bCs/>
          <w:color w:val="auto"/>
          <w:highlight w:val="none"/>
          <w:u w:val="single"/>
        </w:rPr>
        <w:t xml:space="preserve">                （招标人名称）</w:t>
      </w:r>
      <w:r>
        <w:rPr>
          <w:rFonts w:hint="eastAsia"/>
          <w:color w:val="auto"/>
          <w:highlight w:val="none"/>
        </w:rPr>
        <w:t xml:space="preserve">：  </w:t>
      </w:r>
    </w:p>
    <w:p w14:paraId="212185E2">
      <w:pPr>
        <w:spacing w:line="56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1、根据你方招标的</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项目名称</w:t>
      </w:r>
      <w:r>
        <w:rPr>
          <w:rFonts w:hint="eastAsia" w:ascii="宋体" w:hAnsi="宋体"/>
          <w:color w:val="auto"/>
          <w:sz w:val="21"/>
          <w:szCs w:val="21"/>
          <w:highlight w:val="none"/>
          <w:u w:val="single"/>
          <w:lang w:eastAsia="zh-CN"/>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招标文件，遵照《中华人民共和国招标投标法》等有关规定，经踏勘项目现场和研究上述</w:t>
      </w:r>
      <w:r>
        <w:rPr>
          <w:rFonts w:hint="eastAsia" w:ascii="宋体" w:hAnsi="宋体"/>
          <w:color w:val="auto"/>
          <w:sz w:val="21"/>
          <w:szCs w:val="21"/>
          <w:highlight w:val="none"/>
          <w:lang w:val="en-US" w:eastAsia="zh-CN"/>
        </w:rPr>
        <w:t>招标文件</w:t>
      </w:r>
      <w:r>
        <w:rPr>
          <w:rFonts w:hint="eastAsia" w:ascii="宋体" w:hAnsi="宋体"/>
          <w:color w:val="auto"/>
          <w:sz w:val="21"/>
          <w:szCs w:val="21"/>
          <w:highlight w:val="none"/>
        </w:rPr>
        <w:t>的投标须知、合同条件、技术规范和其他有关文件后，我方愿以</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（币种，金额、单位）                   </w:t>
      </w:r>
      <w:r>
        <w:rPr>
          <w:rFonts w:hint="eastAsia" w:ascii="宋体" w:hAnsi="宋体"/>
          <w:color w:val="auto"/>
          <w:sz w:val="21"/>
          <w:szCs w:val="21"/>
          <w:highlight w:val="none"/>
        </w:rPr>
        <w:t>的投标总报价承包上</w:t>
      </w:r>
      <w:r>
        <w:rPr>
          <w:rFonts w:hint="eastAsia" w:ascii="宋体" w:hAnsi="宋体" w:eastAsia="宋体" w:cs="Times New Roman"/>
          <w:color w:val="auto"/>
          <w:sz w:val="21"/>
          <w:szCs w:val="21"/>
          <w:highlight w:val="none"/>
        </w:rPr>
        <w:t>述</w:t>
      </w:r>
      <w:r>
        <w:rPr>
          <w:rFonts w:hint="eastAsia" w:ascii="宋体" w:hAnsi="宋体" w:eastAsia="宋体" w:cs="Times New Roman"/>
          <w:color w:val="auto"/>
          <w:sz w:val="21"/>
          <w:szCs w:val="21"/>
          <w:highlight w:val="none"/>
          <w:lang w:val="en-US" w:eastAsia="zh-CN"/>
        </w:rPr>
        <w:t>项目</w:t>
      </w:r>
      <w:r>
        <w:rPr>
          <w:rFonts w:hint="eastAsia" w:ascii="宋体" w:hAnsi="宋体" w:eastAsia="宋体" w:cs="Times New Roman"/>
          <w:color w:val="auto"/>
          <w:sz w:val="21"/>
          <w:szCs w:val="21"/>
          <w:highlight w:val="none"/>
        </w:rPr>
        <w:t>的货物与服务</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我方开票税率为</w:t>
      </w:r>
      <w:r>
        <w:rPr>
          <w:rFonts w:hint="eastAsia" w:ascii="宋体" w:hAnsi="宋体" w:eastAsia="宋体" w:cs="Times New Roman"/>
          <w:color w:val="auto"/>
          <w:sz w:val="21"/>
          <w:szCs w:val="21"/>
          <w:highlight w:val="none"/>
          <w:u w:val="single"/>
          <w:lang w:val="en-US" w:eastAsia="zh-CN"/>
        </w:rPr>
        <w:t xml:space="preserve">     % </w:t>
      </w:r>
      <w:r>
        <w:rPr>
          <w:rFonts w:hint="eastAsia" w:ascii="宋体" w:hAnsi="宋体" w:eastAsia="宋体" w:cs="Times New Roman"/>
          <w:color w:val="auto"/>
          <w:sz w:val="21"/>
          <w:szCs w:val="21"/>
          <w:highlight w:val="none"/>
          <w:u w:val="none"/>
          <w:lang w:val="en-US" w:eastAsia="zh-CN"/>
        </w:rPr>
        <w:t>，发票类型：</w:t>
      </w:r>
      <w:r>
        <w:rPr>
          <w:rFonts w:hint="eastAsia" w:ascii="宋体" w:hAnsi="宋体" w:eastAsia="宋体" w:cs="Times New Roman"/>
          <w:color w:val="auto"/>
          <w:sz w:val="21"/>
          <w:szCs w:val="21"/>
          <w:highlight w:val="none"/>
          <w:u w:val="single"/>
          <w:lang w:val="en-US" w:eastAsia="zh-CN"/>
        </w:rPr>
        <w:t xml:space="preserve"> 增值税专用发票  </w:t>
      </w:r>
      <w:r>
        <w:rPr>
          <w:rFonts w:hint="eastAsia" w:ascii="宋体" w:hAnsi="宋体" w:eastAsia="宋体" w:cs="Times New Roman"/>
          <w:color w:val="auto"/>
          <w:sz w:val="21"/>
          <w:szCs w:val="21"/>
          <w:highlight w:val="none"/>
          <w:lang w:eastAsia="zh-CN"/>
        </w:rPr>
        <w:t>。</w:t>
      </w:r>
    </w:p>
    <w:p w14:paraId="237DB6D2">
      <w:pPr>
        <w:numPr>
          <w:ilvl w:val="0"/>
          <w:numId w:val="4"/>
        </w:numPr>
        <w:spacing w:line="560" w:lineRule="exact"/>
        <w:ind w:left="0"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我方已详细审核全部</w:t>
      </w:r>
      <w:r>
        <w:rPr>
          <w:rFonts w:hint="eastAsia" w:ascii="宋体" w:hAnsi="宋体"/>
          <w:color w:val="auto"/>
          <w:spacing w:val="-4"/>
          <w:sz w:val="21"/>
          <w:szCs w:val="21"/>
          <w:highlight w:val="none"/>
          <w:lang w:val="en-US" w:eastAsia="zh-CN"/>
        </w:rPr>
        <w:t>招标文件</w:t>
      </w:r>
      <w:r>
        <w:rPr>
          <w:rFonts w:hint="eastAsia" w:ascii="宋体" w:hAnsi="宋体"/>
          <w:color w:val="auto"/>
          <w:spacing w:val="-4"/>
          <w:sz w:val="21"/>
          <w:szCs w:val="21"/>
          <w:highlight w:val="none"/>
        </w:rPr>
        <w:t>及有关附件，承诺</w:t>
      </w:r>
      <w:r>
        <w:rPr>
          <w:rFonts w:hint="eastAsia" w:ascii="宋体" w:hAnsi="宋体"/>
          <w:color w:val="auto"/>
          <w:spacing w:val="-4"/>
          <w:sz w:val="21"/>
          <w:szCs w:val="21"/>
          <w:highlight w:val="none"/>
          <w:lang w:val="en-US" w:eastAsia="zh-CN"/>
        </w:rPr>
        <w:t>招标文件</w:t>
      </w:r>
      <w:r>
        <w:rPr>
          <w:rFonts w:hint="eastAsia" w:ascii="宋体" w:hAnsi="宋体"/>
          <w:color w:val="auto"/>
          <w:spacing w:val="-4"/>
          <w:sz w:val="21"/>
          <w:szCs w:val="21"/>
          <w:highlight w:val="none"/>
        </w:rPr>
        <w:t>及有关附件中所有条款。</w:t>
      </w:r>
    </w:p>
    <w:p w14:paraId="591FA363">
      <w:pPr>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供货期为：</w:t>
      </w:r>
      <w:r>
        <w:rPr>
          <w:rFonts w:hint="eastAsia" w:ascii="宋体" w:hAnsi="宋体" w:cs="宋体"/>
          <w:color w:val="auto"/>
          <w:szCs w:val="21"/>
          <w:highlight w:val="none"/>
        </w:rPr>
        <w:t>自合同签订之日起</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lang w:val="en-US" w:eastAsia="zh-CN"/>
        </w:rPr>
        <w:t>个日历天内供货</w:t>
      </w:r>
      <w:r>
        <w:rPr>
          <w:rFonts w:hint="eastAsia" w:ascii="宋体" w:hAnsi="宋体" w:cs="宋体"/>
          <w:color w:val="auto"/>
          <w:szCs w:val="21"/>
          <w:highlight w:val="none"/>
        </w:rPr>
        <w:t>、安装完成。</w:t>
      </w:r>
    </w:p>
    <w:p w14:paraId="155F75FD">
      <w:pPr>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4、如果我方在本投标书有效期内撤回投标书，或在中标通知书下达后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30</w:t>
      </w:r>
      <w:r>
        <w:rPr>
          <w:rFonts w:ascii="宋体" w:hAnsi="宋体"/>
          <w:color w:val="auto"/>
          <w:sz w:val="21"/>
          <w:szCs w:val="21"/>
          <w:highlight w:val="none"/>
          <w:u w:val="single"/>
        </w:rPr>
        <w:t xml:space="preserve">   </w:t>
      </w:r>
      <w:r>
        <w:rPr>
          <w:rFonts w:hint="eastAsia" w:ascii="宋体" w:hAnsi="宋体"/>
          <w:color w:val="auto"/>
          <w:sz w:val="21"/>
          <w:szCs w:val="21"/>
          <w:highlight w:val="none"/>
        </w:rPr>
        <w:t>天内未能或拒绝签订合同书，或自行转标，贵单位有权</w:t>
      </w:r>
      <w:r>
        <w:rPr>
          <w:rFonts w:hint="eastAsia" w:ascii="宋体" w:hAnsi="宋体"/>
          <w:color w:val="auto"/>
          <w:sz w:val="21"/>
          <w:szCs w:val="21"/>
          <w:highlight w:val="none"/>
          <w:lang w:val="en-US" w:eastAsia="zh-CN"/>
        </w:rPr>
        <w:t>取消中标资格</w:t>
      </w:r>
      <w:r>
        <w:rPr>
          <w:rFonts w:hint="eastAsia" w:ascii="宋体" w:hAnsi="宋体"/>
          <w:color w:val="auto"/>
          <w:sz w:val="21"/>
          <w:szCs w:val="21"/>
          <w:highlight w:val="none"/>
        </w:rPr>
        <w:t>，并另选中标单位。</w:t>
      </w:r>
    </w:p>
    <w:p w14:paraId="3F89F490">
      <w:pPr>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5、我单位提供如下通讯地址：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电子邮箱（地址），确认本项目相关法律文书均通过提供的以上地址送达，相关文书只要发送至以上电子邮箱（地址）即视为送达，投标人愿意承担一切法律后果。</w:t>
      </w:r>
    </w:p>
    <w:p w14:paraId="113A7BF0">
      <w:pPr>
        <w:spacing w:line="500" w:lineRule="exact"/>
        <w:ind w:firstLine="420" w:firstLineChars="200"/>
        <w:rPr>
          <w:rFonts w:hint="eastAsia"/>
          <w:color w:val="auto"/>
          <w:szCs w:val="21"/>
          <w:highlight w:val="none"/>
        </w:rPr>
      </w:pPr>
    </w:p>
    <w:p w14:paraId="73CCE1DF">
      <w:pPr>
        <w:spacing w:line="400" w:lineRule="exact"/>
        <w:ind w:firstLine="2310" w:firstLineChars="1100"/>
        <w:rPr>
          <w:color w:val="auto"/>
          <w:szCs w:val="21"/>
          <w:highlight w:val="none"/>
          <w:u w:val="single"/>
        </w:rPr>
      </w:pPr>
      <w:r>
        <w:rPr>
          <w:rFonts w:hint="eastAsia"/>
          <w:color w:val="auto"/>
          <w:szCs w:val="21"/>
          <w:highlight w:val="none"/>
        </w:rPr>
        <w:t>投标人：</w:t>
      </w:r>
      <w:r>
        <w:rPr>
          <w:color w:val="auto"/>
          <w:szCs w:val="21"/>
          <w:highlight w:val="none"/>
          <w:u w:val="single"/>
        </w:rPr>
        <w:t xml:space="preserve">                             </w:t>
      </w:r>
      <w:r>
        <w:rPr>
          <w:rFonts w:hint="eastAsia"/>
          <w:color w:val="auto"/>
          <w:szCs w:val="21"/>
          <w:highlight w:val="none"/>
          <w:u w:val="single"/>
        </w:rPr>
        <w:t>（盖章）</w:t>
      </w:r>
      <w:r>
        <w:rPr>
          <w:color w:val="auto"/>
          <w:szCs w:val="21"/>
          <w:highlight w:val="none"/>
          <w:u w:val="single"/>
        </w:rPr>
        <w:t xml:space="preserve">   </w:t>
      </w:r>
    </w:p>
    <w:p w14:paraId="6D87CBE4">
      <w:pPr>
        <w:spacing w:line="400" w:lineRule="exact"/>
        <w:ind w:firstLine="2310" w:firstLineChars="1100"/>
        <w:rPr>
          <w:color w:val="auto"/>
          <w:szCs w:val="21"/>
          <w:highlight w:val="none"/>
        </w:rPr>
      </w:pPr>
      <w:r>
        <w:rPr>
          <w:rFonts w:hint="eastAsia"/>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（签字或盖章）</w:t>
      </w:r>
    </w:p>
    <w:p w14:paraId="0F26C06D">
      <w:pPr>
        <w:spacing w:line="400" w:lineRule="exact"/>
        <w:ind w:firstLine="2310" w:firstLineChars="1100"/>
        <w:rPr>
          <w:rFonts w:hint="eastAsia"/>
          <w:color w:val="auto"/>
          <w:szCs w:val="21"/>
          <w:highlight w:val="none"/>
        </w:rPr>
      </w:pPr>
      <w:r>
        <w:rPr>
          <w:rFonts w:hint="eastAsia"/>
          <w:color w:val="auto"/>
          <w:szCs w:val="21"/>
          <w:highlight w:val="none"/>
        </w:rPr>
        <w:t>单位地址：</w:t>
      </w:r>
      <w:r>
        <w:rPr>
          <w:color w:val="auto"/>
          <w:szCs w:val="21"/>
          <w:highlight w:val="none"/>
          <w:u w:val="single"/>
        </w:rPr>
        <w:t xml:space="preserve">                             </w:t>
      </w:r>
      <w:r>
        <w:rPr>
          <w:rFonts w:hint="eastAsia"/>
          <w:color w:val="auto"/>
          <w:szCs w:val="21"/>
          <w:highlight w:val="none"/>
        </w:rPr>
        <w:t xml:space="preserve">       </w:t>
      </w:r>
    </w:p>
    <w:p w14:paraId="00911A72">
      <w:pPr>
        <w:spacing w:line="400" w:lineRule="exact"/>
        <w:ind w:firstLine="2310" w:firstLineChars="1100"/>
        <w:rPr>
          <w:color w:val="auto"/>
          <w:szCs w:val="21"/>
          <w:highlight w:val="none"/>
          <w:u w:val="single"/>
        </w:rPr>
      </w:pPr>
      <w:r>
        <w:rPr>
          <w:rFonts w:hint="eastAsia"/>
          <w:color w:val="auto"/>
          <w:szCs w:val="21"/>
          <w:highlight w:val="none"/>
        </w:rPr>
        <w:t>邮政编码：</w:t>
      </w:r>
      <w:r>
        <w:rPr>
          <w:color w:val="auto"/>
          <w:szCs w:val="21"/>
          <w:highlight w:val="none"/>
          <w:u w:val="single"/>
        </w:rPr>
        <w:t xml:space="preserve">            </w:t>
      </w:r>
      <w:r>
        <w:rPr>
          <w:rFonts w:hint="eastAsia"/>
          <w:color w:val="auto"/>
          <w:szCs w:val="21"/>
          <w:highlight w:val="none"/>
        </w:rPr>
        <w:t>电话：</w:t>
      </w:r>
      <w:r>
        <w:rPr>
          <w:color w:val="auto"/>
          <w:szCs w:val="21"/>
          <w:highlight w:val="none"/>
          <w:u w:val="single"/>
        </w:rPr>
        <w:t xml:space="preserve">        </w:t>
      </w:r>
      <w:r>
        <w:rPr>
          <w:rFonts w:hint="eastAsia"/>
          <w:color w:val="auto"/>
          <w:szCs w:val="21"/>
          <w:highlight w:val="none"/>
        </w:rPr>
        <w:t>传真：</w:t>
      </w:r>
      <w:r>
        <w:rPr>
          <w:color w:val="auto"/>
          <w:szCs w:val="21"/>
          <w:highlight w:val="none"/>
          <w:u w:val="single"/>
        </w:rPr>
        <w:t xml:space="preserve">       </w:t>
      </w:r>
    </w:p>
    <w:p w14:paraId="1C813567">
      <w:pPr>
        <w:spacing w:line="400" w:lineRule="exact"/>
        <w:ind w:firstLine="2310" w:firstLineChars="1100"/>
        <w:rPr>
          <w:rFonts w:hint="eastAsia"/>
          <w:color w:val="auto"/>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rPr>
        <w:t>年</w:t>
      </w:r>
      <w:r>
        <w:rPr>
          <w:color w:val="auto"/>
          <w:szCs w:val="21"/>
          <w:highlight w:val="none"/>
        </w:rPr>
        <w:t xml:space="preserve"> </w:t>
      </w:r>
      <w:r>
        <w:rPr>
          <w:color w:val="auto"/>
          <w:szCs w:val="21"/>
          <w:highlight w:val="none"/>
          <w:u w:val="single"/>
        </w:rPr>
        <w:t xml:space="preserve">           </w:t>
      </w:r>
      <w:r>
        <w:rPr>
          <w:rFonts w:hint="eastAsia"/>
          <w:color w:val="auto"/>
          <w:szCs w:val="21"/>
          <w:highlight w:val="none"/>
        </w:rPr>
        <w:t>月</w:t>
      </w:r>
      <w:r>
        <w:rPr>
          <w:color w:val="auto"/>
          <w:szCs w:val="21"/>
          <w:highlight w:val="none"/>
        </w:rPr>
        <w:t xml:space="preserve"> </w:t>
      </w:r>
      <w:r>
        <w:rPr>
          <w:color w:val="auto"/>
          <w:szCs w:val="21"/>
          <w:highlight w:val="none"/>
          <w:u w:val="single"/>
        </w:rPr>
        <w:t xml:space="preserve">            </w:t>
      </w:r>
      <w:r>
        <w:rPr>
          <w:rFonts w:hint="eastAsia"/>
          <w:color w:val="auto"/>
          <w:szCs w:val="21"/>
          <w:highlight w:val="none"/>
        </w:rPr>
        <w:t>日</w:t>
      </w:r>
    </w:p>
    <w:p w14:paraId="2997E418">
      <w:pPr>
        <w:ind w:right="-178" w:rightChars="-85"/>
        <w:jc w:val="center"/>
        <w:rPr>
          <w:rFonts w:hint="eastAsia"/>
          <w:b/>
          <w:color w:val="auto"/>
          <w:sz w:val="32"/>
          <w:szCs w:val="32"/>
          <w:highlight w:val="none"/>
        </w:rPr>
      </w:pPr>
    </w:p>
    <w:p w14:paraId="2B16D414">
      <w:pPr>
        <w:rPr>
          <w:rFonts w:ascii="仿宋" w:hAnsi="仿宋" w:eastAsia="仿宋" w:cs="仿宋"/>
          <w:b/>
          <w:bCs/>
          <w:color w:val="auto"/>
          <w:kern w:val="0"/>
          <w:sz w:val="30"/>
          <w:szCs w:val="30"/>
          <w:highlight w:val="none"/>
        </w:rPr>
      </w:pPr>
    </w:p>
    <w:p w14:paraId="73F5A1DA">
      <w:pPr>
        <w:pStyle w:val="2"/>
        <w:rPr>
          <w:rFonts w:ascii="仿宋" w:hAnsi="仿宋" w:eastAsia="仿宋" w:cs="仿宋"/>
          <w:b/>
          <w:bCs/>
          <w:color w:val="auto"/>
          <w:kern w:val="0"/>
          <w:sz w:val="30"/>
          <w:szCs w:val="30"/>
          <w:highlight w:val="none"/>
        </w:rPr>
      </w:pPr>
    </w:p>
    <w:p w14:paraId="26EBA9CE">
      <w:pPr>
        <w:pStyle w:val="47"/>
        <w:rPr>
          <w:rFonts w:ascii="仿宋" w:hAnsi="仿宋" w:eastAsia="仿宋" w:cs="仿宋"/>
          <w:b/>
          <w:bCs/>
          <w:color w:val="auto"/>
          <w:kern w:val="0"/>
          <w:sz w:val="30"/>
          <w:szCs w:val="30"/>
          <w:highlight w:val="none"/>
        </w:rPr>
      </w:pPr>
    </w:p>
    <w:p w14:paraId="013D2C48">
      <w:pPr>
        <w:rPr>
          <w:rFonts w:ascii="仿宋" w:hAnsi="仿宋" w:eastAsia="仿宋" w:cs="仿宋"/>
          <w:b/>
          <w:bCs/>
          <w:color w:val="auto"/>
          <w:kern w:val="0"/>
          <w:sz w:val="30"/>
          <w:szCs w:val="30"/>
          <w:highlight w:val="none"/>
        </w:rPr>
      </w:pPr>
    </w:p>
    <w:p w14:paraId="2731793E">
      <w:pPr>
        <w:pStyle w:val="2"/>
        <w:rPr>
          <w:rFonts w:ascii="仿宋" w:hAnsi="仿宋" w:eastAsia="仿宋" w:cs="仿宋"/>
          <w:b/>
          <w:bCs/>
          <w:color w:val="auto"/>
          <w:kern w:val="0"/>
          <w:sz w:val="30"/>
          <w:szCs w:val="30"/>
          <w:highlight w:val="none"/>
        </w:rPr>
      </w:pPr>
    </w:p>
    <w:p w14:paraId="4784CFA7">
      <w:pPr>
        <w:pStyle w:val="47"/>
        <w:rPr>
          <w:color w:val="auto"/>
          <w:highlight w:val="none"/>
        </w:rPr>
      </w:pPr>
    </w:p>
    <w:p w14:paraId="1E1E1156">
      <w:pPr>
        <w:rPr>
          <w:color w:val="auto"/>
          <w:highlight w:val="none"/>
        </w:rPr>
      </w:pPr>
    </w:p>
    <w:p w14:paraId="1E3A77D2">
      <w:pPr>
        <w:rPr>
          <w:color w:val="auto"/>
          <w:highlight w:val="none"/>
        </w:rPr>
      </w:pPr>
    </w:p>
    <w:p w14:paraId="6176A1E7">
      <w:pPr>
        <w:pStyle w:val="3"/>
        <w:spacing w:before="200" w:after="200" w:line="600" w:lineRule="exact"/>
        <w:rPr>
          <w:rFonts w:hint="eastAsia" w:ascii="黑体" w:hAnsi="黑体" w:eastAsia="黑体"/>
          <w:color w:val="auto"/>
          <w:sz w:val="28"/>
          <w:szCs w:val="28"/>
          <w:highlight w:val="none"/>
        </w:rPr>
      </w:pPr>
      <w:bookmarkStart w:id="178" w:name="_Toc10914"/>
      <w:bookmarkStart w:id="179" w:name="_Toc95223548"/>
      <w:bookmarkStart w:id="180" w:name="_Toc23863"/>
      <w:r>
        <w:rPr>
          <w:rFonts w:hint="eastAsia" w:ascii="黑体" w:hAnsi="黑体" w:eastAsia="黑体"/>
          <w:color w:val="auto"/>
          <w:sz w:val="36"/>
          <w:szCs w:val="28"/>
          <w:highlight w:val="none"/>
        </w:rPr>
        <w:t>附件1 关于联合惩戒失信行为加强信用查询管理的通知</w:t>
      </w:r>
      <w:bookmarkEnd w:id="178"/>
    </w:p>
    <w:p w14:paraId="7CDD806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35A0D4F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1719A5AA">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p w14:paraId="115313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1D100D3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2C55F32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66CD06E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③投标人被人力资源社会保障主管部门列入拖欠农民工工资“黑名单”的；</w:t>
      </w:r>
    </w:p>
    <w:p w14:paraId="52FB6B8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④在“信用中国”网站上披露的仍在公示期的严重失信行为的。</w:t>
      </w:r>
    </w:p>
    <w:p w14:paraId="7C0A48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03896D4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598DA95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3、滁州市公共资源交易中心网站（http://ggzy.chuzhou.gov.cn/）查询以下失信行为：</w:t>
      </w:r>
    </w:p>
    <w:p w14:paraId="2E6A21B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①被滁州市县两级公管部门取消在一定期限内的投标资格且在取消期限内的；</w:t>
      </w:r>
    </w:p>
    <w:p w14:paraId="5DB30BC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②被滁州市县两级公管部门记入不良行为记录或者信用信息记录，且在披露期内的。</w:t>
      </w:r>
    </w:p>
    <w:p w14:paraId="5C26E17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38E6AE57">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460F55D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②被滁州市县两级各行业主管部门取消在一定期限内的投标资格且在取消期限内的；</w:t>
      </w:r>
    </w:p>
    <w:p w14:paraId="1B609AE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③因拖欠农民工工资被县级及以上有关行政主管部门限制投标资格且在限制期限内的；</w:t>
      </w:r>
    </w:p>
    <w:p w14:paraId="1072B58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6ADE4D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D446A0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0AA4341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7F6E5DE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56EF7E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③在“信用中国”网站上披露的仍在公示期的严重失信行为的。</w:t>
      </w:r>
    </w:p>
    <w:p w14:paraId="6824030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394F8C8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02737E7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"http://www.ccgp.gov.cn" </w:instrText>
      </w:r>
      <w:r>
        <w:rPr>
          <w:rFonts w:hint="eastAsia" w:ascii="仿宋_GB2312" w:hAnsi="宋体" w:eastAsia="仿宋_GB2312"/>
          <w:color w:val="auto"/>
          <w:sz w:val="28"/>
          <w:szCs w:val="28"/>
          <w:highlight w:val="none"/>
        </w:rPr>
        <w:fldChar w:fldCharType="separate"/>
      </w:r>
      <w:r>
        <w:rPr>
          <w:rStyle w:val="59"/>
          <w:rFonts w:hint="eastAsia" w:ascii="仿宋_GB2312" w:hAnsi="宋体" w:eastAsia="仿宋_GB2312"/>
          <w:color w:val="auto"/>
          <w:sz w:val="28"/>
          <w:szCs w:val="28"/>
          <w:highlight w:val="none"/>
        </w:rPr>
        <w:t>www.ccgp.gov.cn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4943C70F">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政府采购严重违法失信行为</w:t>
      </w:r>
    </w:p>
    <w:p w14:paraId="72A38F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1C64329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15F0B44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6001457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5CB7218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0C4358C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AB1464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4CC7A1C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177116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BF0C3B">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w:instrText>
      </w:r>
      <w:r>
        <w:rPr>
          <w:rFonts w:hint="eastAsia" w:ascii="仿宋_GB2312" w:hAnsi="宋体" w:eastAsia="仿宋_GB2312"/>
          <w:color w:val="auto"/>
          <w:sz w:val="28"/>
          <w:szCs w:val="28"/>
          <w:highlight w:val="none"/>
        </w:rPr>
        <w:instrText xml:space="preserve">https://credit.ah.gov.cn/xinyong-fuwu/xvbahv/index.html</w:instrText>
      </w:r>
      <w:r>
        <w:rPr>
          <w:rFonts w:ascii="仿宋_GB2312" w:hAnsi="宋体" w:eastAsia="仿宋_GB2312"/>
          <w:color w:val="auto"/>
          <w:sz w:val="28"/>
          <w:szCs w:val="28"/>
          <w:highlight w:val="none"/>
        </w:rPr>
        <w:instrText xml:space="preserve">" </w:instrText>
      </w:r>
      <w:r>
        <w:rPr>
          <w:rFonts w:ascii="仿宋_GB2312" w:hAnsi="宋体" w:eastAsia="仿宋_GB2312"/>
          <w:color w:val="auto"/>
          <w:sz w:val="28"/>
          <w:szCs w:val="28"/>
          <w:highlight w:val="none"/>
        </w:rPr>
        <w:fldChar w:fldCharType="separate"/>
      </w:r>
      <w:r>
        <w:rPr>
          <w:rStyle w:val="59"/>
          <w:rFonts w:hint="eastAsia" w:ascii="仿宋_GB2312" w:hAnsi="宋体" w:eastAsia="仿宋_GB2312"/>
          <w:color w:val="auto"/>
          <w:sz w:val="28"/>
          <w:szCs w:val="28"/>
          <w:highlight w:val="none"/>
        </w:rPr>
        <w:t>https://credit.ah.gov.cn/xinyong-fuwu/xvbahv/index.html</w:t>
      </w:r>
      <w:r>
        <w:rPr>
          <w:rFonts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8456B8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A6A708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9B72902">
      <w:pPr>
        <w:adjustRightInd w:val="0"/>
        <w:snapToGrid w:val="0"/>
        <w:spacing w:line="560" w:lineRule="exact"/>
        <w:rPr>
          <w:rFonts w:hint="eastAsia"/>
          <w:color w:val="auto"/>
          <w:highlight w:val="none"/>
        </w:rPr>
      </w:pPr>
    </w:p>
    <w:p w14:paraId="1475CFA5">
      <w:pPr>
        <w:pStyle w:val="3"/>
        <w:spacing w:before="200" w:after="200" w:line="600" w:lineRule="exact"/>
        <w:rPr>
          <w:rFonts w:hint="eastAsia" w:ascii="黑体" w:hAnsi="黑体" w:eastAsia="黑体"/>
          <w:color w:val="auto"/>
          <w:sz w:val="36"/>
          <w:szCs w:val="28"/>
          <w:highlight w:val="none"/>
        </w:rPr>
      </w:pPr>
      <w:bookmarkStart w:id="181" w:name="_Toc12420"/>
      <w:r>
        <w:rPr>
          <w:rFonts w:hint="eastAsia" w:ascii="黑体" w:hAnsi="黑体" w:eastAsia="黑体"/>
          <w:color w:val="auto"/>
          <w:sz w:val="36"/>
          <w:szCs w:val="28"/>
          <w:highlight w:val="none"/>
        </w:rPr>
        <w:t>附件2 “信用中国”查询的严重失信行为类别及判定依据</w:t>
      </w:r>
      <w:bookmarkEnd w:id="181"/>
    </w:p>
    <w:p w14:paraId="00CBCF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340004D8">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55D31C3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（一）发生较大及以上生产安全责任事故，或1年内累计发生3起及以上造成人员死亡的一般生产安全责任事故的；</w:t>
      </w:r>
    </w:p>
    <w:p w14:paraId="5A3764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（二）未按规定取得安全生产许可，擅自开展生产经营建设活动的；</w:t>
      </w:r>
    </w:p>
    <w:p w14:paraId="54B570C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（三）发现重大生产安全事故隐患，或职业病危害严重超标，不及时整改，仍组织从业人员冒险作业的；</w:t>
      </w:r>
    </w:p>
    <w:p w14:paraId="7BE95B3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（四）采取隐蔽、欺骗或阻碍等方式逃避、对抗安全监管监察的;</w:t>
      </w:r>
    </w:p>
    <w:p w14:paraId="62CF4AB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（五）被责令停产停业整顿，仍然从事生产经营建设活动的；</w:t>
      </w:r>
    </w:p>
    <w:p w14:paraId="79D2E26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（六）瞒报、谎报、迟报生产安全事故的；</w:t>
      </w:r>
    </w:p>
    <w:p w14:paraId="6545A3A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（七）矿山、危险化学品、金属冶炼等高危行业建设项目安全设施未经验收合格即投入生产和使用的；</w:t>
      </w:r>
    </w:p>
    <w:p w14:paraId="171189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（八）矿山生产经营单位存在超层越界开采、以探代采行为的；</w:t>
      </w:r>
    </w:p>
    <w:p w14:paraId="0327FA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（九）发生事故后，故意破坏事故现场，伪造有关证据资料，妨碍、对抗事故调查，或主要负责人逃逸的；</w:t>
      </w:r>
    </w:p>
    <w:p w14:paraId="1781241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（十）安全生产和职业健康技术服务机构出具虚假报告或证明，违规转让或出借资质的。</w:t>
      </w:r>
    </w:p>
    <w:p w14:paraId="6BE8BB3C">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依据：《对安全生产领域失信行为开展联合惩戒的实施办法》</w:t>
      </w:r>
      <w:r>
        <w:rPr>
          <w:rFonts w:hint="eastAsia" w:ascii="仿宋_GB2312" w:eastAsia="仿宋_GB2312"/>
          <w:b/>
          <w:color w:val="auto"/>
          <w:sz w:val="28"/>
          <w:szCs w:val="28"/>
          <w:highlight w:val="none"/>
        </w:rPr>
        <w:t>（安监总办〔2017〕49号）第二条</w:t>
      </w:r>
    </w:p>
    <w:p w14:paraId="76E8CC09">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1A3312E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0CC1089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"https://baike.sogou.com/m/fullLemma?lid=10403954&amp;g_ut=3"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环境犯罪</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0893C0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"https://baike.sogou.com/m/fullLemma?lid=76033123&amp;g_ut=3"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建设项目环境影响评价</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7CD32C0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"https://baike.sogou.com/m/fullLemma?lid=6470550&amp;g_ut=3"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竣工环保验收</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5B1C6EC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02A70AF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30C574B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"https://baike.sogou.com/m/fullLemma?lid=41657319&amp;g_ut=3"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渗井</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"https://baike.sogou.com/m/fullLemma?lid=7758328&amp;g_ut=3"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大气污染物</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592A3B3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"https://baike.sogou.com/m/fullLemma?lid=5923292&amp;g_ut=3"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经营许可证</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948D96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"https://baike.sogou.com/m/fullLemma?lid=167759803&amp;g_ut=3"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环境违法行为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7FD56B7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"https://baike.sogou.com/m/fullLemma?lid=155199213&amp;g_ut=3"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国家重点生态功能区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"https://baike.sogou.com/m/fullLemma?lid=7757164&amp;g_ut=3"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基本农田保护区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33FDBBF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0989C6A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616BC73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1A08929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7DC0D40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B2E109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依据：《关于对环境保护领域失信生产经营单位及其有关人员开展联合惩戒的合作备忘录》、《企业环境信用评价办法（试行）》（环发〔2013〕150号）</w:t>
      </w:r>
    </w:p>
    <w:p w14:paraId="2469E327">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79CA6F84">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7B653529">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30CB322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52AFD3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602596E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38257F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0523CDD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31790AB8">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593BA1D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FA0825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0B9C1B52">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8783FCB">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CE48211">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14E20736">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DFF077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99214CA">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667BE2F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3A47658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40C1307">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536554FB">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160E9DC9">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依据：《关于对公共资源交易领域严重失信主体开展联合惩戒的备忘录》（发改法规〔2018〕457号）</w:t>
      </w:r>
    </w:p>
    <w:p w14:paraId="79C3EEE4">
      <w:pPr>
        <w:adjustRightInd w:val="0"/>
        <w:snapToGrid w:val="0"/>
        <w:spacing w:line="560" w:lineRule="exact"/>
        <w:ind w:firstLine="645"/>
        <w:jc w:val="left"/>
        <w:rPr>
          <w:rFonts w:hint="eastAsia" w:ascii="仿宋_GB2312" w:hAnsi="宋体" w:eastAsia="仿宋_GB2312"/>
          <w:color w:val="auto"/>
          <w:sz w:val="28"/>
          <w:szCs w:val="28"/>
          <w:highlight w:val="none"/>
        </w:rPr>
      </w:pPr>
    </w:p>
    <w:p w14:paraId="00B7ABBA">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447D28D">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67432333">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63ED9950">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3AA3B9A6">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0AABFCC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25C00085">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1B32DE7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451B8418">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7CB16BE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07CA7762">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依据：《关于对社会保险领域严重失信企业及其有关人员实施联合惩戒的合作备忘录》（发改财金〔2018〕1704号）</w:t>
      </w:r>
    </w:p>
    <w:p w14:paraId="28FF18DE">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0A5CF7D4">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17E1D377">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2D37BE9C">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73725FB3">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0D66DD3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6883838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6B6862D">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依据：《建筑市场信用管理暂行办法》（建市〔2017〕241号）</w:t>
      </w:r>
    </w:p>
    <w:p w14:paraId="7220A14F">
      <w:pPr>
        <w:adjustRightInd w:val="0"/>
        <w:snapToGrid w:val="0"/>
        <w:spacing w:line="560" w:lineRule="exact"/>
        <w:rPr>
          <w:rFonts w:hint="eastAsia" w:ascii="仿宋_GB2312" w:hAnsi="宋体" w:eastAsia="仿宋_GB2312"/>
          <w:b/>
          <w:color w:val="auto"/>
          <w:sz w:val="28"/>
          <w:szCs w:val="28"/>
          <w:highlight w:val="none"/>
        </w:rPr>
      </w:pPr>
    </w:p>
    <w:p w14:paraId="6C8CEE8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六、政府采购严重失信行为</w:t>
      </w:r>
    </w:p>
    <w:p w14:paraId="7F7AF06B">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p>
    <w:p w14:paraId="15E73438">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（一）三万元以上罚款；</w:t>
      </w:r>
    </w:p>
    <w:p w14:paraId="77031E6E">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（二）在一至三年内禁止参加政府采购活动（处罚期限届满的除外）；</w:t>
      </w:r>
    </w:p>
    <w:p w14:paraId="06F9040A">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（三）在一至三年内禁止代理政府采购业务（处罚期限届满的除外）；</w:t>
      </w:r>
    </w:p>
    <w:p w14:paraId="67E7EFA2">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1BAE368E">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b/>
          <w:color w:val="auto"/>
          <w:sz w:val="28"/>
          <w:szCs w:val="28"/>
          <w:highlight w:val="none"/>
        </w:rPr>
        <w:t>（</w:t>
      </w:r>
      <w:r>
        <w:rPr>
          <w:rFonts w:hint="eastAsia"/>
          <w:b/>
          <w:color w:val="auto"/>
          <w:sz w:val="28"/>
          <w:szCs w:val="28"/>
          <w:highlight w:val="none"/>
        </w:rPr>
        <w:t>财办库〔</w:t>
      </w:r>
      <w:r>
        <w:rPr>
          <w:b/>
          <w:color w:val="auto"/>
          <w:sz w:val="28"/>
          <w:szCs w:val="28"/>
          <w:highlight w:val="none"/>
        </w:rPr>
        <w:t>201</w:t>
      </w:r>
      <w:r>
        <w:rPr>
          <w:rFonts w:hint="eastAsia"/>
          <w:b/>
          <w:color w:val="auto"/>
          <w:sz w:val="28"/>
          <w:szCs w:val="28"/>
          <w:highlight w:val="none"/>
        </w:rPr>
        <w:t>4〕526</w:t>
      </w:r>
      <w:r>
        <w:rPr>
          <w:b/>
          <w:color w:val="auto"/>
          <w:sz w:val="28"/>
          <w:szCs w:val="28"/>
          <w:highlight w:val="none"/>
        </w:rPr>
        <w:t>号）</w:t>
      </w:r>
    </w:p>
    <w:p w14:paraId="64541870">
      <w:pPr>
        <w:adjustRightInd w:val="0"/>
        <w:snapToGrid w:val="0"/>
        <w:spacing w:line="560" w:lineRule="exact"/>
        <w:ind w:firstLine="562" w:firstLineChars="200"/>
        <w:rPr>
          <w:rFonts w:hint="eastAsia" w:ascii="仿宋_GB2312" w:hAnsi="宋体" w:eastAsia="仿宋_GB2312"/>
          <w:b/>
          <w:color w:val="auto"/>
          <w:sz w:val="28"/>
          <w:szCs w:val="28"/>
          <w:highlight w:val="none"/>
        </w:rPr>
      </w:pPr>
    </w:p>
    <w:p w14:paraId="6F87B42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七、水利建设领域严重失信行为</w:t>
      </w:r>
    </w:p>
    <w:p w14:paraId="22D029F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（一）1年内不良行为记录累计扣分达到20分的；</w:t>
      </w:r>
    </w:p>
    <w:p w14:paraId="61DD7A13">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（二）"重点关注名单"公开期满后仍不整改的；</w:t>
      </w:r>
    </w:p>
    <w:p w14:paraId="41361A7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（三）存在以下严重危害人民群众身体健康、生命安全和工程质量，以及特别严重违规行为之一的：</w:t>
      </w:r>
    </w:p>
    <w:p w14:paraId="02800E5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1.发生重大、特大质量或安全事故，并负有直接责任的；</w:t>
      </w:r>
    </w:p>
    <w:p w14:paraId="111FF06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2.在单位公开信息、工程相关技术成果和工程建设过程中隐瞒真实情况、弄虚作假，提供虚假材料，谋取不正当利益的；</w:t>
      </w:r>
    </w:p>
    <w:p w14:paraId="71DF9C8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3.违反有关法律、法规、规章、政策、技术标准、设计文件、合同等有关规定开展工作造成的工程质量问题，经处理后仍影响工程正常使用或减少工程使用寿命的；</w:t>
      </w:r>
    </w:p>
    <w:p w14:paraId="59C2D13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4.违反规定施工，造成生态环境严重破坏且拒不修复的；</w:t>
      </w:r>
    </w:p>
    <w:p w14:paraId="61ADD86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5.被证实恶意制造工程质量缺陷或质量隐患的；</w:t>
      </w:r>
    </w:p>
    <w:p w14:paraId="3EFDBB7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6.其他违反法律法规，造成严重后果或社会危害较大的。</w:t>
      </w:r>
    </w:p>
    <w:p w14:paraId="7C9B17C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（四）存在以下严重破坏市场公平竞争秩序和社会正常秩序行为之一的：</w:t>
      </w:r>
    </w:p>
    <w:p w14:paraId="0257996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1.不按合同约定，恶意拖欠承包人项目款的；</w:t>
      </w:r>
    </w:p>
    <w:p w14:paraId="7C84315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2.隐瞒有关情况或者提供虚假材料申请资质的，在全国水利建设市场监管服务平台公开虚假信息的，以欺骗、贿赂等不正当手段取得资质等级证书的；</w:t>
      </w:r>
    </w:p>
    <w:p w14:paraId="0907D69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3.出借、借用资质证书,允许他人以本单位名义或借用他人名义等弄虚作假方式承揽业务的；</w:t>
      </w:r>
    </w:p>
    <w:p w14:paraId="415FFDC9">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4.未取得相应资质或超越资质证书核定范围、营业范围承揽业务的；</w:t>
      </w:r>
    </w:p>
    <w:p w14:paraId="21C45F7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5.操纵招标过程，谋取不正当利益的；</w:t>
      </w:r>
    </w:p>
    <w:p w14:paraId="714777A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6.与招标人或投标人串通投标的；</w:t>
      </w:r>
    </w:p>
    <w:p w14:paraId="21A820A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7.以向招标人或评标委员会成员行贿的手段谋取中标的；</w:t>
      </w:r>
    </w:p>
    <w:p w14:paraId="4B2F275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8.中标后，无正当理由不签订合同的；</w:t>
      </w:r>
    </w:p>
    <w:p w14:paraId="6959B0D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9.转包或违法分包所承揽业务的；</w:t>
      </w:r>
    </w:p>
    <w:p w14:paraId="606DF43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10.弄虚作假，以欺诈手段降低工程或设备质量的；</w:t>
      </w:r>
    </w:p>
    <w:p w14:paraId="6648CF5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11.单位行贿、受贿，受到刑事处罚的；</w:t>
      </w:r>
    </w:p>
    <w:p w14:paraId="649D0BF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12.逃税骗税、恶意逃废债务的；</w:t>
      </w:r>
    </w:p>
    <w:p w14:paraId="206D800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13.参与非法集资，受到刑事处罚的；</w:t>
      </w:r>
    </w:p>
    <w:p w14:paraId="68E3C1F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14.在签订、履行合同过程中，存在合同欺诈行为，受到刑事处罚的；</w:t>
      </w:r>
    </w:p>
    <w:p w14:paraId="7D124A96">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15.虚构工程项目，套取资金的；</w:t>
      </w:r>
    </w:p>
    <w:p w14:paraId="7A323180">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16.克扣、无故拖欠农民工工资报酬，数额达到认定拒不支付劳动报酬罪数额标准的；</w:t>
      </w:r>
    </w:p>
    <w:p w14:paraId="3ED0DF1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17.发生社会公共事件，影响较大，并负有直接责任的。</w:t>
      </w:r>
    </w:p>
    <w:p w14:paraId="4F3232C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（五）存在以下拒不履行法定义务，严重影响司法机关、行政机关公信力行为之一的：</w:t>
      </w:r>
    </w:p>
    <w:p w14:paraId="34FFA4B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1.发生事故拒绝接受调查或拒绝提供有关资料的；</w:t>
      </w:r>
    </w:p>
    <w:p w14:paraId="13FA6B33">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2.拒不执行生效的行政处罚决定的；</w:t>
      </w:r>
    </w:p>
    <w:p w14:paraId="77DE841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3.拒不执行仲裁、法院判决结果的。</w:t>
      </w:r>
    </w:p>
    <w:p w14:paraId="7362365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（六）被相关联合惩戒部门列入"黑名单"，符合联合惩戒措施的。</w:t>
      </w:r>
    </w:p>
    <w:p w14:paraId="1F5EEC0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生产建设项目水土保持市场主体"黑名单"列入标准见《水利建设市场主体信用信息管理办法》附件。</w:t>
      </w:r>
    </w:p>
    <w:p w14:paraId="2E5F707A">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依据：《水利建设市场主体信用评价管理办法》水建设〔2019〕307号、《水利建设市场主体信用信息管理办法》水建设〔2019〕306号</w:t>
      </w:r>
    </w:p>
    <w:p w14:paraId="6EFD78C6">
      <w:pPr>
        <w:adjustRightInd w:val="0"/>
        <w:snapToGrid w:val="0"/>
        <w:spacing w:line="560" w:lineRule="exact"/>
        <w:ind w:firstLine="615"/>
        <w:rPr>
          <w:rFonts w:hint="eastAsia" w:ascii="仿宋_GB2312" w:hAnsi="宋体" w:eastAsia="仿宋_GB2312"/>
          <w:b/>
          <w:color w:val="auto"/>
          <w:sz w:val="28"/>
          <w:szCs w:val="28"/>
          <w:highlight w:val="none"/>
        </w:rPr>
      </w:pPr>
    </w:p>
    <w:p w14:paraId="4440E615">
      <w:pPr>
        <w:adjustRightInd w:val="0"/>
        <w:snapToGrid w:val="0"/>
        <w:spacing w:line="560" w:lineRule="exact"/>
        <w:ind w:firstLine="615"/>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bookmarkEnd w:id="179"/>
    <w:p w14:paraId="4FFC0806">
      <w:pPr>
        <w:rPr>
          <w:rFonts w:hint="eastAsia" w:ascii="宋体" w:hAnsi="宋体" w:eastAsia="宋体" w:cs="宋体"/>
          <w:color w:val="auto"/>
          <w:highlight w:val="none"/>
          <w:lang w:val="en-US" w:eastAsia="zh-CN"/>
        </w:rPr>
      </w:pPr>
    </w:p>
    <w:p w14:paraId="104A31FD">
      <w:pPr>
        <w:pStyle w:val="47"/>
        <w:rPr>
          <w:rFonts w:hint="eastAsia" w:ascii="宋体" w:hAnsi="宋体" w:eastAsia="宋体" w:cs="宋体"/>
          <w:color w:val="auto"/>
          <w:highlight w:val="none"/>
          <w:lang w:val="en-US" w:eastAsia="zh-CN"/>
        </w:rPr>
      </w:pPr>
    </w:p>
    <w:p w14:paraId="69CEDC90">
      <w:pPr>
        <w:rPr>
          <w:rFonts w:hint="eastAsia" w:ascii="宋体" w:hAnsi="宋体" w:eastAsia="宋体" w:cs="宋体"/>
          <w:color w:val="auto"/>
          <w:highlight w:val="none"/>
          <w:lang w:val="en-US" w:eastAsia="zh-CN"/>
        </w:rPr>
      </w:pPr>
    </w:p>
    <w:p w14:paraId="58F391DB">
      <w:pPr>
        <w:pStyle w:val="47"/>
        <w:rPr>
          <w:rFonts w:hint="eastAsia"/>
          <w:color w:val="auto"/>
          <w:highlight w:val="none"/>
          <w:lang w:val="en-US" w:eastAsia="zh-CN"/>
        </w:rPr>
      </w:pPr>
    </w:p>
    <w:p w14:paraId="0ABBB40B">
      <w:pPr>
        <w:rPr>
          <w:rFonts w:hint="eastAsia"/>
          <w:color w:val="auto"/>
          <w:highlight w:val="none"/>
          <w:lang w:val="en-US" w:eastAsia="zh-CN"/>
        </w:rPr>
      </w:pPr>
    </w:p>
    <w:p w14:paraId="28C8F5AE">
      <w:pPr>
        <w:pStyle w:val="47"/>
        <w:rPr>
          <w:rFonts w:hint="eastAsia"/>
          <w:color w:val="auto"/>
          <w:highlight w:val="none"/>
          <w:lang w:val="en-US" w:eastAsia="zh-CN"/>
        </w:rPr>
      </w:pPr>
    </w:p>
    <w:p w14:paraId="35C3969B">
      <w:pPr>
        <w:rPr>
          <w:rFonts w:hint="eastAsia"/>
          <w:color w:val="auto"/>
          <w:highlight w:val="none"/>
          <w:lang w:val="en-US" w:eastAsia="zh-CN"/>
        </w:rPr>
      </w:pPr>
    </w:p>
    <w:p w14:paraId="00D2822F">
      <w:pPr>
        <w:pStyle w:val="47"/>
        <w:rPr>
          <w:rFonts w:hint="eastAsia"/>
          <w:color w:val="auto"/>
          <w:highlight w:val="none"/>
          <w:lang w:val="en-US" w:eastAsia="zh-CN"/>
        </w:rPr>
      </w:pPr>
    </w:p>
    <w:p w14:paraId="7E5E311A">
      <w:pPr>
        <w:rPr>
          <w:rFonts w:hint="eastAsia"/>
          <w:color w:val="auto"/>
          <w:highlight w:val="none"/>
          <w:lang w:val="en-US" w:eastAsia="zh-CN"/>
        </w:rPr>
      </w:pPr>
    </w:p>
    <w:p w14:paraId="0BA82EFB">
      <w:pPr>
        <w:pStyle w:val="47"/>
        <w:rPr>
          <w:rFonts w:hint="eastAsia"/>
          <w:color w:val="auto"/>
          <w:highlight w:val="none"/>
          <w:lang w:val="en-US" w:eastAsia="zh-CN"/>
        </w:rPr>
      </w:pPr>
    </w:p>
    <w:p w14:paraId="55C0F80F">
      <w:pPr>
        <w:rPr>
          <w:rFonts w:hint="eastAsia"/>
          <w:color w:val="auto"/>
          <w:highlight w:val="none"/>
          <w:lang w:val="en-US" w:eastAsia="zh-CN"/>
        </w:rPr>
      </w:pPr>
    </w:p>
    <w:p w14:paraId="5DF773F9">
      <w:pPr>
        <w:pStyle w:val="47"/>
        <w:rPr>
          <w:rFonts w:hint="eastAsia"/>
          <w:color w:val="auto"/>
          <w:highlight w:val="none"/>
          <w:lang w:val="en-US" w:eastAsia="zh-CN"/>
        </w:rPr>
      </w:pPr>
    </w:p>
    <w:p w14:paraId="712BB631">
      <w:pPr>
        <w:rPr>
          <w:rFonts w:hint="eastAsia"/>
          <w:color w:val="auto"/>
          <w:highlight w:val="none"/>
          <w:lang w:val="en-US" w:eastAsia="zh-CN"/>
        </w:rPr>
      </w:pPr>
    </w:p>
    <w:p w14:paraId="2265E330">
      <w:pPr>
        <w:pStyle w:val="47"/>
        <w:rPr>
          <w:rFonts w:hint="eastAsia"/>
          <w:color w:val="auto"/>
          <w:highlight w:val="none"/>
          <w:lang w:val="en-US" w:eastAsia="zh-CN"/>
        </w:rPr>
      </w:pPr>
    </w:p>
    <w:p w14:paraId="0D0BA295">
      <w:pPr>
        <w:rPr>
          <w:rFonts w:hint="eastAsia"/>
          <w:color w:val="auto"/>
          <w:highlight w:val="none"/>
          <w:lang w:val="en-US" w:eastAsia="zh-CN"/>
        </w:rPr>
      </w:pPr>
    </w:p>
    <w:p w14:paraId="0EA5FEDA">
      <w:pPr>
        <w:pStyle w:val="47"/>
        <w:rPr>
          <w:rFonts w:hint="eastAsia"/>
          <w:color w:val="auto"/>
          <w:highlight w:val="none"/>
          <w:lang w:val="en-US" w:eastAsia="zh-CN"/>
        </w:rPr>
      </w:pPr>
    </w:p>
    <w:p w14:paraId="08BE9109">
      <w:pPr>
        <w:rPr>
          <w:rFonts w:hint="eastAsia"/>
          <w:color w:val="auto"/>
          <w:highlight w:val="none"/>
          <w:lang w:val="en-US" w:eastAsia="zh-CN"/>
        </w:rPr>
      </w:pPr>
    </w:p>
    <w:p w14:paraId="012CD402">
      <w:pPr>
        <w:pStyle w:val="47"/>
        <w:rPr>
          <w:rFonts w:hint="eastAsia"/>
          <w:color w:val="auto"/>
          <w:highlight w:val="none"/>
          <w:lang w:val="en-US" w:eastAsia="zh-CN"/>
        </w:rPr>
      </w:pPr>
    </w:p>
    <w:p w14:paraId="76BF5FC5">
      <w:pPr>
        <w:pStyle w:val="3"/>
        <w:spacing w:before="0" w:after="0"/>
        <w:rPr>
          <w:rFonts w:hint="eastAsia" w:ascii="宋体" w:hAnsi="宋体" w:eastAsia="宋体" w:cs="宋体"/>
          <w:color w:val="auto"/>
          <w:highlight w:val="none"/>
          <w:lang w:val="en-US" w:eastAsia="zh-CN"/>
        </w:rPr>
      </w:pPr>
      <w:bookmarkStart w:id="182" w:name="_Toc31259"/>
      <w:r>
        <w:rPr>
          <w:rFonts w:hint="eastAsia" w:ascii="宋体" w:hAnsi="宋体" w:eastAsia="宋体" w:cs="宋体"/>
          <w:color w:val="auto"/>
          <w:highlight w:val="none"/>
          <w:lang w:val="en-US" w:eastAsia="zh-CN"/>
        </w:rPr>
        <w:t>第七章招标单位、招标代理机构对本招标文件的确认</w:t>
      </w:r>
      <w:bookmarkEnd w:id="180"/>
      <w:bookmarkEnd w:id="182"/>
    </w:p>
    <w:tbl>
      <w:tblPr>
        <w:tblStyle w:val="4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28C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09660384">
            <w:pPr>
              <w:spacing w:line="320" w:lineRule="atLeast"/>
              <w:ind w:firstLine="560" w:firstLineChars="200"/>
              <w:rPr>
                <w:rFonts w:hint="eastAsia" w:ascii="宋体" w:hAnsi="宋体" w:eastAsia="宋体" w:cs="宋体"/>
                <w:color w:val="auto"/>
                <w:sz w:val="28"/>
                <w:szCs w:val="28"/>
                <w:highlight w:val="none"/>
              </w:rPr>
            </w:pPr>
          </w:p>
          <w:p w14:paraId="55695469">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cs="宋体"/>
                <w:color w:val="auto"/>
                <w:sz w:val="28"/>
                <w:szCs w:val="28"/>
                <w:highlight w:val="none"/>
                <w:u w:val="single"/>
                <w:lang w:eastAsia="zh-CN"/>
              </w:rPr>
              <w:t>工投科技产业园1号厂房变压器及配套设备采购及安装项目</w:t>
            </w:r>
            <w:r>
              <w:rPr>
                <w:rFonts w:hint="eastAsia" w:ascii="宋体" w:hAnsi="宋体" w:eastAsia="宋体" w:cs="宋体"/>
                <w:color w:val="auto"/>
                <w:sz w:val="28"/>
                <w:szCs w:val="28"/>
                <w:highlight w:val="none"/>
              </w:rPr>
              <w:t>的招标文件进行确认。</w:t>
            </w:r>
          </w:p>
          <w:p w14:paraId="02F0B2C7">
            <w:pPr>
              <w:spacing w:line="320" w:lineRule="atLeast"/>
              <w:ind w:firstLine="560" w:firstLineChars="200"/>
              <w:rPr>
                <w:rFonts w:hint="eastAsia" w:ascii="宋体" w:hAnsi="宋体" w:eastAsia="宋体" w:cs="宋体"/>
                <w:color w:val="auto"/>
                <w:sz w:val="28"/>
                <w:szCs w:val="28"/>
                <w:highlight w:val="none"/>
              </w:rPr>
            </w:pPr>
          </w:p>
          <w:p w14:paraId="0C8108E3">
            <w:pPr>
              <w:spacing w:line="700" w:lineRule="exact"/>
              <w:ind w:firstLine="600" w:firstLineChars="200"/>
              <w:jc w:val="left"/>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招标单位：</w:t>
            </w:r>
            <w:r>
              <w:rPr>
                <w:rFonts w:hint="eastAsia" w:ascii="宋体" w:hAnsi="宋体" w:cs="宋体"/>
                <w:color w:val="auto"/>
                <w:sz w:val="30"/>
                <w:highlight w:val="none"/>
                <w:lang w:eastAsia="zh-CN"/>
              </w:rPr>
              <w:t>滁州工投科技产业园</w:t>
            </w:r>
            <w:r>
              <w:rPr>
                <w:rFonts w:hint="eastAsia" w:ascii="宋体" w:hAnsi="宋体" w:cs="宋体"/>
                <w:color w:val="auto"/>
                <w:sz w:val="30"/>
                <w:highlight w:val="none"/>
                <w:lang w:val="en-US" w:eastAsia="zh-CN"/>
              </w:rPr>
              <w:t>发展</w:t>
            </w:r>
            <w:r>
              <w:rPr>
                <w:rFonts w:hint="eastAsia" w:ascii="宋体" w:hAnsi="宋体" w:cs="宋体"/>
                <w:color w:val="auto"/>
                <w:sz w:val="30"/>
                <w:highlight w:val="none"/>
                <w:lang w:eastAsia="zh-CN"/>
              </w:rPr>
              <w:t>有限公司</w:t>
            </w:r>
            <w:r>
              <w:rPr>
                <w:rFonts w:hint="eastAsia" w:ascii="宋体" w:hAnsi="宋体" w:eastAsia="宋体" w:cs="宋体"/>
                <w:color w:val="auto"/>
                <w:sz w:val="30"/>
                <w:highlight w:val="none"/>
              </w:rPr>
              <w:t xml:space="preserve">  </w:t>
            </w:r>
            <w:r>
              <w:rPr>
                <w:rFonts w:hint="eastAsia" w:ascii="宋体" w:hAnsi="宋体" w:eastAsia="宋体" w:cs="宋体"/>
                <w:color w:val="auto"/>
                <w:sz w:val="30"/>
                <w:highlight w:val="none"/>
                <w:lang w:val="en-US" w:eastAsia="zh-CN"/>
              </w:rPr>
              <w:t xml:space="preserve">  </w:t>
            </w:r>
          </w:p>
          <w:p w14:paraId="2663CD02">
            <w:pPr>
              <w:spacing w:line="700" w:lineRule="exact"/>
              <w:ind w:firstLine="600" w:firstLineChars="200"/>
              <w:jc w:val="both"/>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经 办 人：</w:t>
            </w:r>
            <w:r>
              <w:rPr>
                <w:rFonts w:hint="eastAsia" w:ascii="宋体" w:hAnsi="宋体" w:cs="宋体"/>
                <w:color w:val="auto"/>
                <w:sz w:val="30"/>
                <w:highlight w:val="none"/>
                <w:lang w:val="en-US" w:eastAsia="zh-CN"/>
              </w:rPr>
              <w:t>张杰</w:t>
            </w:r>
          </w:p>
          <w:p w14:paraId="7CC83E7B">
            <w:pPr>
              <w:spacing w:line="700" w:lineRule="exact"/>
              <w:ind w:firstLine="600" w:firstLineChars="200"/>
              <w:rPr>
                <w:rFonts w:hint="eastAsia" w:ascii="宋体" w:hAnsi="宋体" w:cs="宋体"/>
                <w:color w:val="auto"/>
                <w:sz w:val="30"/>
                <w:highlight w:val="none"/>
                <w:lang w:eastAsia="zh-CN"/>
              </w:rPr>
            </w:pPr>
            <w:r>
              <w:rPr>
                <w:rFonts w:hint="eastAsia" w:ascii="宋体" w:hAnsi="宋体" w:eastAsia="宋体" w:cs="宋体"/>
                <w:color w:val="auto"/>
                <w:sz w:val="30"/>
                <w:highlight w:val="none"/>
              </w:rPr>
              <w:t>联系电话：</w:t>
            </w:r>
            <w:r>
              <w:rPr>
                <w:rFonts w:hint="eastAsia" w:ascii="宋体" w:hAnsi="宋体" w:cs="宋体"/>
                <w:color w:val="auto"/>
                <w:sz w:val="30"/>
                <w:highlight w:val="none"/>
                <w:lang w:eastAsia="zh-CN"/>
              </w:rPr>
              <w:t>0550-3211000</w:t>
            </w:r>
          </w:p>
          <w:p w14:paraId="05195729">
            <w:pPr>
              <w:spacing w:line="700" w:lineRule="exact"/>
              <w:ind w:firstLine="560" w:firstLineChars="200"/>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eastAsia="zh-CN"/>
              </w:rPr>
              <w:t>监督电话：</w:t>
            </w:r>
            <w:r>
              <w:rPr>
                <w:rFonts w:hint="eastAsia" w:ascii="宋体" w:hAnsi="宋体" w:cs="Times New Roman"/>
                <w:color w:val="auto"/>
                <w:sz w:val="28"/>
                <w:szCs w:val="28"/>
                <w:highlight w:val="none"/>
                <w:lang w:eastAsia="zh-CN"/>
              </w:rPr>
              <w:t>0550-3018133</w:t>
            </w:r>
            <w:r>
              <w:rPr>
                <w:rFonts w:hint="eastAsia" w:ascii="宋体" w:hAnsi="宋体" w:eastAsia="宋体" w:cs="Times New Roman"/>
                <w:color w:val="auto"/>
                <w:sz w:val="28"/>
                <w:szCs w:val="28"/>
                <w:highlight w:val="none"/>
                <w:lang w:eastAsia="zh-CN"/>
              </w:rPr>
              <w:t> </w:t>
            </w:r>
          </w:p>
          <w:p w14:paraId="3A0A7942">
            <w:pPr>
              <w:spacing w:line="700" w:lineRule="exact"/>
              <w:ind w:firstLine="560" w:firstLineChars="200"/>
              <w:jc w:val="center"/>
              <w:rPr>
                <w:rFonts w:hint="eastAsia" w:ascii="宋体" w:hAnsi="宋体" w:eastAsia="宋体"/>
                <w:color w:val="auto"/>
                <w:sz w:val="30"/>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58E21503">
            <w:pPr>
              <w:spacing w:line="500" w:lineRule="exact"/>
              <w:ind w:firstLine="600" w:firstLineChars="200"/>
              <w:rPr>
                <w:rFonts w:hint="eastAsia" w:ascii="宋体" w:hAnsi="宋体" w:eastAsia="宋体" w:cs="宋体"/>
                <w:color w:val="auto"/>
                <w:sz w:val="30"/>
                <w:highlight w:val="none"/>
                <w:lang w:val="en-US" w:eastAsia="zh-CN"/>
              </w:rPr>
            </w:pPr>
          </w:p>
          <w:p w14:paraId="5EDA1525">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年6月</w:t>
            </w:r>
            <w:r>
              <w:rPr>
                <w:rFonts w:hint="eastAsia" w:ascii="宋体" w:hAnsi="宋体" w:cs="宋体"/>
                <w:color w:val="auto"/>
                <w:sz w:val="28"/>
                <w:szCs w:val="28"/>
                <w:highlight w:val="none"/>
                <w:lang w:val="en-US" w:eastAsia="zh-CN"/>
              </w:rPr>
              <w:t>23</w:t>
            </w:r>
            <w:r>
              <w:rPr>
                <w:rFonts w:hint="eastAsia" w:ascii="宋体" w:hAnsi="宋体" w:cs="宋体"/>
                <w:color w:val="auto"/>
                <w:sz w:val="28"/>
                <w:szCs w:val="28"/>
                <w:highlight w:val="none"/>
                <w:lang w:eastAsia="zh-CN"/>
              </w:rPr>
              <w:t>日</w:t>
            </w:r>
          </w:p>
        </w:tc>
      </w:tr>
      <w:tr w14:paraId="5ECD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710C9E97">
            <w:pPr>
              <w:spacing w:line="320" w:lineRule="atLeast"/>
              <w:ind w:firstLine="560" w:firstLineChars="200"/>
              <w:rPr>
                <w:rFonts w:hint="eastAsia" w:ascii="宋体" w:hAnsi="宋体" w:eastAsia="宋体" w:cs="宋体"/>
                <w:color w:val="auto"/>
                <w:sz w:val="28"/>
                <w:szCs w:val="28"/>
                <w:highlight w:val="none"/>
              </w:rPr>
            </w:pPr>
          </w:p>
          <w:p w14:paraId="0CCB65F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4DCBC46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r>
              <w:rPr>
                <w:rFonts w:hint="eastAsia" w:ascii="宋体" w:hAnsi="宋体" w:eastAsia="宋体" w:cs="宋体"/>
                <w:color w:val="auto"/>
                <w:sz w:val="28"/>
                <w:szCs w:val="28"/>
                <w:highlight w:val="none"/>
              </w:rPr>
              <w:t xml:space="preserve"> </w:t>
            </w:r>
          </w:p>
          <w:p w14:paraId="79A129CC">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 0550-35195</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18712012204</w:t>
            </w:r>
          </w:p>
          <w:p w14:paraId="007A61A0">
            <w:pPr>
              <w:rPr>
                <w:rFonts w:hint="eastAsia" w:ascii="宋体" w:hAnsi="宋体" w:eastAsia="宋体" w:cs="宋体"/>
                <w:color w:val="auto"/>
                <w:sz w:val="28"/>
                <w:szCs w:val="28"/>
                <w:highlight w:val="none"/>
              </w:rPr>
            </w:pPr>
          </w:p>
          <w:p w14:paraId="739189A1">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1F74A53A">
            <w:pPr>
              <w:ind w:firstLine="4900" w:firstLineChars="17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7760108B">
            <w:pPr>
              <w:ind w:firstLine="5740" w:firstLineChars="20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bookmarkStart w:id="183" w:name="_GoBack"/>
            <w:bookmarkEnd w:id="183"/>
            <w:r>
              <w:rPr>
                <w:rFonts w:hint="eastAsia" w:ascii="宋体" w:hAnsi="宋体" w:cs="宋体"/>
                <w:color w:val="auto"/>
                <w:sz w:val="28"/>
                <w:szCs w:val="28"/>
                <w:highlight w:val="none"/>
                <w:lang w:eastAsia="zh-CN"/>
              </w:rPr>
              <w:t>年6月</w:t>
            </w:r>
            <w:r>
              <w:rPr>
                <w:rFonts w:hint="eastAsia" w:ascii="宋体" w:hAnsi="宋体" w:cs="宋体"/>
                <w:color w:val="auto"/>
                <w:sz w:val="28"/>
                <w:szCs w:val="28"/>
                <w:highlight w:val="none"/>
                <w:lang w:val="en-US" w:eastAsia="zh-CN"/>
              </w:rPr>
              <w:t>23</w:t>
            </w:r>
            <w:r>
              <w:rPr>
                <w:rFonts w:hint="eastAsia" w:ascii="宋体" w:hAnsi="宋体" w:cs="宋体"/>
                <w:color w:val="auto"/>
                <w:sz w:val="28"/>
                <w:szCs w:val="28"/>
                <w:highlight w:val="none"/>
                <w:lang w:eastAsia="zh-CN"/>
              </w:rPr>
              <w:t>日</w:t>
            </w:r>
          </w:p>
        </w:tc>
      </w:tr>
    </w:tbl>
    <w:p w14:paraId="3F2D5FAA">
      <w:pPr>
        <w:pStyle w:val="17"/>
        <w:jc w:val="left"/>
        <w:rPr>
          <w:rFonts w:ascii="仿宋" w:hAnsi="仿宋" w:eastAsia="仿宋" w:cs="仿宋"/>
          <w:color w:val="auto"/>
          <w:kern w:val="0"/>
          <w:sz w:val="24"/>
          <w:szCs w:val="24"/>
          <w:highlight w:val="none"/>
        </w:rPr>
      </w:pPr>
    </w:p>
    <w:p w14:paraId="34FE805E">
      <w:pPr>
        <w:pStyle w:val="17"/>
        <w:jc w:val="left"/>
        <w:rPr>
          <w:rFonts w:ascii="仿宋" w:hAnsi="仿宋" w:eastAsia="仿宋" w:cs="仿宋"/>
          <w:color w:val="auto"/>
          <w:kern w:val="0"/>
          <w:sz w:val="24"/>
          <w:szCs w:val="24"/>
          <w:highlight w:val="none"/>
        </w:rPr>
      </w:pPr>
    </w:p>
    <w:p w14:paraId="256DB549">
      <w:pPr>
        <w:pStyle w:val="17"/>
        <w:jc w:val="left"/>
        <w:rPr>
          <w:rFonts w:ascii="仿宋" w:hAnsi="仿宋" w:eastAsia="仿宋" w:cs="仿宋"/>
          <w:color w:val="auto"/>
          <w:kern w:val="0"/>
          <w:sz w:val="24"/>
          <w:szCs w:val="24"/>
          <w:highlight w:val="none"/>
        </w:rPr>
      </w:pPr>
    </w:p>
    <w:p w14:paraId="5FAA8BCB">
      <w:pPr>
        <w:pStyle w:val="17"/>
        <w:jc w:val="left"/>
        <w:rPr>
          <w:rFonts w:ascii="仿宋" w:hAnsi="仿宋" w:eastAsia="仿宋" w:cs="仿宋"/>
          <w:color w:val="auto"/>
          <w:kern w:val="0"/>
          <w:sz w:val="24"/>
          <w:szCs w:val="24"/>
          <w:highlight w:val="none"/>
        </w:rPr>
      </w:pPr>
    </w:p>
    <w:p w14:paraId="4944ABE4">
      <w:pPr>
        <w:pStyle w:val="17"/>
        <w:jc w:val="left"/>
        <w:rPr>
          <w:rFonts w:hint="eastAsia" w:ascii="仿宋" w:hAnsi="仿宋" w:eastAsia="仿宋" w:cs="仿宋"/>
          <w:color w:val="auto"/>
          <w:kern w:val="0"/>
          <w:sz w:val="24"/>
          <w:szCs w:val="24"/>
          <w:highlight w:val="none"/>
          <w:lang w:eastAsia="zh-CN"/>
        </w:rPr>
      </w:pPr>
    </w:p>
    <w:sectPr>
      <w:footerReference r:id="rId6"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E615">
    <w:pPr>
      <w:pStyle w:val="30"/>
      <w:rPr>
        <w:rStyle w:val="52"/>
      </w:rPr>
    </w:pPr>
  </w:p>
  <w:p w14:paraId="6D3F3BEE">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C54B0B"/>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DC54B0B"/>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9046">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CB8615">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13CB8615">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C135">
    <w:pPr>
      <w:pStyle w:val="30"/>
      <w:rPr>
        <w:rStyle w:val="5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12F24">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E12F24">
                    <w:pPr>
                      <w:pStyle w:val="30"/>
                    </w:pPr>
                    <w:r>
                      <w:fldChar w:fldCharType="begin"/>
                    </w:r>
                    <w:r>
                      <w:instrText xml:space="preserve"> PAGE  \* MERGEFORMAT </w:instrText>
                    </w:r>
                    <w:r>
                      <w:fldChar w:fldCharType="separate"/>
                    </w:r>
                    <w:r>
                      <w:t>19</w:t>
                    </w:r>
                    <w:r>
                      <w:fldChar w:fldCharType="end"/>
                    </w:r>
                  </w:p>
                </w:txbxContent>
              </v:textbox>
            </v:shape>
          </w:pict>
        </mc:Fallback>
      </mc:AlternateContent>
    </w:r>
  </w:p>
  <w:p w14:paraId="746A05B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8EC50B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58EC50B4"/>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EB35">
    <w:pPr>
      <w:pStyle w:val="31"/>
      <w:pBdr>
        <w:bottom w:val="none" w:color="auto" w:sz="0" w:space="0"/>
      </w:pBdr>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F2433"/>
    <w:multiLevelType w:val="singleLevel"/>
    <w:tmpl w:val="B07F2433"/>
    <w:lvl w:ilvl="0" w:tentative="0">
      <w:start w:val="2"/>
      <w:numFmt w:val="decimal"/>
      <w:suff w:val="nothing"/>
      <w:lvlText w:val="%1、"/>
      <w:lvlJc w:val="left"/>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D873223"/>
    <w:multiLevelType w:val="singleLevel"/>
    <w:tmpl w:val="5D873223"/>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A058C"/>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4420A"/>
    <w:rsid w:val="01893084"/>
    <w:rsid w:val="018F6B78"/>
    <w:rsid w:val="01B25794"/>
    <w:rsid w:val="02033D08"/>
    <w:rsid w:val="021A6C4F"/>
    <w:rsid w:val="024A0BB7"/>
    <w:rsid w:val="02860CE1"/>
    <w:rsid w:val="02A06DF6"/>
    <w:rsid w:val="03311B51"/>
    <w:rsid w:val="035607B0"/>
    <w:rsid w:val="035A0B08"/>
    <w:rsid w:val="03A9405D"/>
    <w:rsid w:val="03DD3435"/>
    <w:rsid w:val="045521C0"/>
    <w:rsid w:val="04880F3B"/>
    <w:rsid w:val="04BB1052"/>
    <w:rsid w:val="05687CD1"/>
    <w:rsid w:val="05E27A84"/>
    <w:rsid w:val="06613926"/>
    <w:rsid w:val="06F8266B"/>
    <w:rsid w:val="07023E8A"/>
    <w:rsid w:val="073060B3"/>
    <w:rsid w:val="073F34F8"/>
    <w:rsid w:val="079B25E0"/>
    <w:rsid w:val="08A47722"/>
    <w:rsid w:val="08EE1782"/>
    <w:rsid w:val="091268D2"/>
    <w:rsid w:val="094625ED"/>
    <w:rsid w:val="098C0FAE"/>
    <w:rsid w:val="098E3A7F"/>
    <w:rsid w:val="09EF276F"/>
    <w:rsid w:val="0A1370D9"/>
    <w:rsid w:val="0A430D0D"/>
    <w:rsid w:val="0A783487"/>
    <w:rsid w:val="0A920A74"/>
    <w:rsid w:val="0ACC6B48"/>
    <w:rsid w:val="0B3B4932"/>
    <w:rsid w:val="0B8A5AE2"/>
    <w:rsid w:val="0BA06A0A"/>
    <w:rsid w:val="0BD065D0"/>
    <w:rsid w:val="0BF44E42"/>
    <w:rsid w:val="0C460641"/>
    <w:rsid w:val="0C6A21B9"/>
    <w:rsid w:val="0CDE4AF1"/>
    <w:rsid w:val="0D2F7233"/>
    <w:rsid w:val="0D496625"/>
    <w:rsid w:val="0DB0649C"/>
    <w:rsid w:val="0E2234E7"/>
    <w:rsid w:val="0E832759"/>
    <w:rsid w:val="0F824565"/>
    <w:rsid w:val="0F895718"/>
    <w:rsid w:val="0F900551"/>
    <w:rsid w:val="10FE773C"/>
    <w:rsid w:val="11731E51"/>
    <w:rsid w:val="119470D6"/>
    <w:rsid w:val="127E0B34"/>
    <w:rsid w:val="12C34E9D"/>
    <w:rsid w:val="137A735A"/>
    <w:rsid w:val="13B24508"/>
    <w:rsid w:val="13B57800"/>
    <w:rsid w:val="14090707"/>
    <w:rsid w:val="141259D8"/>
    <w:rsid w:val="141D7D8E"/>
    <w:rsid w:val="142E658A"/>
    <w:rsid w:val="143F69DA"/>
    <w:rsid w:val="148111FB"/>
    <w:rsid w:val="150B237D"/>
    <w:rsid w:val="15D60886"/>
    <w:rsid w:val="15ED33A3"/>
    <w:rsid w:val="16722D36"/>
    <w:rsid w:val="16A220B2"/>
    <w:rsid w:val="16AB249D"/>
    <w:rsid w:val="16C32FBA"/>
    <w:rsid w:val="16D84848"/>
    <w:rsid w:val="170E235C"/>
    <w:rsid w:val="17DF4B2C"/>
    <w:rsid w:val="18417A35"/>
    <w:rsid w:val="18421AC0"/>
    <w:rsid w:val="18B54796"/>
    <w:rsid w:val="18BB4177"/>
    <w:rsid w:val="19AD5CBE"/>
    <w:rsid w:val="19BC302E"/>
    <w:rsid w:val="1A33331F"/>
    <w:rsid w:val="1A644AB4"/>
    <w:rsid w:val="1AF847D0"/>
    <w:rsid w:val="1C136BB6"/>
    <w:rsid w:val="1C2C0216"/>
    <w:rsid w:val="1C4B5EA8"/>
    <w:rsid w:val="1D502DF1"/>
    <w:rsid w:val="1D6E15AF"/>
    <w:rsid w:val="1E1554ED"/>
    <w:rsid w:val="1F822F2C"/>
    <w:rsid w:val="1F8452B0"/>
    <w:rsid w:val="207B6E01"/>
    <w:rsid w:val="20BD4367"/>
    <w:rsid w:val="20D64E62"/>
    <w:rsid w:val="2165554F"/>
    <w:rsid w:val="22446C29"/>
    <w:rsid w:val="22622886"/>
    <w:rsid w:val="229D6DB5"/>
    <w:rsid w:val="22DC616C"/>
    <w:rsid w:val="23B802A0"/>
    <w:rsid w:val="24961F6E"/>
    <w:rsid w:val="24A25124"/>
    <w:rsid w:val="24A361D8"/>
    <w:rsid w:val="26252182"/>
    <w:rsid w:val="265E174C"/>
    <w:rsid w:val="2686038F"/>
    <w:rsid w:val="27FA7072"/>
    <w:rsid w:val="28C72B2B"/>
    <w:rsid w:val="2912392D"/>
    <w:rsid w:val="29E82667"/>
    <w:rsid w:val="2A241E9E"/>
    <w:rsid w:val="2A875297"/>
    <w:rsid w:val="2AD43590"/>
    <w:rsid w:val="2B9B3EA4"/>
    <w:rsid w:val="2C874AAF"/>
    <w:rsid w:val="2C8E66A6"/>
    <w:rsid w:val="2CAF5168"/>
    <w:rsid w:val="2CBB47F9"/>
    <w:rsid w:val="2D4A1910"/>
    <w:rsid w:val="2D4B190A"/>
    <w:rsid w:val="2D611888"/>
    <w:rsid w:val="2D731FB6"/>
    <w:rsid w:val="2D9708A4"/>
    <w:rsid w:val="2DED34CC"/>
    <w:rsid w:val="2EFD1D1D"/>
    <w:rsid w:val="2F2851D6"/>
    <w:rsid w:val="2F3A186E"/>
    <w:rsid w:val="2F3B2F8F"/>
    <w:rsid w:val="2F3D1C08"/>
    <w:rsid w:val="2F635E07"/>
    <w:rsid w:val="2FC42E20"/>
    <w:rsid w:val="300F088B"/>
    <w:rsid w:val="301E6878"/>
    <w:rsid w:val="305D5DD5"/>
    <w:rsid w:val="30E107B4"/>
    <w:rsid w:val="31114A03"/>
    <w:rsid w:val="32852601"/>
    <w:rsid w:val="332433C5"/>
    <w:rsid w:val="332845FB"/>
    <w:rsid w:val="3376156C"/>
    <w:rsid w:val="33DF238E"/>
    <w:rsid w:val="34103863"/>
    <w:rsid w:val="348E387D"/>
    <w:rsid w:val="356202E4"/>
    <w:rsid w:val="35A46FAE"/>
    <w:rsid w:val="35EF127D"/>
    <w:rsid w:val="36733CD8"/>
    <w:rsid w:val="3727266F"/>
    <w:rsid w:val="37497D11"/>
    <w:rsid w:val="37F05781"/>
    <w:rsid w:val="391B05DB"/>
    <w:rsid w:val="398960D8"/>
    <w:rsid w:val="3A066436"/>
    <w:rsid w:val="3A1514CF"/>
    <w:rsid w:val="3A2516BB"/>
    <w:rsid w:val="3AE10910"/>
    <w:rsid w:val="3AFB4323"/>
    <w:rsid w:val="3B3C635C"/>
    <w:rsid w:val="3B563000"/>
    <w:rsid w:val="3BFD484B"/>
    <w:rsid w:val="3CA202DF"/>
    <w:rsid w:val="3CCB04A6"/>
    <w:rsid w:val="3CD37326"/>
    <w:rsid w:val="3DDB658B"/>
    <w:rsid w:val="3E5C29CA"/>
    <w:rsid w:val="3EED354E"/>
    <w:rsid w:val="3EF46D14"/>
    <w:rsid w:val="3F173AB4"/>
    <w:rsid w:val="3F7722E4"/>
    <w:rsid w:val="3F7A539C"/>
    <w:rsid w:val="3FA728BD"/>
    <w:rsid w:val="3FB5783A"/>
    <w:rsid w:val="3FC964D8"/>
    <w:rsid w:val="404B0923"/>
    <w:rsid w:val="405857FB"/>
    <w:rsid w:val="408338D7"/>
    <w:rsid w:val="41510996"/>
    <w:rsid w:val="42147451"/>
    <w:rsid w:val="43881670"/>
    <w:rsid w:val="43E82525"/>
    <w:rsid w:val="440964D0"/>
    <w:rsid w:val="44A8055A"/>
    <w:rsid w:val="44BA68F8"/>
    <w:rsid w:val="45AF30FD"/>
    <w:rsid w:val="465B3014"/>
    <w:rsid w:val="46BC2AFB"/>
    <w:rsid w:val="472F5293"/>
    <w:rsid w:val="47905EE7"/>
    <w:rsid w:val="47DB0FE0"/>
    <w:rsid w:val="47DC09AF"/>
    <w:rsid w:val="485A4022"/>
    <w:rsid w:val="4886767F"/>
    <w:rsid w:val="48986B3F"/>
    <w:rsid w:val="49B66251"/>
    <w:rsid w:val="4A452406"/>
    <w:rsid w:val="4B59106A"/>
    <w:rsid w:val="4BB93099"/>
    <w:rsid w:val="4C983030"/>
    <w:rsid w:val="4CAC5709"/>
    <w:rsid w:val="4CCF418E"/>
    <w:rsid w:val="4D4D2EE2"/>
    <w:rsid w:val="4D927DCE"/>
    <w:rsid w:val="4DEC44F9"/>
    <w:rsid w:val="4E68272B"/>
    <w:rsid w:val="4E9609D8"/>
    <w:rsid w:val="4F3A75B6"/>
    <w:rsid w:val="4F8A1859"/>
    <w:rsid w:val="4FE958A7"/>
    <w:rsid w:val="502D24E4"/>
    <w:rsid w:val="50F747E5"/>
    <w:rsid w:val="5104766A"/>
    <w:rsid w:val="511E5BAD"/>
    <w:rsid w:val="51BC2AE8"/>
    <w:rsid w:val="51C61D96"/>
    <w:rsid w:val="528D5C4E"/>
    <w:rsid w:val="52A336C4"/>
    <w:rsid w:val="52CE5689"/>
    <w:rsid w:val="53412131"/>
    <w:rsid w:val="53A476F3"/>
    <w:rsid w:val="540B32CF"/>
    <w:rsid w:val="54B82311"/>
    <w:rsid w:val="558A3D0F"/>
    <w:rsid w:val="565E6C2C"/>
    <w:rsid w:val="569E5C28"/>
    <w:rsid w:val="57313D11"/>
    <w:rsid w:val="578D69F6"/>
    <w:rsid w:val="57BE1510"/>
    <w:rsid w:val="57DD55F9"/>
    <w:rsid w:val="5857356D"/>
    <w:rsid w:val="58984C16"/>
    <w:rsid w:val="5950697A"/>
    <w:rsid w:val="599A4762"/>
    <w:rsid w:val="59A92C17"/>
    <w:rsid w:val="59CD7278"/>
    <w:rsid w:val="5B5877E2"/>
    <w:rsid w:val="5B8E0A22"/>
    <w:rsid w:val="5BAD489A"/>
    <w:rsid w:val="5BCD3412"/>
    <w:rsid w:val="5BD549B3"/>
    <w:rsid w:val="5BE3458F"/>
    <w:rsid w:val="5D12474B"/>
    <w:rsid w:val="5DD0286D"/>
    <w:rsid w:val="5E2F4302"/>
    <w:rsid w:val="5E8C12D3"/>
    <w:rsid w:val="5EA6784A"/>
    <w:rsid w:val="5EEA0F2A"/>
    <w:rsid w:val="5F27742B"/>
    <w:rsid w:val="5F9D1CA2"/>
    <w:rsid w:val="5FD300DB"/>
    <w:rsid w:val="5FE25B93"/>
    <w:rsid w:val="5FF53085"/>
    <w:rsid w:val="608C59E7"/>
    <w:rsid w:val="60A52784"/>
    <w:rsid w:val="60F9120D"/>
    <w:rsid w:val="61095D5D"/>
    <w:rsid w:val="61284751"/>
    <w:rsid w:val="61C422AA"/>
    <w:rsid w:val="62461009"/>
    <w:rsid w:val="642A0711"/>
    <w:rsid w:val="644A3AA8"/>
    <w:rsid w:val="655541D3"/>
    <w:rsid w:val="65594766"/>
    <w:rsid w:val="65A568B8"/>
    <w:rsid w:val="65AE22F3"/>
    <w:rsid w:val="66465782"/>
    <w:rsid w:val="66726AF9"/>
    <w:rsid w:val="670A4733"/>
    <w:rsid w:val="673D5A3D"/>
    <w:rsid w:val="67DE5EA5"/>
    <w:rsid w:val="68401D42"/>
    <w:rsid w:val="684C7E1B"/>
    <w:rsid w:val="6850354E"/>
    <w:rsid w:val="68DF308E"/>
    <w:rsid w:val="69077DF5"/>
    <w:rsid w:val="691015F0"/>
    <w:rsid w:val="69F006B4"/>
    <w:rsid w:val="6A16299D"/>
    <w:rsid w:val="6AA9175D"/>
    <w:rsid w:val="6B8005EE"/>
    <w:rsid w:val="6C0168CA"/>
    <w:rsid w:val="6D0B604A"/>
    <w:rsid w:val="6DAC05BE"/>
    <w:rsid w:val="6F8373FF"/>
    <w:rsid w:val="6FDE7145"/>
    <w:rsid w:val="7023779A"/>
    <w:rsid w:val="7025059A"/>
    <w:rsid w:val="70656D61"/>
    <w:rsid w:val="71B752F6"/>
    <w:rsid w:val="71E847F7"/>
    <w:rsid w:val="725809D6"/>
    <w:rsid w:val="726E061C"/>
    <w:rsid w:val="72BD5C84"/>
    <w:rsid w:val="731F1F0A"/>
    <w:rsid w:val="73875405"/>
    <w:rsid w:val="73B74532"/>
    <w:rsid w:val="73C24205"/>
    <w:rsid w:val="74425F26"/>
    <w:rsid w:val="748F3650"/>
    <w:rsid w:val="74CC7CBB"/>
    <w:rsid w:val="75847F67"/>
    <w:rsid w:val="75D51D74"/>
    <w:rsid w:val="76201426"/>
    <w:rsid w:val="76DC7584"/>
    <w:rsid w:val="774E2667"/>
    <w:rsid w:val="780517EC"/>
    <w:rsid w:val="78866113"/>
    <w:rsid w:val="78CB6FB8"/>
    <w:rsid w:val="78EA3B59"/>
    <w:rsid w:val="79004B1D"/>
    <w:rsid w:val="791A1EB8"/>
    <w:rsid w:val="7AD8717E"/>
    <w:rsid w:val="7B11145D"/>
    <w:rsid w:val="7B360113"/>
    <w:rsid w:val="7C272A20"/>
    <w:rsid w:val="7C8660BD"/>
    <w:rsid w:val="7CA05978"/>
    <w:rsid w:val="7D2B0DAC"/>
    <w:rsid w:val="7D982F9D"/>
    <w:rsid w:val="7D985324"/>
    <w:rsid w:val="7DDF3D2C"/>
    <w:rsid w:val="7ECD60E1"/>
    <w:rsid w:val="7EE86560"/>
    <w:rsid w:val="7F09259F"/>
    <w:rsid w:val="7F2B6214"/>
    <w:rsid w:val="7F851177"/>
    <w:rsid w:val="7FBC5227"/>
    <w:rsid w:val="7FEE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8"/>
    <w:autoRedefine/>
    <w:qFormat/>
    <w:uiPriority w:val="99"/>
    <w:pPr>
      <w:keepNext/>
      <w:keepLines/>
      <w:spacing w:before="340" w:after="330" w:line="360" w:lineRule="auto"/>
      <w:jc w:val="center"/>
      <w:outlineLvl w:val="0"/>
    </w:pPr>
    <w:rPr>
      <w:rFonts w:eastAsia="仿宋"/>
      <w:b/>
      <w:bCs/>
      <w:kern w:val="44"/>
      <w:sz w:val="30"/>
      <w:szCs w:val="44"/>
    </w:rPr>
  </w:style>
  <w:style w:type="paragraph" w:styleId="4">
    <w:name w:val="heading 2"/>
    <w:basedOn w:val="1"/>
    <w:next w:val="1"/>
    <w:link w:val="69"/>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70"/>
    <w:qFormat/>
    <w:uiPriority w:val="99"/>
    <w:pPr>
      <w:keepNext/>
      <w:keepLines/>
      <w:spacing w:before="260" w:after="260" w:line="416" w:lineRule="auto"/>
      <w:outlineLvl w:val="2"/>
    </w:pPr>
    <w:rPr>
      <w:b/>
      <w:bCs/>
      <w:sz w:val="32"/>
      <w:szCs w:val="32"/>
    </w:rPr>
  </w:style>
  <w:style w:type="paragraph" w:styleId="6">
    <w:name w:val="heading 4"/>
    <w:basedOn w:val="1"/>
    <w:next w:val="1"/>
    <w:link w:val="71"/>
    <w:autoRedefine/>
    <w:qFormat/>
    <w:uiPriority w:val="99"/>
    <w:pPr>
      <w:keepNext/>
      <w:keepLines/>
      <w:spacing w:before="280" w:after="290" w:line="372" w:lineRule="auto"/>
      <w:outlineLvl w:val="3"/>
    </w:pPr>
    <w:rPr>
      <w:rFonts w:ascii="Cambria" w:hAnsi="Cambria" w:cs="Cambria"/>
      <w:b/>
      <w:bCs/>
      <w:sz w:val="28"/>
      <w:szCs w:val="28"/>
    </w:rPr>
  </w:style>
  <w:style w:type="paragraph" w:styleId="7">
    <w:name w:val="heading 5"/>
    <w:basedOn w:val="1"/>
    <w:next w:val="1"/>
    <w:link w:val="72"/>
    <w:autoRedefine/>
    <w:qFormat/>
    <w:uiPriority w:val="99"/>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73"/>
    <w:autoRedefine/>
    <w:qFormat/>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74"/>
    <w:qFormat/>
    <w:uiPriority w:val="99"/>
    <w:pPr>
      <w:keepNext/>
      <w:keepLines/>
      <w:spacing w:before="240" w:after="64" w:line="317" w:lineRule="auto"/>
      <w:outlineLvl w:val="6"/>
    </w:pPr>
    <w:rPr>
      <w:rFonts w:ascii="Calibri" w:hAnsi="Calibri" w:cs="Calibri"/>
      <w:b/>
      <w:bCs/>
      <w:sz w:val="24"/>
      <w:szCs w:val="24"/>
    </w:rPr>
  </w:style>
  <w:style w:type="paragraph" w:styleId="10">
    <w:name w:val="heading 8"/>
    <w:basedOn w:val="1"/>
    <w:next w:val="1"/>
    <w:link w:val="75"/>
    <w:autoRedefine/>
    <w:qFormat/>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76"/>
    <w:autoRedefine/>
    <w:qFormat/>
    <w:uiPriority w:val="99"/>
    <w:pPr>
      <w:keepNext/>
      <w:keepLines/>
      <w:spacing w:before="240" w:after="64" w:line="317" w:lineRule="auto"/>
      <w:outlineLvl w:val="8"/>
    </w:pPr>
    <w:rPr>
      <w:rFonts w:ascii="Cambria" w:hAnsi="Cambria" w:cs="Cambria"/>
    </w:rPr>
  </w:style>
  <w:style w:type="character" w:default="1" w:styleId="50">
    <w:name w:val="Default Paragraph Font"/>
    <w:autoRedefine/>
    <w:semiHidden/>
    <w:qFormat/>
    <w:uiPriority w:val="99"/>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djustRightInd w:val="0"/>
      <w:spacing w:line="360" w:lineRule="atLeast"/>
      <w:ind w:firstLine="482"/>
      <w:textAlignment w:val="baseline"/>
    </w:pPr>
    <w:rPr>
      <w:kern w:val="0"/>
      <w:sz w:val="24"/>
      <w:szCs w:val="24"/>
    </w:rPr>
  </w:style>
  <w:style w:type="paragraph" w:styleId="12">
    <w:name w:val="toc 7"/>
    <w:basedOn w:val="1"/>
    <w:next w:val="1"/>
    <w:autoRedefine/>
    <w:semiHidden/>
    <w:qFormat/>
    <w:uiPriority w:val="99"/>
    <w:pPr>
      <w:ind w:left="2520" w:leftChars="1200"/>
    </w:pPr>
    <w:rPr>
      <w:rFonts w:ascii="Calibri" w:hAnsi="Calibri" w:cs="Calibri"/>
    </w:rPr>
  </w:style>
  <w:style w:type="paragraph" w:styleId="13">
    <w:name w:val="caption"/>
    <w:basedOn w:val="1"/>
    <w:next w:val="1"/>
    <w:autoRedefine/>
    <w:qFormat/>
    <w:uiPriority w:val="99"/>
    <w:rPr>
      <w:rFonts w:ascii="Cambria" w:hAnsi="Cambria" w:eastAsia="黑体" w:cs="Cambria"/>
      <w:sz w:val="20"/>
      <w:szCs w:val="20"/>
    </w:rPr>
  </w:style>
  <w:style w:type="paragraph" w:styleId="14">
    <w:name w:val="Document Map"/>
    <w:basedOn w:val="1"/>
    <w:link w:val="77"/>
    <w:autoRedefine/>
    <w:semiHidden/>
    <w:qFormat/>
    <w:uiPriority w:val="99"/>
    <w:pPr>
      <w:shd w:val="clear" w:color="auto" w:fill="000080"/>
    </w:pPr>
    <w:rPr>
      <w:kern w:val="0"/>
      <w:sz w:val="20"/>
      <w:szCs w:val="20"/>
      <w:shd w:val="clear" w:color="auto" w:fill="000080"/>
    </w:rPr>
  </w:style>
  <w:style w:type="paragraph" w:styleId="15">
    <w:name w:val="annotation text"/>
    <w:basedOn w:val="1"/>
    <w:link w:val="78"/>
    <w:autoRedefine/>
    <w:semiHidden/>
    <w:qFormat/>
    <w:uiPriority w:val="99"/>
    <w:pPr>
      <w:jc w:val="left"/>
    </w:pPr>
  </w:style>
  <w:style w:type="paragraph" w:styleId="16">
    <w:name w:val="Body Text 3"/>
    <w:basedOn w:val="1"/>
    <w:link w:val="79"/>
    <w:autoRedefine/>
    <w:qFormat/>
    <w:uiPriority w:val="99"/>
    <w:rPr>
      <w:rFonts w:ascii="宋体" w:cs="宋体"/>
      <w:sz w:val="24"/>
      <w:szCs w:val="24"/>
    </w:rPr>
  </w:style>
  <w:style w:type="paragraph" w:styleId="17">
    <w:name w:val="Body Text"/>
    <w:basedOn w:val="1"/>
    <w:next w:val="18"/>
    <w:link w:val="80"/>
    <w:autoRedefine/>
    <w:qFormat/>
    <w:uiPriority w:val="99"/>
    <w:pPr>
      <w:jc w:val="center"/>
    </w:pPr>
    <w:rPr>
      <w:b/>
      <w:bCs/>
      <w:sz w:val="44"/>
      <w:szCs w:val="44"/>
    </w:rPr>
  </w:style>
  <w:style w:type="paragraph" w:customStyle="1" w:styleId="1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9">
    <w:name w:val="Body Text Indent"/>
    <w:basedOn w:val="1"/>
    <w:next w:val="20"/>
    <w:link w:val="81"/>
    <w:autoRedefine/>
    <w:qFormat/>
    <w:uiPriority w:val="99"/>
    <w:pPr>
      <w:spacing w:line="500" w:lineRule="exact"/>
      <w:ind w:firstLine="538"/>
    </w:pPr>
    <w:rPr>
      <w:sz w:val="28"/>
      <w:szCs w:val="28"/>
    </w:rPr>
  </w:style>
  <w:style w:type="paragraph" w:styleId="20">
    <w:name w:val="envelope return"/>
    <w:basedOn w:val="1"/>
    <w:next w:val="12"/>
    <w:autoRedefine/>
    <w:qFormat/>
    <w:uiPriority w:val="99"/>
    <w:pPr>
      <w:snapToGrid w:val="0"/>
    </w:pPr>
    <w:rPr>
      <w:rFonts w:ascii="Arial" w:hAnsi="Arial"/>
    </w:rPr>
  </w:style>
  <w:style w:type="paragraph" w:styleId="21">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autoRedefine/>
    <w:semiHidden/>
    <w:qFormat/>
    <w:uiPriority w:val="99"/>
    <w:pPr>
      <w:ind w:left="600" w:leftChars="600"/>
    </w:pPr>
  </w:style>
  <w:style w:type="paragraph" w:styleId="23">
    <w:name w:val="toc 5"/>
    <w:basedOn w:val="1"/>
    <w:next w:val="1"/>
    <w:autoRedefine/>
    <w:semiHidden/>
    <w:qFormat/>
    <w:uiPriority w:val="99"/>
    <w:pPr>
      <w:tabs>
        <w:tab w:val="right" w:leader="dot" w:pos="8296"/>
      </w:tabs>
      <w:ind w:left="1050" w:leftChars="500"/>
    </w:pPr>
    <w:rPr>
      <w:rFonts w:ascii="Calibri" w:hAnsi="Calibri" w:cs="Calibri"/>
    </w:rPr>
  </w:style>
  <w:style w:type="paragraph" w:styleId="24">
    <w:name w:val="toc 3"/>
    <w:basedOn w:val="1"/>
    <w:next w:val="1"/>
    <w:autoRedefine/>
    <w:semiHidden/>
    <w:qFormat/>
    <w:uiPriority w:val="99"/>
    <w:pPr>
      <w:ind w:left="840" w:leftChars="400"/>
    </w:pPr>
    <w:rPr>
      <w:rFonts w:ascii="Calibri" w:hAnsi="Calibri" w:cs="Calibri"/>
    </w:rPr>
  </w:style>
  <w:style w:type="paragraph" w:styleId="25">
    <w:name w:val="Plain Text"/>
    <w:basedOn w:val="1"/>
    <w:next w:val="1"/>
    <w:link w:val="82"/>
    <w:autoRedefine/>
    <w:qFormat/>
    <w:uiPriority w:val="99"/>
    <w:rPr>
      <w:rFonts w:ascii="宋体" w:hAnsi="Courier New" w:cs="宋体"/>
    </w:rPr>
  </w:style>
  <w:style w:type="paragraph" w:styleId="26">
    <w:name w:val="toc 8"/>
    <w:basedOn w:val="1"/>
    <w:next w:val="1"/>
    <w:autoRedefine/>
    <w:semiHidden/>
    <w:qFormat/>
    <w:uiPriority w:val="99"/>
    <w:pPr>
      <w:ind w:left="2940" w:leftChars="1400"/>
    </w:pPr>
    <w:rPr>
      <w:rFonts w:ascii="Calibri" w:hAnsi="Calibri" w:cs="Calibri"/>
    </w:rPr>
  </w:style>
  <w:style w:type="paragraph" w:styleId="27">
    <w:name w:val="Date"/>
    <w:basedOn w:val="1"/>
    <w:next w:val="1"/>
    <w:link w:val="83"/>
    <w:autoRedefine/>
    <w:qFormat/>
    <w:uiPriority w:val="99"/>
    <w:rPr>
      <w:rFonts w:ascii="仿宋_GB2312" w:eastAsia="仿宋_GB2312" w:cs="仿宋_GB2312"/>
      <w:sz w:val="30"/>
      <w:szCs w:val="30"/>
    </w:rPr>
  </w:style>
  <w:style w:type="paragraph" w:styleId="28">
    <w:name w:val="Body Text Indent 2"/>
    <w:basedOn w:val="1"/>
    <w:link w:val="84"/>
    <w:autoRedefine/>
    <w:qFormat/>
    <w:uiPriority w:val="99"/>
    <w:pPr>
      <w:spacing w:line="360" w:lineRule="exact"/>
      <w:ind w:firstLine="600" w:firstLineChars="250"/>
      <w:jc w:val="left"/>
    </w:pPr>
    <w:rPr>
      <w:sz w:val="24"/>
      <w:szCs w:val="24"/>
    </w:rPr>
  </w:style>
  <w:style w:type="paragraph" w:styleId="29">
    <w:name w:val="Balloon Text"/>
    <w:basedOn w:val="1"/>
    <w:link w:val="85"/>
    <w:autoRedefine/>
    <w:semiHidden/>
    <w:qFormat/>
    <w:uiPriority w:val="99"/>
    <w:rPr>
      <w:sz w:val="18"/>
      <w:szCs w:val="18"/>
    </w:rPr>
  </w:style>
  <w:style w:type="paragraph" w:styleId="30">
    <w:name w:val="footer"/>
    <w:basedOn w:val="1"/>
    <w:link w:val="86"/>
    <w:autoRedefine/>
    <w:qFormat/>
    <w:uiPriority w:val="99"/>
    <w:pPr>
      <w:tabs>
        <w:tab w:val="center" w:pos="4153"/>
        <w:tab w:val="right" w:pos="8306"/>
      </w:tabs>
      <w:snapToGrid w:val="0"/>
      <w:jc w:val="left"/>
    </w:pPr>
    <w:rPr>
      <w:sz w:val="18"/>
      <w:szCs w:val="18"/>
    </w:rPr>
  </w:style>
  <w:style w:type="paragraph" w:styleId="31">
    <w:name w:val="header"/>
    <w:basedOn w:val="1"/>
    <w:link w:val="87"/>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8"/>
    <w:autoRedefine/>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9"/>
    <w:autoRedefine/>
    <w:semiHidden/>
    <w:qFormat/>
    <w:uiPriority w:val="99"/>
    <w:rPr>
      <w:sz w:val="20"/>
      <w:szCs w:val="20"/>
    </w:rPr>
  </w:style>
  <w:style w:type="paragraph" w:styleId="36">
    <w:name w:val="toc 6"/>
    <w:basedOn w:val="1"/>
    <w:next w:val="1"/>
    <w:autoRedefine/>
    <w:semiHidden/>
    <w:qFormat/>
    <w:uiPriority w:val="99"/>
    <w:pPr>
      <w:ind w:left="2100" w:leftChars="1000"/>
    </w:pPr>
    <w:rPr>
      <w:rFonts w:ascii="Calibri" w:hAnsi="Calibri" w:cs="Calibri"/>
    </w:rPr>
  </w:style>
  <w:style w:type="paragraph" w:styleId="37">
    <w:name w:val="Body Text Indent 3"/>
    <w:basedOn w:val="1"/>
    <w:link w:val="90"/>
    <w:autoRedefine/>
    <w:qFormat/>
    <w:uiPriority w:val="99"/>
    <w:pPr>
      <w:spacing w:after="120"/>
      <w:ind w:left="420" w:leftChars="200"/>
    </w:pPr>
    <w:rPr>
      <w:sz w:val="16"/>
      <w:szCs w:val="16"/>
    </w:rPr>
  </w:style>
  <w:style w:type="paragraph" w:styleId="38">
    <w:name w:val="table of figures"/>
    <w:basedOn w:val="1"/>
    <w:next w:val="1"/>
    <w:autoRedefine/>
    <w:semiHidden/>
    <w:qFormat/>
    <w:uiPriority w:val="99"/>
    <w:pPr>
      <w:ind w:left="200" w:leftChars="200" w:hanging="200" w:hangingChars="200"/>
    </w:pPr>
  </w:style>
  <w:style w:type="paragraph" w:styleId="39">
    <w:name w:val="toc 2"/>
    <w:basedOn w:val="1"/>
    <w:next w:val="1"/>
    <w:autoRedefine/>
    <w:semiHidden/>
    <w:qFormat/>
    <w:uiPriority w:val="99"/>
    <w:pPr>
      <w:ind w:left="420" w:leftChars="200"/>
    </w:pPr>
    <w:rPr>
      <w:rFonts w:ascii="宋体" w:cs="宋体"/>
      <w:b/>
      <w:bCs/>
      <w:sz w:val="28"/>
      <w:szCs w:val="28"/>
    </w:rPr>
  </w:style>
  <w:style w:type="paragraph" w:styleId="40">
    <w:name w:val="toc 9"/>
    <w:basedOn w:val="1"/>
    <w:next w:val="1"/>
    <w:autoRedefine/>
    <w:semiHidden/>
    <w:qFormat/>
    <w:uiPriority w:val="99"/>
    <w:pPr>
      <w:ind w:left="3360" w:leftChars="1600"/>
    </w:pPr>
    <w:rPr>
      <w:rFonts w:ascii="Calibri" w:hAnsi="Calibri" w:cs="Calibri"/>
    </w:rPr>
  </w:style>
  <w:style w:type="paragraph" w:styleId="41">
    <w:name w:val="Body Text 2"/>
    <w:basedOn w:val="1"/>
    <w:link w:val="91"/>
    <w:autoRedefine/>
    <w:qFormat/>
    <w:uiPriority w:val="99"/>
    <w:pPr>
      <w:spacing w:line="440" w:lineRule="exact"/>
    </w:pPr>
    <w:rPr>
      <w:sz w:val="28"/>
      <w:szCs w:val="28"/>
    </w:rPr>
  </w:style>
  <w:style w:type="paragraph" w:styleId="42">
    <w:name w:val="Normal (Web)"/>
    <w:basedOn w:val="1"/>
    <w:next w:val="43"/>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customStyle="1" w:styleId="43">
    <w:name w:val="正文文字 8"/>
    <w:basedOn w:val="1"/>
    <w:next w:val="1"/>
    <w:autoRedefine/>
    <w:qFormat/>
    <w:uiPriority w:val="0"/>
    <w:pPr>
      <w:ind w:left="240"/>
    </w:pPr>
    <w:rPr>
      <w:sz w:val="16"/>
    </w:rPr>
  </w:style>
  <w:style w:type="paragraph" w:styleId="44">
    <w:name w:val="Title"/>
    <w:basedOn w:val="1"/>
    <w:next w:val="1"/>
    <w:link w:val="92"/>
    <w:autoRedefine/>
    <w:qFormat/>
    <w:uiPriority w:val="99"/>
    <w:pPr>
      <w:spacing w:before="240" w:after="60"/>
      <w:jc w:val="center"/>
      <w:outlineLvl w:val="0"/>
    </w:pPr>
    <w:rPr>
      <w:rFonts w:ascii="Cambria" w:hAnsi="Cambria" w:cs="Cambria"/>
      <w:b/>
      <w:bCs/>
      <w:sz w:val="32"/>
      <w:szCs w:val="32"/>
    </w:rPr>
  </w:style>
  <w:style w:type="paragraph" w:styleId="45">
    <w:name w:val="annotation subject"/>
    <w:basedOn w:val="15"/>
    <w:next w:val="15"/>
    <w:link w:val="93"/>
    <w:autoRedefine/>
    <w:semiHidden/>
    <w:qFormat/>
    <w:uiPriority w:val="99"/>
    <w:rPr>
      <w:rFonts w:ascii="宋体" w:cs="宋体"/>
      <w:b/>
      <w:bCs/>
      <w:kern w:val="0"/>
      <w:sz w:val="28"/>
      <w:szCs w:val="28"/>
    </w:rPr>
  </w:style>
  <w:style w:type="paragraph" w:styleId="46">
    <w:name w:val="Body Text First Indent"/>
    <w:basedOn w:val="17"/>
    <w:autoRedefine/>
    <w:qFormat/>
    <w:locked/>
    <w:uiPriority w:val="0"/>
    <w:pPr>
      <w:adjustRightInd/>
      <w:spacing w:after="120" w:line="240" w:lineRule="auto"/>
      <w:ind w:firstLine="420" w:firstLineChars="100"/>
      <w:jc w:val="both"/>
    </w:pPr>
  </w:style>
  <w:style w:type="paragraph" w:styleId="47">
    <w:name w:val="Body Text First Indent 2"/>
    <w:basedOn w:val="19"/>
    <w:next w:val="1"/>
    <w:link w:val="94"/>
    <w:autoRedefine/>
    <w:qFormat/>
    <w:uiPriority w:val="99"/>
    <w:pPr>
      <w:ind w:firstLine="420" w:firstLineChars="200"/>
    </w:pPr>
  </w:style>
  <w:style w:type="table" w:styleId="49">
    <w:name w:val="Table Grid"/>
    <w:basedOn w:val="48"/>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autoRedefine/>
    <w:qFormat/>
    <w:uiPriority w:val="99"/>
    <w:rPr>
      <w:rFonts w:cs="Times New Roman"/>
      <w:b/>
      <w:bCs/>
    </w:rPr>
  </w:style>
  <w:style w:type="character" w:styleId="52">
    <w:name w:val="page number"/>
    <w:basedOn w:val="50"/>
    <w:autoRedefine/>
    <w:qFormat/>
    <w:uiPriority w:val="99"/>
    <w:rPr>
      <w:rFonts w:cs="Times New Roman"/>
    </w:rPr>
  </w:style>
  <w:style w:type="character" w:styleId="53">
    <w:name w:val="FollowedHyperlink"/>
    <w:basedOn w:val="50"/>
    <w:autoRedefine/>
    <w:qFormat/>
    <w:uiPriority w:val="99"/>
    <w:rPr>
      <w:rFonts w:cs="Times New Roman"/>
      <w:color w:val="333333"/>
      <w:u w:val="none"/>
    </w:rPr>
  </w:style>
  <w:style w:type="character" w:styleId="54">
    <w:name w:val="Emphasis"/>
    <w:basedOn w:val="50"/>
    <w:autoRedefine/>
    <w:qFormat/>
    <w:uiPriority w:val="99"/>
    <w:rPr>
      <w:rFonts w:cs="Times New Roman"/>
      <w:color w:val="auto"/>
    </w:rPr>
  </w:style>
  <w:style w:type="character" w:styleId="55">
    <w:name w:val="HTML Definition"/>
    <w:basedOn w:val="50"/>
    <w:autoRedefine/>
    <w:qFormat/>
    <w:uiPriority w:val="99"/>
    <w:rPr>
      <w:rFonts w:cs="Times New Roman"/>
    </w:rPr>
  </w:style>
  <w:style w:type="character" w:styleId="56">
    <w:name w:val="HTML Typewriter"/>
    <w:basedOn w:val="50"/>
    <w:autoRedefine/>
    <w:qFormat/>
    <w:uiPriority w:val="99"/>
    <w:rPr>
      <w:rFonts w:ascii="monospace" w:hAnsi="monospace" w:cs="monospace"/>
      <w:sz w:val="20"/>
    </w:rPr>
  </w:style>
  <w:style w:type="character" w:styleId="57">
    <w:name w:val="HTML Acronym"/>
    <w:basedOn w:val="50"/>
    <w:autoRedefine/>
    <w:qFormat/>
    <w:uiPriority w:val="99"/>
    <w:rPr>
      <w:rFonts w:cs="Times New Roman"/>
    </w:rPr>
  </w:style>
  <w:style w:type="character" w:styleId="58">
    <w:name w:val="HTML Variable"/>
    <w:basedOn w:val="50"/>
    <w:autoRedefine/>
    <w:qFormat/>
    <w:uiPriority w:val="99"/>
    <w:rPr>
      <w:rFonts w:cs="Times New Roman"/>
    </w:rPr>
  </w:style>
  <w:style w:type="character" w:styleId="59">
    <w:name w:val="Hyperlink"/>
    <w:basedOn w:val="50"/>
    <w:autoRedefine/>
    <w:qFormat/>
    <w:uiPriority w:val="99"/>
    <w:rPr>
      <w:rFonts w:cs="Times New Roman"/>
      <w:color w:val="333333"/>
      <w:u w:val="none"/>
    </w:rPr>
  </w:style>
  <w:style w:type="character" w:styleId="60">
    <w:name w:val="HTML Code"/>
    <w:basedOn w:val="50"/>
    <w:autoRedefine/>
    <w:qFormat/>
    <w:uiPriority w:val="99"/>
    <w:rPr>
      <w:rFonts w:ascii="monospace" w:hAnsi="monospace" w:cs="monospace"/>
      <w:sz w:val="20"/>
    </w:rPr>
  </w:style>
  <w:style w:type="character" w:styleId="61">
    <w:name w:val="annotation reference"/>
    <w:basedOn w:val="50"/>
    <w:autoRedefine/>
    <w:semiHidden/>
    <w:qFormat/>
    <w:uiPriority w:val="99"/>
    <w:rPr>
      <w:rFonts w:cs="Times New Roman"/>
      <w:sz w:val="21"/>
      <w:szCs w:val="21"/>
    </w:rPr>
  </w:style>
  <w:style w:type="character" w:styleId="62">
    <w:name w:val="HTML Cite"/>
    <w:basedOn w:val="50"/>
    <w:autoRedefine/>
    <w:qFormat/>
    <w:uiPriority w:val="99"/>
    <w:rPr>
      <w:rFonts w:cs="Times New Roman"/>
    </w:rPr>
  </w:style>
  <w:style w:type="character" w:styleId="63">
    <w:name w:val="footnote reference"/>
    <w:basedOn w:val="50"/>
    <w:autoRedefine/>
    <w:semiHidden/>
    <w:qFormat/>
    <w:uiPriority w:val="99"/>
    <w:rPr>
      <w:rFonts w:cs="Times New Roman"/>
      <w:vertAlign w:val="superscript"/>
    </w:rPr>
  </w:style>
  <w:style w:type="character" w:styleId="64">
    <w:name w:val="HTML Keyboard"/>
    <w:basedOn w:val="50"/>
    <w:autoRedefine/>
    <w:qFormat/>
    <w:uiPriority w:val="99"/>
    <w:rPr>
      <w:rFonts w:ascii="monospace" w:hAnsi="monospace" w:cs="monospace"/>
      <w:sz w:val="20"/>
    </w:rPr>
  </w:style>
  <w:style w:type="character" w:styleId="65">
    <w:name w:val="HTML Sample"/>
    <w:basedOn w:val="50"/>
    <w:autoRedefine/>
    <w:qFormat/>
    <w:uiPriority w:val="99"/>
    <w:rPr>
      <w:rFonts w:ascii="monospace" w:hAnsi="monospace" w:cs="monospace"/>
    </w:rPr>
  </w:style>
  <w:style w:type="paragraph" w:customStyle="1" w:styleId="6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67">
    <w:name w:val="列出段落1"/>
    <w:basedOn w:val="1"/>
    <w:autoRedefine/>
    <w:qFormat/>
    <w:uiPriority w:val="99"/>
    <w:pPr>
      <w:ind w:firstLine="420" w:firstLineChars="200"/>
    </w:pPr>
    <w:rPr>
      <w:rFonts w:ascii="Calibri" w:hAnsi="Calibri" w:cs="Calibri"/>
    </w:rPr>
  </w:style>
  <w:style w:type="character" w:customStyle="1" w:styleId="68">
    <w:name w:val="Heading 1 Char"/>
    <w:basedOn w:val="50"/>
    <w:link w:val="3"/>
    <w:autoRedefine/>
    <w:qFormat/>
    <w:locked/>
    <w:uiPriority w:val="99"/>
    <w:rPr>
      <w:rFonts w:ascii="Times New Roman" w:hAnsi="Times New Roman" w:eastAsia="仿宋" w:cs="Times New Roman"/>
      <w:b/>
      <w:bCs/>
      <w:kern w:val="44"/>
      <w:sz w:val="44"/>
      <w:szCs w:val="44"/>
      <w:lang w:val="en-US" w:eastAsia="zh-CN"/>
    </w:rPr>
  </w:style>
  <w:style w:type="character" w:customStyle="1" w:styleId="69">
    <w:name w:val="Heading 2 Char"/>
    <w:basedOn w:val="50"/>
    <w:link w:val="4"/>
    <w:autoRedefine/>
    <w:qFormat/>
    <w:locked/>
    <w:uiPriority w:val="99"/>
    <w:rPr>
      <w:rFonts w:ascii="Arial" w:hAnsi="Arial" w:eastAsia="黑体" w:cs="Arial"/>
      <w:b/>
      <w:bCs/>
      <w:kern w:val="2"/>
      <w:sz w:val="32"/>
      <w:szCs w:val="32"/>
      <w:lang w:val="en-US" w:eastAsia="zh-CN"/>
    </w:rPr>
  </w:style>
  <w:style w:type="character" w:customStyle="1" w:styleId="70">
    <w:name w:val="Heading 3 Char"/>
    <w:basedOn w:val="50"/>
    <w:link w:val="5"/>
    <w:autoRedefine/>
    <w:qFormat/>
    <w:locked/>
    <w:uiPriority w:val="99"/>
    <w:rPr>
      <w:rFonts w:eastAsia="宋体" w:cs="Times New Roman"/>
      <w:b/>
      <w:bCs/>
      <w:kern w:val="2"/>
      <w:sz w:val="32"/>
      <w:szCs w:val="32"/>
      <w:lang w:val="en-US" w:eastAsia="zh-CN"/>
    </w:rPr>
  </w:style>
  <w:style w:type="character" w:customStyle="1" w:styleId="71">
    <w:name w:val="Heading 4 Char"/>
    <w:basedOn w:val="50"/>
    <w:link w:val="6"/>
    <w:autoRedefine/>
    <w:qFormat/>
    <w:locked/>
    <w:uiPriority w:val="99"/>
    <w:rPr>
      <w:rFonts w:ascii="Cambria" w:hAnsi="Cambria" w:eastAsia="宋体" w:cs="Cambria"/>
      <w:b/>
      <w:bCs/>
      <w:kern w:val="2"/>
      <w:sz w:val="28"/>
      <w:szCs w:val="28"/>
      <w:lang w:val="en-US" w:eastAsia="zh-CN"/>
    </w:rPr>
  </w:style>
  <w:style w:type="character" w:customStyle="1" w:styleId="72">
    <w:name w:val="Heading 5 Char"/>
    <w:basedOn w:val="50"/>
    <w:link w:val="7"/>
    <w:autoRedefine/>
    <w:qFormat/>
    <w:locked/>
    <w:uiPriority w:val="99"/>
    <w:rPr>
      <w:rFonts w:ascii="Calibri" w:hAnsi="Calibri" w:eastAsia="宋体" w:cs="Calibri"/>
      <w:b/>
      <w:bCs/>
      <w:kern w:val="2"/>
      <w:sz w:val="28"/>
      <w:szCs w:val="28"/>
      <w:lang w:val="en-US" w:eastAsia="zh-CN"/>
    </w:rPr>
  </w:style>
  <w:style w:type="character" w:customStyle="1" w:styleId="73">
    <w:name w:val="Heading 6 Char"/>
    <w:basedOn w:val="50"/>
    <w:link w:val="8"/>
    <w:autoRedefine/>
    <w:qFormat/>
    <w:locked/>
    <w:uiPriority w:val="99"/>
    <w:rPr>
      <w:rFonts w:ascii="Cambria" w:hAnsi="Cambria" w:eastAsia="宋体" w:cs="Cambria"/>
      <w:b/>
      <w:bCs/>
      <w:kern w:val="2"/>
      <w:sz w:val="24"/>
      <w:szCs w:val="24"/>
      <w:lang w:val="en-US" w:eastAsia="zh-CN"/>
    </w:rPr>
  </w:style>
  <w:style w:type="character" w:customStyle="1" w:styleId="74">
    <w:name w:val="Heading 7 Char"/>
    <w:basedOn w:val="50"/>
    <w:link w:val="9"/>
    <w:autoRedefine/>
    <w:qFormat/>
    <w:locked/>
    <w:uiPriority w:val="99"/>
    <w:rPr>
      <w:rFonts w:ascii="Calibri" w:hAnsi="Calibri" w:eastAsia="宋体" w:cs="Calibri"/>
      <w:b/>
      <w:bCs/>
      <w:kern w:val="2"/>
      <w:sz w:val="24"/>
      <w:szCs w:val="24"/>
      <w:lang w:val="en-US" w:eastAsia="zh-CN"/>
    </w:rPr>
  </w:style>
  <w:style w:type="character" w:customStyle="1" w:styleId="75">
    <w:name w:val="Heading 8 Char"/>
    <w:basedOn w:val="50"/>
    <w:link w:val="10"/>
    <w:autoRedefine/>
    <w:qFormat/>
    <w:locked/>
    <w:uiPriority w:val="99"/>
    <w:rPr>
      <w:rFonts w:ascii="Cambria" w:hAnsi="Cambria" w:eastAsia="宋体" w:cs="Cambria"/>
      <w:kern w:val="2"/>
      <w:sz w:val="24"/>
      <w:szCs w:val="24"/>
      <w:lang w:val="en-US" w:eastAsia="zh-CN"/>
    </w:rPr>
  </w:style>
  <w:style w:type="character" w:customStyle="1" w:styleId="76">
    <w:name w:val="Heading 9 Char"/>
    <w:basedOn w:val="50"/>
    <w:link w:val="11"/>
    <w:autoRedefine/>
    <w:qFormat/>
    <w:locked/>
    <w:uiPriority w:val="99"/>
    <w:rPr>
      <w:rFonts w:ascii="Cambria" w:hAnsi="Cambria" w:eastAsia="宋体" w:cs="Cambria"/>
      <w:kern w:val="2"/>
      <w:sz w:val="21"/>
      <w:szCs w:val="21"/>
      <w:lang w:val="en-US" w:eastAsia="zh-CN"/>
    </w:rPr>
  </w:style>
  <w:style w:type="character" w:customStyle="1" w:styleId="77">
    <w:name w:val="Document Map Char"/>
    <w:basedOn w:val="50"/>
    <w:link w:val="14"/>
    <w:autoRedefine/>
    <w:qFormat/>
    <w:locked/>
    <w:uiPriority w:val="99"/>
    <w:rPr>
      <w:rFonts w:cs="Times New Roman"/>
      <w:sz w:val="24"/>
      <w:szCs w:val="24"/>
      <w:shd w:val="clear" w:color="auto" w:fill="000080"/>
    </w:rPr>
  </w:style>
  <w:style w:type="character" w:customStyle="1" w:styleId="78">
    <w:name w:val="Comment Text Char"/>
    <w:basedOn w:val="50"/>
    <w:link w:val="15"/>
    <w:autoRedefine/>
    <w:qFormat/>
    <w:locked/>
    <w:uiPriority w:val="99"/>
    <w:rPr>
      <w:rFonts w:cs="Times New Roman"/>
      <w:kern w:val="2"/>
      <w:sz w:val="22"/>
      <w:szCs w:val="22"/>
    </w:rPr>
  </w:style>
  <w:style w:type="character" w:customStyle="1" w:styleId="79">
    <w:name w:val="Body Text 3 Char"/>
    <w:basedOn w:val="50"/>
    <w:link w:val="16"/>
    <w:autoRedefine/>
    <w:semiHidden/>
    <w:qFormat/>
    <w:locked/>
    <w:uiPriority w:val="99"/>
    <w:rPr>
      <w:rFonts w:cs="Times New Roman"/>
      <w:sz w:val="16"/>
      <w:szCs w:val="16"/>
    </w:rPr>
  </w:style>
  <w:style w:type="character" w:customStyle="1" w:styleId="80">
    <w:name w:val="Body Text Char"/>
    <w:basedOn w:val="50"/>
    <w:link w:val="17"/>
    <w:autoRedefine/>
    <w:qFormat/>
    <w:locked/>
    <w:uiPriority w:val="99"/>
    <w:rPr>
      <w:rFonts w:eastAsia="宋体" w:cs="Times New Roman"/>
      <w:b/>
      <w:bCs/>
      <w:kern w:val="2"/>
      <w:sz w:val="44"/>
      <w:szCs w:val="44"/>
      <w:lang w:val="en-US" w:eastAsia="zh-CN"/>
    </w:rPr>
  </w:style>
  <w:style w:type="character" w:customStyle="1" w:styleId="81">
    <w:name w:val="Body Text Indent Char"/>
    <w:basedOn w:val="50"/>
    <w:link w:val="19"/>
    <w:autoRedefine/>
    <w:semiHidden/>
    <w:qFormat/>
    <w:locked/>
    <w:uiPriority w:val="99"/>
    <w:rPr>
      <w:rFonts w:cs="Times New Roman"/>
      <w:sz w:val="21"/>
      <w:szCs w:val="21"/>
    </w:rPr>
  </w:style>
  <w:style w:type="character" w:customStyle="1" w:styleId="82">
    <w:name w:val="Plain Text Char"/>
    <w:basedOn w:val="50"/>
    <w:link w:val="25"/>
    <w:autoRedefine/>
    <w:semiHidden/>
    <w:qFormat/>
    <w:locked/>
    <w:uiPriority w:val="99"/>
    <w:rPr>
      <w:rFonts w:ascii="宋体" w:hAnsi="Courier New" w:cs="Courier New"/>
      <w:sz w:val="21"/>
      <w:szCs w:val="21"/>
    </w:rPr>
  </w:style>
  <w:style w:type="character" w:customStyle="1" w:styleId="83">
    <w:name w:val="Date Char"/>
    <w:basedOn w:val="50"/>
    <w:link w:val="27"/>
    <w:autoRedefine/>
    <w:qFormat/>
    <w:locked/>
    <w:uiPriority w:val="99"/>
    <w:rPr>
      <w:rFonts w:ascii="仿宋_GB2312" w:eastAsia="仿宋_GB2312" w:cs="仿宋_GB2312"/>
      <w:kern w:val="2"/>
      <w:sz w:val="30"/>
      <w:szCs w:val="30"/>
      <w:lang w:val="en-US" w:eastAsia="zh-CN"/>
    </w:rPr>
  </w:style>
  <w:style w:type="character" w:customStyle="1" w:styleId="84">
    <w:name w:val="Body Text Indent 2 Char"/>
    <w:basedOn w:val="50"/>
    <w:link w:val="28"/>
    <w:autoRedefine/>
    <w:semiHidden/>
    <w:qFormat/>
    <w:locked/>
    <w:uiPriority w:val="99"/>
    <w:rPr>
      <w:rFonts w:cs="Times New Roman"/>
      <w:sz w:val="21"/>
      <w:szCs w:val="21"/>
    </w:rPr>
  </w:style>
  <w:style w:type="character" w:customStyle="1" w:styleId="85">
    <w:name w:val="Balloon Text Char"/>
    <w:basedOn w:val="50"/>
    <w:link w:val="29"/>
    <w:autoRedefine/>
    <w:semiHidden/>
    <w:qFormat/>
    <w:locked/>
    <w:uiPriority w:val="99"/>
    <w:rPr>
      <w:rFonts w:cs="Times New Roman"/>
      <w:sz w:val="2"/>
    </w:rPr>
  </w:style>
  <w:style w:type="character" w:customStyle="1" w:styleId="86">
    <w:name w:val="Footer Char"/>
    <w:basedOn w:val="50"/>
    <w:link w:val="30"/>
    <w:autoRedefine/>
    <w:qFormat/>
    <w:locked/>
    <w:uiPriority w:val="99"/>
    <w:rPr>
      <w:rFonts w:eastAsia="宋体" w:cs="Times New Roman"/>
      <w:kern w:val="2"/>
      <w:sz w:val="18"/>
      <w:szCs w:val="18"/>
      <w:lang w:val="en-US" w:eastAsia="zh-CN"/>
    </w:rPr>
  </w:style>
  <w:style w:type="character" w:customStyle="1" w:styleId="87">
    <w:name w:val="Header Char"/>
    <w:basedOn w:val="50"/>
    <w:link w:val="31"/>
    <w:autoRedefine/>
    <w:qFormat/>
    <w:locked/>
    <w:uiPriority w:val="99"/>
    <w:rPr>
      <w:rFonts w:eastAsia="宋体" w:cs="Times New Roman"/>
      <w:kern w:val="2"/>
      <w:sz w:val="18"/>
      <w:szCs w:val="18"/>
      <w:lang w:val="en-US" w:eastAsia="zh-CN"/>
    </w:rPr>
  </w:style>
  <w:style w:type="character" w:customStyle="1" w:styleId="88">
    <w:name w:val="Subtitle Char"/>
    <w:basedOn w:val="50"/>
    <w:link w:val="34"/>
    <w:autoRedefine/>
    <w:qFormat/>
    <w:locked/>
    <w:uiPriority w:val="99"/>
    <w:rPr>
      <w:rFonts w:ascii="Cambria" w:hAnsi="Cambria" w:cs="Cambria"/>
      <w:b/>
      <w:bCs/>
      <w:kern w:val="28"/>
      <w:sz w:val="32"/>
      <w:szCs w:val="32"/>
    </w:rPr>
  </w:style>
  <w:style w:type="character" w:customStyle="1" w:styleId="89">
    <w:name w:val="Footnote Text Char"/>
    <w:basedOn w:val="50"/>
    <w:link w:val="35"/>
    <w:autoRedefine/>
    <w:semiHidden/>
    <w:qFormat/>
    <w:locked/>
    <w:uiPriority w:val="99"/>
    <w:rPr>
      <w:rFonts w:cs="Times New Roman"/>
      <w:sz w:val="18"/>
      <w:szCs w:val="18"/>
    </w:rPr>
  </w:style>
  <w:style w:type="character" w:customStyle="1" w:styleId="90">
    <w:name w:val="Body Text Indent 3 Char"/>
    <w:basedOn w:val="50"/>
    <w:link w:val="37"/>
    <w:autoRedefine/>
    <w:semiHidden/>
    <w:qFormat/>
    <w:locked/>
    <w:uiPriority w:val="99"/>
    <w:rPr>
      <w:rFonts w:cs="Times New Roman"/>
      <w:sz w:val="16"/>
      <w:szCs w:val="16"/>
    </w:rPr>
  </w:style>
  <w:style w:type="character" w:customStyle="1" w:styleId="91">
    <w:name w:val="Body Text 2 Char"/>
    <w:basedOn w:val="50"/>
    <w:link w:val="41"/>
    <w:autoRedefine/>
    <w:semiHidden/>
    <w:qFormat/>
    <w:locked/>
    <w:uiPriority w:val="99"/>
    <w:rPr>
      <w:rFonts w:cs="Times New Roman"/>
      <w:sz w:val="21"/>
      <w:szCs w:val="21"/>
    </w:rPr>
  </w:style>
  <w:style w:type="character" w:customStyle="1" w:styleId="92">
    <w:name w:val="Title Char"/>
    <w:basedOn w:val="50"/>
    <w:link w:val="44"/>
    <w:autoRedefine/>
    <w:qFormat/>
    <w:locked/>
    <w:uiPriority w:val="99"/>
    <w:rPr>
      <w:rFonts w:ascii="Cambria" w:hAnsi="Cambria" w:cs="Cambria"/>
      <w:b/>
      <w:bCs/>
      <w:kern w:val="2"/>
      <w:sz w:val="32"/>
      <w:szCs w:val="32"/>
    </w:rPr>
  </w:style>
  <w:style w:type="character" w:customStyle="1" w:styleId="93">
    <w:name w:val="Comment Subject Char"/>
    <w:basedOn w:val="78"/>
    <w:link w:val="45"/>
    <w:autoRedefine/>
    <w:qFormat/>
    <w:locked/>
    <w:uiPriority w:val="99"/>
    <w:rPr>
      <w:rFonts w:ascii="宋体" w:cs="宋体"/>
      <w:b/>
      <w:bCs/>
      <w:sz w:val="28"/>
      <w:szCs w:val="28"/>
    </w:rPr>
  </w:style>
  <w:style w:type="character" w:customStyle="1" w:styleId="94">
    <w:name w:val="Body Text First Indent 2 Char"/>
    <w:basedOn w:val="81"/>
    <w:link w:val="47"/>
    <w:autoRedefine/>
    <w:semiHidden/>
    <w:qFormat/>
    <w:locked/>
    <w:uiPriority w:val="99"/>
  </w:style>
  <w:style w:type="character" w:customStyle="1" w:styleId="95">
    <w:name w:val="批注文字 Char Char"/>
    <w:autoRedefine/>
    <w:qFormat/>
    <w:uiPriority w:val="99"/>
    <w:rPr>
      <w:rFonts w:ascii="宋体" w:hAnsi="Times New Roman" w:eastAsia="宋体"/>
      <w:sz w:val="20"/>
    </w:rPr>
  </w:style>
  <w:style w:type="character" w:customStyle="1" w:styleId="96">
    <w:name w:val="标题 1 Char Char"/>
    <w:autoRedefine/>
    <w:qFormat/>
    <w:locked/>
    <w:uiPriority w:val="99"/>
    <w:rPr>
      <w:rFonts w:eastAsia="宋体"/>
      <w:b/>
      <w:kern w:val="44"/>
      <w:sz w:val="44"/>
      <w:lang w:val="en-US" w:eastAsia="zh-CN"/>
    </w:rPr>
  </w:style>
  <w:style w:type="character" w:customStyle="1" w:styleId="97">
    <w:name w:val="Char Char"/>
    <w:autoRedefine/>
    <w:qFormat/>
    <w:uiPriority w:val="99"/>
    <w:rPr>
      <w:rFonts w:ascii="Arial" w:hAnsi="Arial" w:eastAsia="黑体"/>
      <w:b/>
      <w:kern w:val="2"/>
      <w:sz w:val="32"/>
      <w:lang w:val="en-US" w:eastAsia="zh-CN"/>
    </w:rPr>
  </w:style>
  <w:style w:type="character" w:customStyle="1" w:styleId="98">
    <w:name w:val="明显参考1"/>
    <w:autoRedefine/>
    <w:qFormat/>
    <w:uiPriority w:val="99"/>
    <w:rPr>
      <w:b/>
      <w:smallCaps/>
      <w:color w:val="auto"/>
      <w:spacing w:val="5"/>
      <w:u w:val="single"/>
    </w:rPr>
  </w:style>
  <w:style w:type="character" w:customStyle="1" w:styleId="99">
    <w:name w:val="明显强调1"/>
    <w:autoRedefine/>
    <w:qFormat/>
    <w:uiPriority w:val="99"/>
    <w:rPr>
      <w:b/>
      <w:i/>
      <w:color w:val="4F81BD"/>
    </w:rPr>
  </w:style>
  <w:style w:type="character" w:customStyle="1" w:styleId="100">
    <w:name w:val="文档结构图 Char1"/>
    <w:autoRedefine/>
    <w:qFormat/>
    <w:uiPriority w:val="99"/>
    <w:rPr>
      <w:rFonts w:ascii="宋体"/>
      <w:kern w:val="2"/>
      <w:sz w:val="18"/>
    </w:rPr>
  </w:style>
  <w:style w:type="character" w:customStyle="1" w:styleId="101">
    <w:name w:val="日期 Char"/>
    <w:autoRedefine/>
    <w:qFormat/>
    <w:uiPriority w:val="99"/>
    <w:rPr>
      <w:rFonts w:ascii="仿宋_GB2312" w:eastAsia="仿宋_GB2312"/>
      <w:kern w:val="2"/>
      <w:sz w:val="30"/>
      <w:lang w:val="en-US" w:eastAsia="zh-CN"/>
    </w:rPr>
  </w:style>
  <w:style w:type="character" w:customStyle="1" w:styleId="102">
    <w:name w:val="textcontents"/>
    <w:autoRedefine/>
    <w:qFormat/>
    <w:uiPriority w:val="99"/>
  </w:style>
  <w:style w:type="character" w:customStyle="1" w:styleId="103">
    <w:name w:val="引用 Char"/>
    <w:link w:val="104"/>
    <w:autoRedefine/>
    <w:qFormat/>
    <w:locked/>
    <w:uiPriority w:val="99"/>
    <w:rPr>
      <w:i/>
      <w:color w:val="000000"/>
      <w:kern w:val="2"/>
      <w:sz w:val="22"/>
    </w:rPr>
  </w:style>
  <w:style w:type="paragraph" w:customStyle="1" w:styleId="104">
    <w:name w:val="引用1"/>
    <w:basedOn w:val="1"/>
    <w:next w:val="1"/>
    <w:link w:val="103"/>
    <w:autoRedefine/>
    <w:qFormat/>
    <w:uiPriority w:val="99"/>
    <w:rPr>
      <w:i/>
      <w:color w:val="000000"/>
      <w:sz w:val="22"/>
      <w:szCs w:val="20"/>
    </w:rPr>
  </w:style>
  <w:style w:type="character" w:customStyle="1" w:styleId="105">
    <w:name w:val="日期 Char1"/>
    <w:autoRedefine/>
    <w:qFormat/>
    <w:uiPriority w:val="99"/>
    <w:rPr>
      <w:kern w:val="2"/>
      <w:sz w:val="22"/>
    </w:rPr>
  </w:style>
  <w:style w:type="character" w:customStyle="1" w:styleId="106">
    <w:name w:val="不明显参考1"/>
    <w:autoRedefine/>
    <w:qFormat/>
    <w:uiPriority w:val="99"/>
    <w:rPr>
      <w:smallCaps/>
      <w:color w:val="auto"/>
      <w:u w:val="single"/>
    </w:rPr>
  </w:style>
  <w:style w:type="character" w:customStyle="1" w:styleId="107">
    <w:name w:val="批注框文本 Char1"/>
    <w:autoRedefine/>
    <w:qFormat/>
    <w:uiPriority w:val="99"/>
    <w:rPr>
      <w:kern w:val="2"/>
      <w:sz w:val="18"/>
    </w:rPr>
  </w:style>
  <w:style w:type="character" w:customStyle="1" w:styleId="108">
    <w:name w:val="不明显强调1"/>
    <w:autoRedefine/>
    <w:qFormat/>
    <w:uiPriority w:val="99"/>
    <w:rPr>
      <w:i/>
      <w:color w:val="808080"/>
    </w:rPr>
  </w:style>
  <w:style w:type="character" w:customStyle="1" w:styleId="109">
    <w:name w:val="标题4 Char Char"/>
    <w:link w:val="110"/>
    <w:autoRedefine/>
    <w:qFormat/>
    <w:locked/>
    <w:uiPriority w:val="99"/>
    <w:rPr>
      <w:rFonts w:ascii="Arial" w:hAnsi="Arial"/>
      <w:b/>
      <w:sz w:val="32"/>
    </w:rPr>
  </w:style>
  <w:style w:type="paragraph" w:customStyle="1" w:styleId="110">
    <w:name w:val="标题4"/>
    <w:basedOn w:val="4"/>
    <w:next w:val="22"/>
    <w:link w:val="109"/>
    <w:autoRedefine/>
    <w:qFormat/>
    <w:uiPriority w:val="99"/>
    <w:pPr>
      <w:spacing w:line="413" w:lineRule="auto"/>
    </w:pPr>
    <w:rPr>
      <w:rFonts w:eastAsia="宋体" w:cs="Times New Roman"/>
      <w:bCs w:val="0"/>
      <w:kern w:val="0"/>
      <w:szCs w:val="20"/>
    </w:rPr>
  </w:style>
  <w:style w:type="character" w:customStyle="1" w:styleId="111">
    <w:name w:val="书籍标题1"/>
    <w:autoRedefine/>
    <w:qFormat/>
    <w:uiPriority w:val="99"/>
    <w:rPr>
      <w:b/>
      <w:smallCaps/>
      <w:spacing w:val="5"/>
    </w:rPr>
  </w:style>
  <w:style w:type="character" w:customStyle="1" w:styleId="112">
    <w:name w:val="bigfont"/>
    <w:basedOn w:val="50"/>
    <w:autoRedefine/>
    <w:qFormat/>
    <w:uiPriority w:val="99"/>
    <w:rPr>
      <w:rFonts w:cs="Times New Roman"/>
    </w:rPr>
  </w:style>
  <w:style w:type="character" w:customStyle="1" w:styleId="113">
    <w:name w:val="news_title1"/>
    <w:autoRedefine/>
    <w:qFormat/>
    <w:uiPriority w:val="99"/>
    <w:rPr>
      <w:rFonts w:ascii="宋体" w:hAnsi="宋体" w:eastAsia="宋体"/>
      <w:b/>
      <w:color w:val="000000"/>
      <w:sz w:val="36"/>
      <w:u w:val="none"/>
    </w:rPr>
  </w:style>
  <w:style w:type="character" w:customStyle="1" w:styleId="114">
    <w:name w:val="标题5 Char Char"/>
    <w:link w:val="115"/>
    <w:autoRedefine/>
    <w:qFormat/>
    <w:locked/>
    <w:uiPriority w:val="99"/>
    <w:rPr>
      <w:rFonts w:ascii="Arial" w:hAnsi="Arial"/>
      <w:b/>
      <w:sz w:val="32"/>
    </w:rPr>
  </w:style>
  <w:style w:type="paragraph" w:customStyle="1" w:styleId="115">
    <w:name w:val="标题5"/>
    <w:basedOn w:val="5"/>
    <w:link w:val="114"/>
    <w:autoRedefine/>
    <w:qFormat/>
    <w:uiPriority w:val="99"/>
    <w:pPr>
      <w:spacing w:line="413" w:lineRule="auto"/>
    </w:pPr>
    <w:rPr>
      <w:rFonts w:ascii="Arial" w:hAnsi="Arial"/>
      <w:bCs w:val="0"/>
      <w:kern w:val="0"/>
      <w:szCs w:val="20"/>
    </w:rPr>
  </w:style>
  <w:style w:type="character" w:customStyle="1" w:styleId="116">
    <w:name w:val="font161"/>
    <w:autoRedefine/>
    <w:qFormat/>
    <w:uiPriority w:val="99"/>
    <w:rPr>
      <w:b/>
      <w:sz w:val="32"/>
    </w:rPr>
  </w:style>
  <w:style w:type="character" w:customStyle="1" w:styleId="117">
    <w:name w:val="标题 2 Char Char"/>
    <w:autoRedefine/>
    <w:qFormat/>
    <w:locked/>
    <w:uiPriority w:val="99"/>
    <w:rPr>
      <w:rFonts w:ascii="Arial" w:hAnsi="Arial" w:eastAsia="黑体"/>
      <w:b/>
      <w:kern w:val="2"/>
      <w:sz w:val="32"/>
      <w:lang w:val="en-US" w:eastAsia="zh-CN"/>
    </w:rPr>
  </w:style>
  <w:style w:type="character" w:customStyle="1" w:styleId="118">
    <w:name w:val="Char Char1"/>
    <w:autoRedefine/>
    <w:qFormat/>
    <w:uiPriority w:val="99"/>
    <w:rPr>
      <w:rFonts w:ascii="宋体" w:hAnsi="Times New Roman"/>
      <w:sz w:val="28"/>
    </w:rPr>
  </w:style>
  <w:style w:type="character" w:customStyle="1" w:styleId="119">
    <w:name w:val="明显引用 Char"/>
    <w:link w:val="120"/>
    <w:autoRedefine/>
    <w:qFormat/>
    <w:locked/>
    <w:uiPriority w:val="99"/>
    <w:rPr>
      <w:b/>
      <w:i/>
      <w:color w:val="4F81BD"/>
      <w:kern w:val="2"/>
      <w:sz w:val="22"/>
    </w:rPr>
  </w:style>
  <w:style w:type="paragraph" w:customStyle="1" w:styleId="120">
    <w:name w:val="明显引用1"/>
    <w:basedOn w:val="1"/>
    <w:next w:val="1"/>
    <w:link w:val="119"/>
    <w:autoRedefine/>
    <w:qFormat/>
    <w:uiPriority w:val="99"/>
    <w:pPr>
      <w:pBdr>
        <w:bottom w:val="single" w:color="4F81BD" w:sz="4" w:space="4"/>
      </w:pBdr>
      <w:spacing w:before="200" w:after="280"/>
      <w:ind w:left="936" w:right="936"/>
    </w:pPr>
    <w:rPr>
      <w:b/>
      <w:i/>
      <w:color w:val="4F81BD"/>
      <w:sz w:val="22"/>
      <w:szCs w:val="20"/>
    </w:rPr>
  </w:style>
  <w:style w:type="character" w:customStyle="1" w:styleId="121">
    <w:name w:val="批注主题 Char1"/>
    <w:autoRedefine/>
    <w:qFormat/>
    <w:uiPriority w:val="99"/>
    <w:rPr>
      <w:b/>
      <w:kern w:val="2"/>
      <w:sz w:val="22"/>
    </w:rPr>
  </w:style>
  <w:style w:type="character" w:customStyle="1" w:styleId="122">
    <w:name w:val="正文文本 Char1"/>
    <w:autoRedefine/>
    <w:qFormat/>
    <w:uiPriority w:val="99"/>
    <w:rPr>
      <w:kern w:val="2"/>
      <w:sz w:val="22"/>
    </w:rPr>
  </w:style>
  <w:style w:type="paragraph" w:customStyle="1" w:styleId="123">
    <w:name w:val="默认段落字体 Para Char Char Char Char"/>
    <w:basedOn w:val="1"/>
    <w:autoRedefine/>
    <w:qFormat/>
    <w:uiPriority w:val="99"/>
  </w:style>
  <w:style w:type="paragraph" w:customStyle="1" w:styleId="124">
    <w:name w:val="Char Char Char Char Char Char Char Char Char Char Char Char Char"/>
    <w:basedOn w:val="1"/>
    <w:autoRedefine/>
    <w:qFormat/>
    <w:uiPriority w:val="99"/>
  </w:style>
  <w:style w:type="paragraph" w:customStyle="1" w:styleId="125">
    <w:name w:val="样式 标题 3 + (中文) 黑体 小四 非加粗 段前: 7.8 磅 段后: 0 磅 行距: 固定值 20 磅"/>
    <w:basedOn w:val="5"/>
    <w:autoRedefine/>
    <w:qFormat/>
    <w:uiPriority w:val="99"/>
    <w:pPr>
      <w:spacing w:before="0" w:after="0" w:line="400" w:lineRule="exact"/>
    </w:pPr>
    <w:rPr>
      <w:rFonts w:eastAsia="黑体"/>
      <w:b w:val="0"/>
      <w:bCs w:val="0"/>
      <w:sz w:val="24"/>
      <w:szCs w:val="24"/>
    </w:rPr>
  </w:style>
  <w:style w:type="paragraph" w:customStyle="1" w:styleId="126">
    <w:name w:val="表格文字"/>
    <w:basedOn w:val="1"/>
    <w:autoRedefine/>
    <w:qFormat/>
    <w:uiPriority w:val="99"/>
    <w:pPr>
      <w:adjustRightInd w:val="0"/>
      <w:spacing w:line="420" w:lineRule="atLeast"/>
      <w:jc w:val="left"/>
      <w:textAlignment w:val="baseline"/>
    </w:pPr>
    <w:rPr>
      <w:kern w:val="0"/>
    </w:rPr>
  </w:style>
  <w:style w:type="paragraph" w:customStyle="1" w:styleId="127">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8">
    <w:name w:val="Char"/>
    <w:basedOn w:val="1"/>
    <w:next w:val="1"/>
    <w:autoRedefine/>
    <w:qFormat/>
    <w:uiPriority w:val="99"/>
    <w:pPr>
      <w:widowControl/>
      <w:spacing w:line="360" w:lineRule="auto"/>
      <w:jc w:val="left"/>
    </w:pPr>
    <w:rPr>
      <w:kern w:val="0"/>
      <w:lang w:eastAsia="en-US"/>
    </w:rPr>
  </w:style>
  <w:style w:type="paragraph" w:customStyle="1" w:styleId="129">
    <w:name w:val="样式2"/>
    <w:basedOn w:val="5"/>
    <w:autoRedefine/>
    <w:qFormat/>
    <w:uiPriority w:val="99"/>
    <w:pPr>
      <w:spacing w:line="413" w:lineRule="auto"/>
    </w:pPr>
  </w:style>
  <w:style w:type="paragraph" w:customStyle="1" w:styleId="130">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31">
    <w:name w:val="表格"/>
    <w:basedOn w:val="1"/>
    <w:autoRedefine/>
    <w:qFormat/>
    <w:uiPriority w:val="99"/>
    <w:pPr>
      <w:jc w:val="center"/>
      <w:textAlignment w:val="center"/>
    </w:pPr>
    <w:rPr>
      <w:rFonts w:ascii="华文细黑" w:hAnsi="华文细黑" w:cs="华文细黑"/>
      <w:kern w:val="0"/>
    </w:rPr>
  </w:style>
  <w:style w:type="paragraph" w:customStyle="1" w:styleId="132">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33">
    <w:name w:val="1"/>
    <w:basedOn w:val="1"/>
    <w:next w:val="1"/>
    <w:autoRedefine/>
    <w:qFormat/>
    <w:uiPriority w:val="99"/>
  </w:style>
  <w:style w:type="paragraph" w:customStyle="1" w:styleId="134">
    <w:name w:val="样式1"/>
    <w:basedOn w:val="5"/>
    <w:autoRedefine/>
    <w:qFormat/>
    <w:uiPriority w:val="99"/>
    <w:pPr>
      <w:spacing w:line="413" w:lineRule="auto"/>
    </w:pPr>
  </w:style>
  <w:style w:type="paragraph" w:customStyle="1" w:styleId="135">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6">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7">
    <w:name w:val="样式4"/>
    <w:basedOn w:val="5"/>
    <w:autoRedefine/>
    <w:qFormat/>
    <w:uiPriority w:val="99"/>
    <w:pPr>
      <w:spacing w:line="413" w:lineRule="auto"/>
    </w:pPr>
  </w:style>
  <w:style w:type="paragraph" w:customStyle="1" w:styleId="138">
    <w:name w:val="TOC 标题1"/>
    <w:basedOn w:val="3"/>
    <w:next w:val="1"/>
    <w:autoRedefine/>
    <w:qFormat/>
    <w:uiPriority w:val="99"/>
    <w:pPr>
      <w:spacing w:line="576" w:lineRule="auto"/>
      <w:outlineLvl w:val="9"/>
    </w:pPr>
    <w:rPr>
      <w:rFonts w:ascii="Calibri" w:hAnsi="Calibri" w:cs="Calibri"/>
    </w:rPr>
  </w:style>
  <w:style w:type="paragraph" w:customStyle="1" w:styleId="139">
    <w:name w:val="样式 标题 1 + 黑体 三号 非加粗 居中 段前: 6 磅 段后: 6 磅 行距: 固定值 20 磅"/>
    <w:basedOn w:val="3"/>
    <w:autoRedefine/>
    <w:qFormat/>
    <w:uiPriority w:val="99"/>
    <w:pPr>
      <w:spacing w:before="120" w:after="120" w:line="400" w:lineRule="exact"/>
    </w:pPr>
    <w:rPr>
      <w:rFonts w:ascii="黑体" w:hAnsi="黑体" w:eastAsia="黑体" w:cs="黑体"/>
      <w:b w:val="0"/>
      <w:bCs w:val="0"/>
      <w:sz w:val="32"/>
      <w:szCs w:val="32"/>
    </w:rPr>
  </w:style>
  <w:style w:type="paragraph" w:customStyle="1" w:styleId="140">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41">
    <w:name w:val="Char Char Char Char Char Char Char Char Char Char Char Char Char1"/>
    <w:basedOn w:val="14"/>
    <w:autoRedefine/>
    <w:qFormat/>
    <w:uiPriority w:val="99"/>
    <w:rPr>
      <w:rFonts w:ascii="Tahoma" w:hAnsi="Tahoma" w:cs="Tahoma"/>
      <w:sz w:val="24"/>
      <w:szCs w:val="24"/>
      <w:shd w:val="clear" w:color="auto" w:fill="auto"/>
    </w:rPr>
  </w:style>
  <w:style w:type="paragraph" w:customStyle="1" w:styleId="142">
    <w:name w:val="Char1"/>
    <w:basedOn w:val="1"/>
    <w:autoRedefine/>
    <w:qFormat/>
    <w:uiPriority w:val="99"/>
    <w:rPr>
      <w:rFonts w:ascii="Tahoma" w:hAnsi="Tahoma" w:cs="Tahoma"/>
      <w:sz w:val="24"/>
      <w:szCs w:val="24"/>
    </w:rPr>
  </w:style>
  <w:style w:type="paragraph" w:customStyle="1" w:styleId="143">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4">
    <w:name w:val="样式3"/>
    <w:basedOn w:val="5"/>
    <w:autoRedefine/>
    <w:qFormat/>
    <w:uiPriority w:val="99"/>
    <w:pPr>
      <w:spacing w:line="413" w:lineRule="auto"/>
    </w:pPr>
  </w:style>
  <w:style w:type="paragraph" w:customStyle="1" w:styleId="14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6">
    <w:name w:val="列出段落2"/>
    <w:basedOn w:val="1"/>
    <w:autoRedefine/>
    <w:qFormat/>
    <w:uiPriority w:val="99"/>
    <w:pPr>
      <w:ind w:firstLine="200" w:firstLineChars="200"/>
    </w:pPr>
  </w:style>
  <w:style w:type="paragraph" w:customStyle="1" w:styleId="147">
    <w:name w:val="p0"/>
    <w:basedOn w:val="1"/>
    <w:autoRedefine/>
    <w:qFormat/>
    <w:uiPriority w:val="99"/>
    <w:pPr>
      <w:widowControl/>
    </w:pPr>
    <w:rPr>
      <w:kern w:val="0"/>
    </w:rPr>
  </w:style>
  <w:style w:type="paragraph" w:customStyle="1" w:styleId="148">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9">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50">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51">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52">
    <w:name w:val="font12"/>
    <w:basedOn w:val="50"/>
    <w:autoRedefine/>
    <w:qFormat/>
    <w:uiPriority w:val="0"/>
    <w:rPr>
      <w:rFonts w:hint="eastAsia" w:ascii="仿宋" w:hAnsi="仿宋" w:eastAsia="仿宋" w:cs="仿宋"/>
      <w:b/>
      <w:color w:val="000000"/>
      <w:sz w:val="32"/>
      <w:szCs w:val="32"/>
      <w:u w:val="none"/>
    </w:rPr>
  </w:style>
  <w:style w:type="paragraph" w:customStyle="1" w:styleId="153">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154">
    <w:name w:val="font101"/>
    <w:basedOn w:val="50"/>
    <w:autoRedefine/>
    <w:qFormat/>
    <w:uiPriority w:val="0"/>
    <w:rPr>
      <w:rFonts w:hint="default" w:ascii="Times New Roman" w:hAnsi="Times New Roman" w:cs="Times New Roman"/>
      <w:color w:val="000000"/>
      <w:sz w:val="24"/>
      <w:szCs w:val="24"/>
      <w:u w:val="none"/>
    </w:rPr>
  </w:style>
  <w:style w:type="character" w:customStyle="1" w:styleId="155">
    <w:name w:val="font111"/>
    <w:basedOn w:val="50"/>
    <w:autoRedefine/>
    <w:qFormat/>
    <w:uiPriority w:val="0"/>
    <w:rPr>
      <w:rFonts w:ascii="仿宋_GB2312" w:eastAsia="仿宋_GB2312" w:cs="仿宋_GB2312"/>
      <w:color w:val="000000"/>
      <w:sz w:val="24"/>
      <w:szCs w:val="24"/>
      <w:u w:val="none"/>
    </w:rPr>
  </w:style>
  <w:style w:type="character" w:customStyle="1" w:styleId="156">
    <w:name w:val="font91"/>
    <w:basedOn w:val="50"/>
    <w:autoRedefine/>
    <w:qFormat/>
    <w:uiPriority w:val="0"/>
    <w:rPr>
      <w:rFonts w:hint="eastAsia" w:ascii="仿宋" w:hAnsi="仿宋" w:eastAsia="仿宋" w:cs="仿宋"/>
      <w:color w:val="000000"/>
      <w:sz w:val="24"/>
      <w:szCs w:val="24"/>
      <w:u w:val="single"/>
    </w:rPr>
  </w:style>
  <w:style w:type="character" w:customStyle="1" w:styleId="157">
    <w:name w:val="font81"/>
    <w:basedOn w:val="50"/>
    <w:autoRedefine/>
    <w:qFormat/>
    <w:uiPriority w:val="0"/>
    <w:rPr>
      <w:rFonts w:hint="eastAsia" w:ascii="仿宋" w:hAnsi="仿宋" w:eastAsia="仿宋" w:cs="仿宋"/>
      <w:color w:val="000000"/>
      <w:sz w:val="24"/>
      <w:szCs w:val="24"/>
      <w:u w:val="none"/>
    </w:rPr>
  </w:style>
  <w:style w:type="paragraph" w:customStyle="1" w:styleId="158">
    <w:name w:val="Table Paragraph"/>
    <w:basedOn w:val="1"/>
    <w:autoRedefine/>
    <w:qFormat/>
    <w:uiPriority w:val="1"/>
    <w:pPr>
      <w:autoSpaceDE w:val="0"/>
      <w:autoSpaceDN w:val="0"/>
      <w:jc w:val="left"/>
    </w:pPr>
    <w:rPr>
      <w:rFonts w:ascii="宋体" w:hAnsi="宋体" w:cs="宋体"/>
      <w:kern w:val="0"/>
      <w:sz w:val="22"/>
      <w:szCs w:val="22"/>
    </w:rPr>
  </w:style>
  <w:style w:type="character" w:customStyle="1" w:styleId="159">
    <w:name w:val="font21"/>
    <w:basedOn w:val="50"/>
    <w:autoRedefine/>
    <w:qFormat/>
    <w:uiPriority w:val="0"/>
    <w:rPr>
      <w:rFonts w:ascii="宋体" w:hAnsi="宋体" w:eastAsia="宋体" w:cs="宋体"/>
      <w:b/>
      <w:bCs/>
      <w:color w:val="000000"/>
      <w:sz w:val="18"/>
      <w:szCs w:val="18"/>
      <w:u w:val="none"/>
    </w:rPr>
  </w:style>
  <w:style w:type="character" w:customStyle="1" w:styleId="160">
    <w:name w:val="font31"/>
    <w:basedOn w:val="50"/>
    <w:autoRedefine/>
    <w:qFormat/>
    <w:uiPriority w:val="0"/>
    <w:rPr>
      <w:rFonts w:ascii="宋体" w:hAnsi="宋体" w:eastAsia="宋体" w:cs="宋体"/>
      <w:color w:val="000000"/>
      <w:sz w:val="18"/>
      <w:szCs w:val="18"/>
      <w:u w:val="none"/>
    </w:rPr>
  </w:style>
  <w:style w:type="character" w:customStyle="1" w:styleId="161">
    <w:name w:val="font41"/>
    <w:basedOn w:val="50"/>
    <w:autoRedefine/>
    <w:qFormat/>
    <w:uiPriority w:val="0"/>
    <w:rPr>
      <w:rFonts w:ascii="宋体" w:hAnsi="宋体" w:eastAsia="宋体" w:cs="宋体"/>
      <w:color w:val="000000"/>
      <w:sz w:val="16"/>
      <w:szCs w:val="16"/>
      <w:u w:val="none"/>
    </w:rPr>
  </w:style>
  <w:style w:type="paragraph" w:customStyle="1" w:styleId="16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Table Text"/>
    <w:basedOn w:val="1"/>
    <w:semiHidden/>
    <w:qFormat/>
    <w:uiPriority w:val="0"/>
    <w:rPr>
      <w:rFonts w:ascii="宋体" w:hAnsi="宋体" w:eastAsia="宋体" w:cs="宋体"/>
      <w:sz w:val="26"/>
      <w:szCs w:val="26"/>
      <w:lang w:val="en-US" w:eastAsia="en-US" w:bidi="ar-SA"/>
    </w:rPr>
  </w:style>
  <w:style w:type="character" w:customStyle="1" w:styleId="164">
    <w:name w:val="font11"/>
    <w:basedOn w:val="50"/>
    <w:qFormat/>
    <w:uiPriority w:val="0"/>
    <w:rPr>
      <w:rFonts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42</Pages>
  <Words>9287</Words>
  <Characters>10281</Characters>
  <Lines>0</Lines>
  <Paragraphs>0</Paragraphs>
  <TotalTime>233</TotalTime>
  <ScaleCrop>false</ScaleCrop>
  <LinksUpToDate>false</LinksUpToDate>
  <CharactersWithSpaces>10549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徐川</cp:lastModifiedBy>
  <cp:lastPrinted>2022-05-12T10:33:00Z</cp:lastPrinted>
  <dcterms:modified xsi:type="dcterms:W3CDTF">2026-06-24T00:29:10Z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054A15F0F406409B9CD6BC595D96300B_13</vt:lpwstr>
  </property>
  <property fmtid="{D5CDD505-2E9C-101B-9397-08002B2CF9AE}" pid="4" name="KSOTemplateDocerSaveRecord">
    <vt:lpwstr>eyJoZGlkIjoiZWIyYTkxYWMwZmMyYTc0NDcxNzE0MGFlOTUzMjFjNjQiLCJ1c2VySWQiOiIxNTE5MTYzNDA5In0=</vt:lpwstr>
  </property>
</Properties>
</file>