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D9890D">
      <w:pPr>
        <w:spacing w:line="1000" w:lineRule="exact"/>
        <w:jc w:val="center"/>
        <w:rPr>
          <w:rFonts w:hint="eastAsia" w:ascii="宋体" w:hAnsi="宋体" w:cs="宋体"/>
          <w:b/>
          <w:bCs/>
          <w:color w:val="auto"/>
          <w:sz w:val="96"/>
          <w:szCs w:val="96"/>
          <w:highlight w:val="none"/>
          <w:vertAlign w:val="subscript"/>
        </w:rPr>
      </w:pPr>
    </w:p>
    <w:p w14:paraId="6D34E568">
      <w:pPr>
        <w:spacing w:line="1000" w:lineRule="exact"/>
        <w:jc w:val="center"/>
        <w:rPr>
          <w:rFonts w:hint="default" w:ascii="宋体" w:hAnsi="宋体" w:eastAsia="宋体" w:cs="宋体"/>
          <w:b/>
          <w:bCs/>
          <w:color w:val="auto"/>
          <w:sz w:val="96"/>
          <w:szCs w:val="96"/>
          <w:highlight w:val="none"/>
          <w:vertAlign w:val="subscript"/>
          <w:lang w:val="en-US" w:eastAsia="zh-CN"/>
        </w:rPr>
      </w:pPr>
      <w:r>
        <w:rPr>
          <w:rFonts w:hint="eastAsia" w:ascii="宋体" w:hAnsi="宋体" w:cs="宋体"/>
          <w:b/>
          <w:bCs/>
          <w:color w:val="auto"/>
          <w:sz w:val="96"/>
          <w:szCs w:val="96"/>
          <w:highlight w:val="none"/>
          <w:vertAlign w:val="subscript"/>
        </w:rPr>
        <w:t>滁州市军粮供应站货车采购项目</w:t>
      </w:r>
    </w:p>
    <w:p w14:paraId="1483942C">
      <w:pPr>
        <w:pStyle w:val="47"/>
        <w:rPr>
          <w:rFonts w:hint="eastAsia"/>
          <w:color w:val="auto"/>
          <w:highlight w:val="none"/>
        </w:rPr>
      </w:pPr>
    </w:p>
    <w:p w14:paraId="02C780E6">
      <w:pPr>
        <w:spacing w:line="312" w:lineRule="auto"/>
        <w:jc w:val="center"/>
        <w:rPr>
          <w:rFonts w:hint="eastAsia" w:ascii="宋体" w:hAnsi="宋体"/>
          <w:b/>
          <w:color w:val="auto"/>
          <w:sz w:val="56"/>
          <w:szCs w:val="56"/>
          <w:highlight w:val="none"/>
        </w:rPr>
      </w:pPr>
    </w:p>
    <w:p w14:paraId="066D18C1">
      <w:pPr>
        <w:spacing w:line="312" w:lineRule="auto"/>
        <w:jc w:val="center"/>
        <w:rPr>
          <w:rFonts w:ascii="宋体"/>
          <w:bCs/>
          <w:color w:val="auto"/>
          <w:sz w:val="28"/>
          <w:szCs w:val="28"/>
          <w:highlight w:val="none"/>
        </w:rPr>
      </w:pPr>
      <w:r>
        <w:rPr>
          <w:rFonts w:hint="eastAsia" w:ascii="宋体" w:hAnsi="宋体"/>
          <w:b/>
          <w:color w:val="auto"/>
          <w:sz w:val="84"/>
          <w:szCs w:val="84"/>
          <w:highlight w:val="none"/>
        </w:rPr>
        <w:t>招 标 文 件</w:t>
      </w:r>
    </w:p>
    <w:p w14:paraId="66A6AE36">
      <w:pPr>
        <w:spacing w:line="312" w:lineRule="auto"/>
        <w:jc w:val="center"/>
        <w:rPr>
          <w:rFonts w:ascii="宋体"/>
          <w:bCs/>
          <w:color w:val="auto"/>
          <w:sz w:val="28"/>
          <w:szCs w:val="28"/>
          <w:highlight w:val="none"/>
        </w:rPr>
      </w:pPr>
    </w:p>
    <w:p w14:paraId="0D8A1B4E">
      <w:pPr>
        <w:spacing w:line="600" w:lineRule="exact"/>
        <w:jc w:val="center"/>
        <w:rPr>
          <w:rFonts w:hint="eastAsia" w:ascii="宋体" w:hAnsi="宋体" w:cs="宋体"/>
          <w:color w:val="auto"/>
          <w:sz w:val="28"/>
          <w:szCs w:val="28"/>
          <w:highlight w:val="none"/>
        </w:rPr>
      </w:pPr>
    </w:p>
    <w:p w14:paraId="246E283C">
      <w:pPr>
        <w:spacing w:line="600" w:lineRule="exact"/>
        <w:jc w:val="center"/>
        <w:rPr>
          <w:rFonts w:hint="eastAsia" w:ascii="宋体" w:hAnsi="宋体" w:cs="宋体"/>
          <w:color w:val="auto"/>
          <w:sz w:val="28"/>
          <w:szCs w:val="28"/>
          <w:highlight w:val="none"/>
        </w:rPr>
      </w:pPr>
    </w:p>
    <w:p w14:paraId="17002064">
      <w:pPr>
        <w:spacing w:line="600" w:lineRule="exact"/>
        <w:jc w:val="center"/>
        <w:rPr>
          <w:rFonts w:hint="eastAsia" w:ascii="宋体" w:hAnsi="宋体" w:cs="宋体"/>
          <w:color w:val="auto"/>
          <w:sz w:val="28"/>
          <w:szCs w:val="28"/>
          <w:highlight w:val="none"/>
        </w:rPr>
      </w:pPr>
    </w:p>
    <w:p w14:paraId="5E946182">
      <w:pPr>
        <w:spacing w:line="600" w:lineRule="exact"/>
        <w:jc w:val="center"/>
        <w:rPr>
          <w:rFonts w:hint="eastAsia" w:ascii="宋体" w:hAnsi="宋体" w:cs="宋体"/>
          <w:color w:val="auto"/>
          <w:sz w:val="28"/>
          <w:szCs w:val="28"/>
          <w:highlight w:val="none"/>
        </w:rPr>
      </w:pPr>
    </w:p>
    <w:p w14:paraId="1EB14C64">
      <w:pPr>
        <w:spacing w:line="600" w:lineRule="exact"/>
        <w:jc w:val="both"/>
        <w:rPr>
          <w:rFonts w:hint="eastAsia" w:ascii="宋体" w:hAnsi="宋体" w:cs="宋体"/>
          <w:color w:val="auto"/>
          <w:sz w:val="28"/>
          <w:szCs w:val="28"/>
          <w:highlight w:val="none"/>
        </w:rPr>
      </w:pPr>
    </w:p>
    <w:p w14:paraId="2B344D67">
      <w:pPr>
        <w:spacing w:line="600" w:lineRule="exact"/>
        <w:jc w:val="both"/>
        <w:rPr>
          <w:rFonts w:hint="eastAsia" w:ascii="宋体" w:hAnsi="宋体" w:cs="宋体"/>
          <w:color w:val="auto"/>
          <w:sz w:val="28"/>
          <w:szCs w:val="28"/>
          <w:highlight w:val="none"/>
        </w:rPr>
      </w:pPr>
    </w:p>
    <w:p w14:paraId="292F1D66">
      <w:pPr>
        <w:keepNext w:val="0"/>
        <w:keepLines w:val="0"/>
        <w:pageBreakBefore w:val="0"/>
        <w:widowControl w:val="0"/>
        <w:kinsoku/>
        <w:wordWrap/>
        <w:overflowPunct/>
        <w:topLinePunct w:val="0"/>
        <w:autoSpaceDE/>
        <w:autoSpaceDN/>
        <w:bidi w:val="0"/>
        <w:adjustRightInd/>
        <w:snapToGrid/>
        <w:spacing w:before="156" w:beforeLines="50" w:after="156" w:afterLines="50" w:line="960" w:lineRule="exact"/>
        <w:ind w:left="1056" w:leftChars="503"/>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rPr>
        <w:t>招标单位：</w:t>
      </w:r>
      <w:r>
        <w:rPr>
          <w:rFonts w:hint="eastAsia" w:ascii="宋体" w:hAnsi="宋体" w:cs="宋体"/>
          <w:b/>
          <w:color w:val="auto"/>
          <w:sz w:val="32"/>
          <w:szCs w:val="32"/>
          <w:highlight w:val="none"/>
          <w:u w:val="single"/>
          <w:lang w:val="en-US" w:eastAsia="zh-CN"/>
        </w:rPr>
        <w:t xml:space="preserve">   滁州市军粮供应站有限公司  </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（盖章）</w:t>
      </w:r>
    </w:p>
    <w:p w14:paraId="7FFCCFBA">
      <w:pPr>
        <w:keepNext w:val="0"/>
        <w:keepLines w:val="0"/>
        <w:pageBreakBefore w:val="0"/>
        <w:widowControl w:val="0"/>
        <w:kinsoku/>
        <w:wordWrap/>
        <w:overflowPunct/>
        <w:topLinePunct w:val="0"/>
        <w:autoSpaceDE/>
        <w:autoSpaceDN/>
        <w:bidi w:val="0"/>
        <w:adjustRightInd/>
        <w:snapToGrid/>
        <w:spacing w:before="156" w:beforeLines="50" w:after="156" w:afterLines="50" w:line="960" w:lineRule="exact"/>
        <w:ind w:left="1056" w:leftChars="503"/>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rPr>
        <w:t>代理机构：</w:t>
      </w:r>
      <w:r>
        <w:rPr>
          <w:rFonts w:hint="eastAsia" w:ascii="宋体" w:hAnsi="宋体" w:cs="宋体"/>
          <w:b/>
          <w:color w:val="auto"/>
          <w:sz w:val="32"/>
          <w:szCs w:val="32"/>
          <w:highlight w:val="none"/>
          <w:u w:val="single"/>
          <w:lang w:val="en-US" w:eastAsia="zh-CN"/>
        </w:rPr>
        <w:t xml:space="preserve"> </w:t>
      </w:r>
      <w:r>
        <w:rPr>
          <w:rFonts w:hint="eastAsia" w:ascii="宋体" w:hAnsi="宋体" w:cs="宋体"/>
          <w:b/>
          <w:bCs/>
          <w:color w:val="auto"/>
          <w:sz w:val="30"/>
          <w:szCs w:val="30"/>
          <w:highlight w:val="none"/>
          <w:u w:val="single"/>
        </w:rPr>
        <w:t>滁州市城投工程咨询管理有限公司</w:t>
      </w:r>
      <w:r>
        <w:rPr>
          <w:rFonts w:hint="eastAsia" w:ascii="宋体" w:hAnsi="宋体" w:cs="宋体"/>
          <w:b/>
          <w:bCs/>
          <w:color w:val="auto"/>
          <w:sz w:val="30"/>
          <w:szCs w:val="30"/>
          <w:highlight w:val="none"/>
          <w:u w:val="single"/>
          <w:lang w:val="en-US" w:eastAsia="zh-CN"/>
        </w:rPr>
        <w:t xml:space="preserve">  </w:t>
      </w:r>
      <w:r>
        <w:rPr>
          <w:rFonts w:hint="eastAsia" w:ascii="宋体" w:hAnsi="宋体" w:cs="宋体"/>
          <w:b/>
          <w:color w:val="auto"/>
          <w:w w:val="90"/>
          <w:sz w:val="32"/>
          <w:szCs w:val="32"/>
          <w:highlight w:val="none"/>
        </w:rPr>
        <w:t>（盖章）</w:t>
      </w:r>
    </w:p>
    <w:p w14:paraId="0A425A9C">
      <w:pPr>
        <w:keepNext w:val="0"/>
        <w:keepLines w:val="0"/>
        <w:pageBreakBefore w:val="0"/>
        <w:widowControl w:val="0"/>
        <w:kinsoku/>
        <w:wordWrap/>
        <w:overflowPunct/>
        <w:topLinePunct w:val="0"/>
        <w:autoSpaceDE/>
        <w:autoSpaceDN/>
        <w:bidi w:val="0"/>
        <w:adjustRightInd/>
        <w:snapToGrid/>
        <w:spacing w:before="156" w:beforeLines="50" w:after="156" w:afterLines="50" w:line="960" w:lineRule="exact"/>
        <w:jc w:val="center"/>
        <w:textAlignment w:val="auto"/>
        <w:rPr>
          <w:rFonts w:ascii="宋体" w:hAnsi="宋体" w:cs="宋体"/>
          <w:b/>
          <w:color w:val="auto"/>
          <w:sz w:val="32"/>
          <w:szCs w:val="32"/>
          <w:highlight w:val="none"/>
        </w:rPr>
      </w:pPr>
      <w:r>
        <w:rPr>
          <w:rFonts w:hint="eastAsia" w:ascii="宋体" w:hAnsi="宋体" w:cs="宋体"/>
          <w:b/>
          <w:color w:val="auto"/>
          <w:sz w:val="32"/>
          <w:szCs w:val="32"/>
          <w:highlight w:val="none"/>
          <w:u w:val="single"/>
        </w:rPr>
        <w:t xml:space="preserve"> 202</w:t>
      </w:r>
      <w:r>
        <w:rPr>
          <w:rFonts w:hint="eastAsia" w:ascii="宋体" w:hAnsi="宋体" w:cs="宋体"/>
          <w:b/>
          <w:color w:val="auto"/>
          <w:sz w:val="32"/>
          <w:szCs w:val="32"/>
          <w:highlight w:val="none"/>
          <w:u w:val="single"/>
          <w:lang w:val="en-US" w:eastAsia="zh-CN"/>
        </w:rPr>
        <w:t>6</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u w:val="single"/>
          <w:lang w:val="en-US" w:eastAsia="zh-CN"/>
        </w:rPr>
        <w:t>6</w:t>
      </w:r>
      <w:r>
        <w:rPr>
          <w:rFonts w:hint="eastAsia" w:ascii="宋体" w:hAnsi="宋体" w:cs="宋体"/>
          <w:b/>
          <w:color w:val="auto"/>
          <w:sz w:val="32"/>
          <w:szCs w:val="32"/>
          <w:highlight w:val="none"/>
        </w:rPr>
        <w:t>月</w:t>
      </w:r>
    </w:p>
    <w:p w14:paraId="26C9CB4B">
      <w:pPr>
        <w:spacing w:line="30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0ED730EA">
      <w:pPr>
        <w:tabs>
          <w:tab w:val="left" w:pos="5042"/>
        </w:tabs>
        <w:jc w:val="left"/>
        <w:rPr>
          <w:rFonts w:hint="eastAsia" w:ascii="宋体" w:hAnsi="宋体" w:cs="宋体"/>
          <w:color w:val="auto"/>
          <w:highlight w:val="none"/>
        </w:rPr>
      </w:pPr>
    </w:p>
    <w:p w14:paraId="563A3E28">
      <w:pPr>
        <w:adjustRightInd w:val="0"/>
        <w:snapToGrid w:val="0"/>
        <w:spacing w:line="460" w:lineRule="exact"/>
        <w:jc w:val="center"/>
        <w:rPr>
          <w:rFonts w:hint="eastAsia" w:ascii="宋体" w:hAnsi="宋体" w:cs="宋体"/>
          <w:b/>
          <w:color w:val="auto"/>
          <w:spacing w:val="20"/>
          <w:sz w:val="32"/>
          <w:szCs w:val="32"/>
          <w:highlight w:val="none"/>
        </w:rPr>
      </w:pPr>
      <w:bookmarkStart w:id="0" w:name="_Toc21247_WPSOffice_Level1"/>
      <w:bookmarkStart w:id="1" w:name="OLE_LINK1"/>
      <w:bookmarkStart w:id="2" w:name="OLE_LINK2"/>
      <w:bookmarkStart w:id="3" w:name="OLE_LINK3"/>
      <w:r>
        <w:rPr>
          <w:rFonts w:hint="eastAsia" w:ascii="宋体" w:hAnsi="宋体" w:cs="宋体"/>
          <w:b/>
          <w:color w:val="auto"/>
          <w:spacing w:val="20"/>
          <w:sz w:val="32"/>
          <w:szCs w:val="32"/>
          <w:highlight w:val="none"/>
        </w:rPr>
        <w:t>目 录</w:t>
      </w:r>
    </w:p>
    <w:p w14:paraId="10D2AFB0">
      <w:pPr>
        <w:pStyle w:val="31"/>
        <w:tabs>
          <w:tab w:val="right" w:leader="dot" w:pos="9071"/>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t>1</w:t>
      </w:r>
    </w:p>
    <w:p w14:paraId="152AB0FC">
      <w:pPr>
        <w:pStyle w:val="31"/>
        <w:tabs>
          <w:tab w:val="right" w:leader="dot" w:pos="9071"/>
        </w:tabs>
        <w:spacing w:line="360" w:lineRule="auto"/>
        <w:rPr>
          <w:rFonts w:hint="eastAsia" w:ascii="宋体" w:hAnsi="宋体" w:cs="宋体"/>
          <w:color w:val="auto"/>
          <w:sz w:val="24"/>
          <w:szCs w:val="24"/>
          <w:highlight w:val="none"/>
        </w:rPr>
      </w:pPr>
      <w:r>
        <w:rPr>
          <w:rFonts w:hint="eastAsia" w:ascii="宋体" w:hAnsi="宋体" w:cs="宋体"/>
          <w:b w:val="0"/>
          <w:color w:val="auto"/>
          <w:spacing w:val="20"/>
          <w:sz w:val="24"/>
          <w:szCs w:val="24"/>
          <w:highlight w:val="none"/>
        </w:rPr>
        <w:fldChar w:fldCharType="begin"/>
      </w:r>
      <w:r>
        <w:rPr>
          <w:rFonts w:hint="eastAsia" w:ascii="宋体" w:hAnsi="宋体" w:cs="宋体"/>
          <w:b w:val="0"/>
          <w:color w:val="auto"/>
          <w:spacing w:val="20"/>
          <w:sz w:val="24"/>
          <w:szCs w:val="24"/>
          <w:highlight w:val="none"/>
        </w:rPr>
        <w:instrText xml:space="preserve">TOC \o "1-3" \h \u </w:instrText>
      </w:r>
      <w:r>
        <w:rPr>
          <w:rFonts w:hint="eastAsia" w:ascii="宋体" w:hAnsi="宋体" w:cs="宋体"/>
          <w:b w:val="0"/>
          <w:color w:val="auto"/>
          <w:spacing w:val="20"/>
          <w:sz w:val="24"/>
          <w:szCs w:val="24"/>
          <w:highlight w:val="none"/>
        </w:rPr>
        <w:fldChar w:fldCharType="separate"/>
      </w:r>
      <w:r>
        <w:rPr>
          <w:rFonts w:hint="eastAsia" w:ascii="宋体" w:hAnsi="宋体" w:cs="宋体"/>
          <w:color w:val="auto"/>
          <w:spacing w:val="20"/>
          <w:sz w:val="24"/>
          <w:szCs w:val="24"/>
          <w:highlight w:val="none"/>
        </w:rPr>
        <w:fldChar w:fldCharType="begin"/>
      </w:r>
      <w:r>
        <w:rPr>
          <w:rFonts w:hint="eastAsia" w:ascii="宋体" w:hAnsi="宋体" w:cs="宋体"/>
          <w:color w:val="auto"/>
          <w:spacing w:val="20"/>
          <w:sz w:val="24"/>
          <w:szCs w:val="24"/>
          <w:highlight w:val="none"/>
        </w:rPr>
        <w:instrText xml:space="preserve"> HYPERLINK \l _Toc6514 </w:instrText>
      </w:r>
      <w:r>
        <w:rPr>
          <w:rFonts w:hint="eastAsia" w:ascii="宋体" w:hAnsi="宋体" w:cs="宋体"/>
          <w:color w:val="auto"/>
          <w:spacing w:val="20"/>
          <w:sz w:val="24"/>
          <w:szCs w:val="24"/>
          <w:highlight w:val="none"/>
        </w:rPr>
        <w:fldChar w:fldCharType="separate"/>
      </w:r>
      <w:r>
        <w:rPr>
          <w:rFonts w:hint="eastAsia" w:ascii="宋体" w:hAnsi="宋体" w:cs="宋体"/>
          <w:color w:val="auto"/>
          <w:sz w:val="24"/>
          <w:szCs w:val="24"/>
          <w:highlight w:val="none"/>
        </w:rPr>
        <w:t>第一章  投标须知</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cs="宋体"/>
          <w:color w:val="auto"/>
          <w:spacing w:val="20"/>
          <w:sz w:val="24"/>
          <w:szCs w:val="24"/>
          <w:highlight w:val="none"/>
        </w:rPr>
        <w:fldChar w:fldCharType="end"/>
      </w:r>
    </w:p>
    <w:p w14:paraId="35E44C1F">
      <w:pPr>
        <w:pStyle w:val="31"/>
        <w:tabs>
          <w:tab w:val="right" w:leader="dot" w:pos="9071"/>
        </w:tabs>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pacing w:val="20"/>
          <w:sz w:val="24"/>
          <w:szCs w:val="24"/>
          <w:highlight w:val="none"/>
        </w:rPr>
        <w:fldChar w:fldCharType="begin"/>
      </w:r>
      <w:r>
        <w:rPr>
          <w:rFonts w:hint="eastAsia" w:ascii="宋体" w:hAnsi="宋体" w:cs="宋体"/>
          <w:color w:val="auto"/>
          <w:spacing w:val="20"/>
          <w:sz w:val="24"/>
          <w:szCs w:val="24"/>
          <w:highlight w:val="none"/>
        </w:rPr>
        <w:instrText xml:space="preserve"> HYPERLINK \l _Toc1648 </w:instrText>
      </w:r>
      <w:r>
        <w:rPr>
          <w:rFonts w:hint="eastAsia" w:ascii="宋体" w:hAnsi="宋体" w:cs="宋体"/>
          <w:color w:val="auto"/>
          <w:spacing w:val="20"/>
          <w:sz w:val="24"/>
          <w:szCs w:val="24"/>
          <w:highlight w:val="none"/>
        </w:rPr>
        <w:fldChar w:fldCharType="separate"/>
      </w:r>
      <w:r>
        <w:rPr>
          <w:rFonts w:hint="eastAsia" w:ascii="宋体" w:hAnsi="宋体" w:cs="宋体"/>
          <w:color w:val="auto"/>
          <w:sz w:val="24"/>
          <w:szCs w:val="24"/>
          <w:highlight w:val="none"/>
        </w:rPr>
        <w:t xml:space="preserve">第二章  </w:t>
      </w:r>
      <w:r>
        <w:rPr>
          <w:rFonts w:hint="eastAsia" w:ascii="宋体" w:hAnsi="宋体" w:cs="宋体"/>
          <w:color w:val="auto"/>
          <w:sz w:val="24"/>
          <w:szCs w:val="24"/>
          <w:highlight w:val="none"/>
          <w:lang w:val="en-US" w:eastAsia="zh-CN"/>
        </w:rPr>
        <w:t>资格审查办法</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cs="宋体"/>
          <w:color w:val="auto"/>
          <w:spacing w:val="20"/>
          <w:sz w:val="24"/>
          <w:szCs w:val="24"/>
          <w:highlight w:val="none"/>
        </w:rPr>
        <w:fldChar w:fldCharType="end"/>
      </w:r>
      <w:r>
        <w:rPr>
          <w:rFonts w:hint="eastAsia" w:ascii="宋体" w:hAnsi="宋体" w:cs="宋体"/>
          <w:color w:val="auto"/>
          <w:spacing w:val="20"/>
          <w:sz w:val="24"/>
          <w:szCs w:val="24"/>
          <w:highlight w:val="none"/>
          <w:lang w:val="en-US" w:eastAsia="zh-CN"/>
        </w:rPr>
        <w:t>2</w:t>
      </w:r>
    </w:p>
    <w:p w14:paraId="39B6A3F3">
      <w:pPr>
        <w:pStyle w:val="31"/>
        <w:tabs>
          <w:tab w:val="right" w:leader="dot" w:pos="9071"/>
        </w:tabs>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pacing w:val="20"/>
          <w:sz w:val="24"/>
          <w:szCs w:val="24"/>
          <w:highlight w:val="none"/>
        </w:rPr>
        <w:fldChar w:fldCharType="begin"/>
      </w:r>
      <w:r>
        <w:rPr>
          <w:rFonts w:hint="eastAsia" w:ascii="宋体" w:hAnsi="宋体" w:cs="宋体"/>
          <w:color w:val="auto"/>
          <w:spacing w:val="20"/>
          <w:sz w:val="24"/>
          <w:szCs w:val="24"/>
          <w:highlight w:val="none"/>
        </w:rPr>
        <w:instrText xml:space="preserve"> HYPERLINK \l _Toc11685 </w:instrText>
      </w:r>
      <w:r>
        <w:rPr>
          <w:rFonts w:hint="eastAsia" w:ascii="宋体" w:hAnsi="宋体" w:cs="宋体"/>
          <w:color w:val="auto"/>
          <w:spacing w:val="20"/>
          <w:sz w:val="24"/>
          <w:szCs w:val="24"/>
          <w:highlight w:val="none"/>
        </w:rPr>
        <w:fldChar w:fldCharType="separate"/>
      </w:r>
      <w:r>
        <w:rPr>
          <w:rFonts w:hint="eastAsia" w:ascii="宋体" w:hAnsi="宋体" w:cs="宋体"/>
          <w:color w:val="auto"/>
          <w:sz w:val="24"/>
          <w:szCs w:val="24"/>
          <w:highlight w:val="none"/>
        </w:rPr>
        <w:t>第三章  评标办法</w:t>
      </w:r>
      <w:r>
        <w:rPr>
          <w:rFonts w:hint="eastAsia" w:ascii="宋体" w:hAnsi="宋体" w:cs="宋体"/>
          <w:color w:val="auto"/>
          <w:sz w:val="24"/>
          <w:szCs w:val="24"/>
          <w:highlight w:val="none"/>
        </w:rPr>
        <w:tab/>
      </w:r>
      <w:r>
        <w:rPr>
          <w:rFonts w:hint="eastAsia" w:ascii="宋体" w:hAnsi="宋体" w:cs="宋体"/>
          <w:color w:val="auto"/>
          <w:sz w:val="24"/>
          <w:szCs w:val="24"/>
          <w:highlight w:val="none"/>
        </w:rPr>
        <w:t>1</w:t>
      </w:r>
      <w:r>
        <w:rPr>
          <w:rFonts w:hint="eastAsia" w:ascii="宋体" w:hAnsi="宋体" w:cs="宋体"/>
          <w:color w:val="auto"/>
          <w:spacing w:val="20"/>
          <w:sz w:val="24"/>
          <w:szCs w:val="24"/>
          <w:highlight w:val="none"/>
        </w:rPr>
        <w:fldChar w:fldCharType="end"/>
      </w:r>
      <w:r>
        <w:rPr>
          <w:rFonts w:hint="eastAsia" w:ascii="宋体" w:hAnsi="宋体" w:cs="宋体"/>
          <w:color w:val="auto"/>
          <w:spacing w:val="20"/>
          <w:sz w:val="24"/>
          <w:szCs w:val="24"/>
          <w:highlight w:val="none"/>
          <w:lang w:val="en-US" w:eastAsia="zh-CN"/>
        </w:rPr>
        <w:t>7</w:t>
      </w:r>
    </w:p>
    <w:p w14:paraId="39BBB9E2">
      <w:pPr>
        <w:pStyle w:val="31"/>
        <w:tabs>
          <w:tab w:val="right" w:leader="dot" w:pos="9071"/>
        </w:tabs>
        <w:spacing w:line="360" w:lineRule="auto"/>
        <w:rPr>
          <w:rFonts w:hint="default" w:ascii="宋体" w:hAnsi="宋体" w:eastAsia="宋体" w:cs="宋体"/>
          <w:color w:val="auto"/>
          <w:spacing w:val="20"/>
          <w:sz w:val="24"/>
          <w:szCs w:val="24"/>
          <w:highlight w:val="none"/>
          <w:lang w:val="en-US" w:eastAsia="zh-CN"/>
        </w:rPr>
      </w:pPr>
      <w:r>
        <w:rPr>
          <w:rFonts w:hint="eastAsia" w:ascii="宋体" w:hAnsi="宋体" w:cs="宋体"/>
          <w:color w:val="auto"/>
          <w:spacing w:val="20"/>
          <w:sz w:val="24"/>
          <w:szCs w:val="24"/>
          <w:highlight w:val="none"/>
        </w:rPr>
        <w:fldChar w:fldCharType="begin"/>
      </w:r>
      <w:r>
        <w:rPr>
          <w:rFonts w:hint="eastAsia" w:ascii="宋体" w:hAnsi="宋体" w:cs="宋体"/>
          <w:color w:val="auto"/>
          <w:spacing w:val="20"/>
          <w:sz w:val="24"/>
          <w:szCs w:val="24"/>
          <w:highlight w:val="none"/>
        </w:rPr>
        <w:instrText xml:space="preserve"> HYPERLINK \l _Toc11685 </w:instrText>
      </w:r>
      <w:r>
        <w:rPr>
          <w:rFonts w:hint="eastAsia" w:ascii="宋体" w:hAnsi="宋体" w:cs="宋体"/>
          <w:color w:val="auto"/>
          <w:spacing w:val="20"/>
          <w:sz w:val="24"/>
          <w:szCs w:val="24"/>
          <w:highlight w:val="none"/>
        </w:rPr>
        <w:fldChar w:fldCharType="separate"/>
      </w:r>
      <w:r>
        <w:rPr>
          <w:rFonts w:hint="eastAsia" w:ascii="宋体" w:hAnsi="宋体" w:cs="宋体"/>
          <w:color w:val="auto"/>
          <w:sz w:val="24"/>
          <w:szCs w:val="24"/>
          <w:highlight w:val="none"/>
        </w:rPr>
        <w:t xml:space="preserve">第四章  </w:t>
      </w:r>
      <w:r>
        <w:rPr>
          <w:rFonts w:hint="eastAsia" w:ascii="宋体" w:hAnsi="宋体" w:cs="宋体"/>
          <w:color w:val="auto"/>
          <w:sz w:val="24"/>
          <w:szCs w:val="24"/>
          <w:highlight w:val="none"/>
          <w:lang w:val="en-US" w:eastAsia="zh-CN"/>
        </w:rPr>
        <w:t>采购需求</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cs="宋体"/>
          <w:color w:val="auto"/>
          <w:spacing w:val="20"/>
          <w:sz w:val="24"/>
          <w:szCs w:val="24"/>
          <w:highlight w:val="none"/>
        </w:rPr>
        <w:fldChar w:fldCharType="end"/>
      </w:r>
      <w:r>
        <w:rPr>
          <w:rFonts w:hint="eastAsia" w:ascii="宋体" w:hAnsi="宋体" w:cs="宋体"/>
          <w:color w:val="auto"/>
          <w:spacing w:val="20"/>
          <w:sz w:val="24"/>
          <w:szCs w:val="24"/>
          <w:highlight w:val="none"/>
          <w:lang w:val="en-US" w:eastAsia="zh-CN"/>
        </w:rPr>
        <w:t>0</w:t>
      </w:r>
    </w:p>
    <w:p w14:paraId="2A340A97">
      <w:pPr>
        <w:pStyle w:val="31"/>
        <w:tabs>
          <w:tab w:val="right" w:leader="dot" w:pos="9071"/>
        </w:tabs>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pacing w:val="20"/>
          <w:sz w:val="24"/>
          <w:szCs w:val="24"/>
          <w:highlight w:val="none"/>
        </w:rPr>
        <w:fldChar w:fldCharType="begin"/>
      </w:r>
      <w:r>
        <w:rPr>
          <w:rFonts w:hint="eastAsia" w:ascii="宋体" w:hAnsi="宋体" w:cs="宋体"/>
          <w:color w:val="auto"/>
          <w:spacing w:val="20"/>
          <w:sz w:val="24"/>
          <w:szCs w:val="24"/>
          <w:highlight w:val="none"/>
        </w:rPr>
        <w:instrText xml:space="preserve"> HYPERLINK \l _Toc18772 </w:instrText>
      </w:r>
      <w:r>
        <w:rPr>
          <w:rFonts w:hint="eastAsia" w:ascii="宋体" w:hAnsi="宋体" w:cs="宋体"/>
          <w:color w:val="auto"/>
          <w:spacing w:val="20"/>
          <w:sz w:val="24"/>
          <w:szCs w:val="24"/>
          <w:highlight w:val="none"/>
        </w:rPr>
        <w:fldChar w:fldCharType="separate"/>
      </w:r>
      <w:r>
        <w:rPr>
          <w:rFonts w:hint="eastAsia" w:ascii="宋体" w:hAnsi="宋体" w:cs="宋体"/>
          <w:color w:val="auto"/>
          <w:sz w:val="24"/>
          <w:szCs w:val="24"/>
          <w:highlight w:val="none"/>
        </w:rPr>
        <w:t>第五章  合同条款</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cs="宋体"/>
          <w:color w:val="auto"/>
          <w:spacing w:val="20"/>
          <w:sz w:val="24"/>
          <w:szCs w:val="24"/>
          <w:highlight w:val="none"/>
        </w:rPr>
        <w:fldChar w:fldCharType="end"/>
      </w:r>
      <w:r>
        <w:rPr>
          <w:rFonts w:hint="eastAsia" w:ascii="宋体" w:hAnsi="宋体" w:cs="宋体"/>
          <w:color w:val="auto"/>
          <w:spacing w:val="20"/>
          <w:sz w:val="24"/>
          <w:szCs w:val="24"/>
          <w:highlight w:val="none"/>
          <w:lang w:val="en-US" w:eastAsia="zh-CN"/>
        </w:rPr>
        <w:t>7</w:t>
      </w:r>
    </w:p>
    <w:p w14:paraId="2F3F5BFC">
      <w:pPr>
        <w:pStyle w:val="31"/>
        <w:tabs>
          <w:tab w:val="right" w:leader="dot" w:pos="9071"/>
        </w:tabs>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pacing w:val="20"/>
          <w:sz w:val="24"/>
          <w:szCs w:val="24"/>
          <w:highlight w:val="none"/>
        </w:rPr>
        <w:fldChar w:fldCharType="begin"/>
      </w:r>
      <w:r>
        <w:rPr>
          <w:rFonts w:hint="eastAsia" w:ascii="宋体" w:hAnsi="宋体" w:cs="宋体"/>
          <w:color w:val="auto"/>
          <w:spacing w:val="20"/>
          <w:sz w:val="24"/>
          <w:szCs w:val="24"/>
          <w:highlight w:val="none"/>
        </w:rPr>
        <w:instrText xml:space="preserve"> HYPERLINK \l _Toc21970 </w:instrText>
      </w:r>
      <w:r>
        <w:rPr>
          <w:rFonts w:hint="eastAsia" w:ascii="宋体" w:hAnsi="宋体" w:cs="宋体"/>
          <w:color w:val="auto"/>
          <w:spacing w:val="20"/>
          <w:sz w:val="24"/>
          <w:szCs w:val="24"/>
          <w:highlight w:val="none"/>
        </w:rPr>
        <w:fldChar w:fldCharType="separate"/>
      </w:r>
      <w:r>
        <w:rPr>
          <w:rFonts w:hint="eastAsia" w:ascii="宋体" w:hAnsi="宋体" w:cs="宋体"/>
          <w:color w:val="auto"/>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cs="宋体"/>
          <w:color w:val="auto"/>
          <w:spacing w:val="20"/>
          <w:sz w:val="24"/>
          <w:szCs w:val="24"/>
          <w:highlight w:val="none"/>
        </w:rPr>
        <w:fldChar w:fldCharType="end"/>
      </w:r>
      <w:r>
        <w:rPr>
          <w:rFonts w:hint="eastAsia" w:ascii="宋体" w:hAnsi="宋体" w:cs="宋体"/>
          <w:color w:val="auto"/>
          <w:spacing w:val="20"/>
          <w:sz w:val="24"/>
          <w:szCs w:val="24"/>
          <w:highlight w:val="none"/>
          <w:lang w:val="en-US" w:eastAsia="zh-CN"/>
        </w:rPr>
        <w:t>4</w:t>
      </w:r>
    </w:p>
    <w:p w14:paraId="03BB945B">
      <w:pPr>
        <w:adjustRightInd w:val="0"/>
        <w:snapToGrid w:val="0"/>
        <w:spacing w:line="360" w:lineRule="auto"/>
        <w:jc w:val="center"/>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fldChar w:fldCharType="end"/>
      </w:r>
    </w:p>
    <w:p w14:paraId="5B7026F1">
      <w:pPr>
        <w:spacing w:before="156" w:beforeLines="50" w:after="156" w:afterLines="50"/>
        <w:ind w:left="216" w:leftChars="103" w:right="-168" w:rightChars="-80"/>
        <w:jc w:val="center"/>
        <w:outlineLvl w:val="0"/>
        <w:rPr>
          <w:rFonts w:hint="eastAsia" w:ascii="宋体" w:hAnsi="宋体" w:cs="宋体"/>
          <w:b/>
          <w:bCs/>
          <w:color w:val="auto"/>
          <w:kern w:val="44"/>
          <w:sz w:val="36"/>
          <w:szCs w:val="36"/>
          <w:highlight w:val="none"/>
        </w:rPr>
        <w:sectPr>
          <w:footerReference r:id="rId5" w:type="first"/>
          <w:headerReference r:id="rId3" w:type="default"/>
          <w:footerReference r:id="rId4" w:type="default"/>
          <w:pgSz w:w="11906" w:h="16838"/>
          <w:pgMar w:top="1134" w:right="1085" w:bottom="1077" w:left="1361" w:header="680" w:footer="680" w:gutter="0"/>
          <w:cols w:space="720" w:num="1"/>
          <w:docGrid w:type="lines" w:linePitch="312" w:charSpace="0"/>
        </w:sectPr>
      </w:pPr>
    </w:p>
    <w:p w14:paraId="7ACDA58F">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0"/>
        <w:rPr>
          <w:rFonts w:hint="eastAsia" w:ascii="宋体" w:hAnsi="宋体" w:eastAsia="宋体" w:cs="宋体"/>
          <w:b/>
          <w:bCs/>
          <w:color w:val="auto"/>
          <w:sz w:val="32"/>
          <w:szCs w:val="32"/>
          <w:highlight w:val="none"/>
          <w:lang w:eastAsia="zh-CN"/>
        </w:rPr>
      </w:pPr>
      <w:bookmarkStart w:id="4" w:name="_Toc31563"/>
      <w:bookmarkStart w:id="5" w:name="_Toc20994"/>
      <w:bookmarkStart w:id="6" w:name="_Toc13690"/>
      <w:r>
        <w:rPr>
          <w:rFonts w:hint="eastAsia" w:ascii="宋体" w:hAnsi="宋体" w:cs="宋体"/>
          <w:b/>
          <w:bCs/>
          <w:color w:val="auto"/>
          <w:sz w:val="32"/>
          <w:szCs w:val="32"/>
          <w:highlight w:val="none"/>
          <w:lang w:val="en-US" w:eastAsia="zh-CN"/>
        </w:rPr>
        <w:t>招标公告</w:t>
      </w:r>
    </w:p>
    <w:p w14:paraId="37EB2C0B">
      <w:pPr>
        <w:keepNext w:val="0"/>
        <w:keepLines w:val="0"/>
        <w:pageBreakBefore w:val="0"/>
        <w:widowControl/>
        <w:kinsoku/>
        <w:overflowPunct/>
        <w:autoSpaceDE/>
        <w:autoSpaceDN/>
        <w:bidi w:val="0"/>
        <w:adjustRightInd/>
        <w:snapToGrid/>
        <w:spacing w:line="56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u w:val="single"/>
          <w:lang w:eastAsia="zh-CN"/>
        </w:rPr>
        <w:t>滁州市城投工程咨询管理有限公司</w:t>
      </w: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u w:val="single"/>
          <w:lang w:val="en-US" w:eastAsia="zh-CN"/>
        </w:rPr>
        <w:t>滁州市军粮供应站有限公司</w:t>
      </w:r>
      <w:r>
        <w:rPr>
          <w:rFonts w:hint="eastAsia" w:ascii="宋体" w:hAnsi="宋体" w:eastAsia="宋体" w:cs="宋体"/>
          <w:color w:val="auto"/>
          <w:sz w:val="24"/>
          <w:szCs w:val="24"/>
          <w:highlight w:val="none"/>
        </w:rPr>
        <w:t>的委托，现对</w:t>
      </w:r>
      <w:r>
        <w:rPr>
          <w:rFonts w:hint="eastAsia" w:ascii="宋体" w:hAnsi="宋体" w:eastAsia="宋体" w:cs="宋体"/>
          <w:color w:val="auto"/>
          <w:sz w:val="24"/>
          <w:szCs w:val="24"/>
          <w:highlight w:val="none"/>
          <w:u w:val="single"/>
          <w:lang w:eastAsia="zh-CN"/>
        </w:rPr>
        <w:t>滁州市军粮供应站货车采购项目</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公开招标</w:t>
      </w:r>
      <w:r>
        <w:rPr>
          <w:rFonts w:hint="eastAsia" w:ascii="宋体" w:hAnsi="宋体" w:eastAsia="宋体" w:cs="宋体"/>
          <w:color w:val="auto"/>
          <w:sz w:val="24"/>
          <w:szCs w:val="24"/>
          <w:highlight w:val="none"/>
        </w:rPr>
        <w:t>，欢迎具备条件的投标供应商参加</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w:t>
      </w:r>
    </w:p>
    <w:p w14:paraId="5F3B27A5">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482" w:firstLineChars="200"/>
        <w:textAlignment w:val="auto"/>
        <w:rPr>
          <w:rFonts w:hint="eastAsia" w:ascii="宋体" w:hAnsi="宋体" w:eastAsia="宋体" w:cs="宋体"/>
          <w:color w:val="auto"/>
          <w:sz w:val="24"/>
          <w:szCs w:val="24"/>
          <w:highlight w:val="none"/>
        </w:rPr>
      </w:pPr>
      <w:bookmarkStart w:id="7" w:name="_Toc23391"/>
      <w:bookmarkStart w:id="8" w:name="_Toc27716"/>
      <w:bookmarkStart w:id="9" w:name="_Toc15135"/>
      <w:r>
        <w:rPr>
          <w:rFonts w:hint="eastAsia" w:ascii="宋体" w:hAnsi="宋体" w:eastAsia="宋体" w:cs="宋体"/>
          <w:b/>
          <w:bCs/>
          <w:color w:val="auto"/>
          <w:sz w:val="24"/>
          <w:szCs w:val="24"/>
          <w:highlight w:val="none"/>
        </w:rPr>
        <w:t>一、项目名称及内容</w:t>
      </w:r>
      <w:bookmarkEnd w:id="7"/>
      <w:bookmarkEnd w:id="8"/>
      <w:bookmarkEnd w:id="9"/>
    </w:p>
    <w:p w14:paraId="4E6CBCF2">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1.项目名称：滁州市军粮供应站货车采购项目</w:t>
      </w:r>
    </w:p>
    <w:p w14:paraId="47CE5A85">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2.招标单位：滁州市军粮供应站有限公司</w:t>
      </w:r>
    </w:p>
    <w:p w14:paraId="1F8AF543">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3.资金来源：财政加自筹资金</w:t>
      </w:r>
    </w:p>
    <w:p w14:paraId="06D35C7B">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4.项目预算：270000.00元</w:t>
      </w:r>
    </w:p>
    <w:p w14:paraId="01037A37">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w:t>
      </w:r>
      <w:r>
        <w:rPr>
          <w:rFonts w:hint="eastAsia" w:ascii="宋体" w:hAnsi="宋体" w:eastAsia="宋体" w:cs="宋体"/>
          <w:color w:val="auto"/>
          <w:spacing w:val="-4"/>
          <w:kern w:val="0"/>
          <w:sz w:val="24"/>
          <w:szCs w:val="24"/>
          <w:highlight w:val="none"/>
          <w:lang w:val="en-US" w:eastAsia="zh-CN"/>
        </w:rPr>
        <w:t>270000.00元</w:t>
      </w:r>
    </w:p>
    <w:p w14:paraId="17F38678">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6.采购需求：采购1台冷链货车和1台厢式货车</w:t>
      </w:r>
    </w:p>
    <w:p w14:paraId="4326E981">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7.合同履行期限：合同签订并生效后30个日历天内完成供货</w:t>
      </w:r>
    </w:p>
    <w:p w14:paraId="5922463E">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bookmarkStart w:id="10" w:name="_Toc24705"/>
      <w:bookmarkStart w:id="11" w:name="_Toc4722"/>
      <w:bookmarkStart w:id="12" w:name="_Toc6270"/>
      <w:r>
        <w:rPr>
          <w:rFonts w:hint="eastAsia" w:ascii="宋体" w:hAnsi="宋体" w:eastAsia="宋体" w:cs="宋体"/>
          <w:color w:val="auto"/>
          <w:sz w:val="24"/>
          <w:szCs w:val="24"/>
          <w:highlight w:val="none"/>
          <w:lang w:val="en-US" w:eastAsia="zh-CN"/>
        </w:rPr>
        <w:t>8.本项目不接受联合体投标</w:t>
      </w:r>
    </w:p>
    <w:p w14:paraId="169ADC95">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bookmarkEnd w:id="10"/>
      <w:bookmarkEnd w:id="11"/>
      <w:bookmarkEnd w:id="12"/>
      <w:r>
        <w:rPr>
          <w:rFonts w:hint="eastAsia" w:ascii="宋体" w:hAnsi="宋体" w:eastAsia="宋体" w:cs="宋体"/>
          <w:b/>
          <w:bCs/>
          <w:color w:val="auto"/>
          <w:sz w:val="24"/>
          <w:szCs w:val="24"/>
          <w:highlight w:val="none"/>
        </w:rPr>
        <w:t>申请人的资格要求</w:t>
      </w:r>
    </w:p>
    <w:p w14:paraId="2C1A252B">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bookmarkStart w:id="13" w:name="_Toc23547"/>
      <w:bookmarkStart w:id="14" w:name="_Toc10245"/>
      <w:bookmarkStart w:id="15" w:name="_Toc16461"/>
      <w:r>
        <w:rPr>
          <w:rFonts w:hint="eastAsia" w:ascii="宋体" w:hAnsi="宋体" w:eastAsia="宋体" w:cs="宋体"/>
          <w:color w:val="auto"/>
          <w:sz w:val="24"/>
          <w:szCs w:val="24"/>
          <w:highlight w:val="none"/>
        </w:rPr>
        <w:t>1.投标人须具有独立承担民事责任能力</w:t>
      </w:r>
      <w:r>
        <w:rPr>
          <w:rFonts w:hint="eastAsia" w:ascii="宋体" w:hAnsi="宋体" w:eastAsia="宋体" w:cs="宋体"/>
          <w:color w:val="auto"/>
          <w:sz w:val="24"/>
          <w:szCs w:val="24"/>
          <w:highlight w:val="none"/>
          <w:lang w:val="en-US" w:eastAsia="zh-CN"/>
        </w:rPr>
        <w:t>且具有有效的营业执照</w:t>
      </w:r>
      <w:r>
        <w:rPr>
          <w:rFonts w:hint="eastAsia" w:ascii="宋体" w:hAnsi="宋体" w:eastAsia="宋体" w:cs="宋体"/>
          <w:color w:val="auto"/>
          <w:sz w:val="24"/>
          <w:szCs w:val="24"/>
          <w:highlight w:val="none"/>
        </w:rPr>
        <w:t>；</w:t>
      </w:r>
    </w:p>
    <w:p w14:paraId="0416C8DC">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招标文件</w:t>
      </w:r>
      <w:r>
        <w:rPr>
          <w:rFonts w:hint="eastAsia" w:ascii="宋体" w:hAnsi="宋体" w:eastAsia="宋体" w:cs="宋体"/>
          <w:b/>
          <w:bCs/>
          <w:color w:val="auto"/>
          <w:sz w:val="24"/>
          <w:szCs w:val="24"/>
          <w:highlight w:val="none"/>
        </w:rPr>
        <w:t>发售办法</w:t>
      </w:r>
      <w:bookmarkEnd w:id="13"/>
      <w:bookmarkEnd w:id="14"/>
      <w:bookmarkEnd w:id="15"/>
    </w:p>
    <w:p w14:paraId="79D7E6ED">
      <w:pPr>
        <w:keepNext w:val="0"/>
        <w:keepLines w:val="0"/>
        <w:pageBreakBefore w:val="0"/>
        <w:widowControl w:val="0"/>
        <w:kinsoku/>
        <w:wordWrap w:val="0"/>
        <w:overflowPunct/>
        <w:autoSpaceDE/>
        <w:autoSpaceDN/>
        <w:bidi w:val="0"/>
        <w:adjustRightInd/>
        <w:snapToGrid/>
        <w:spacing w:line="560" w:lineRule="exact"/>
        <w:ind w:right="-275" w:rightChars="-131"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发售时间：</w:t>
      </w:r>
      <w:r>
        <w:rPr>
          <w:rFonts w:hint="eastAsia" w:ascii="宋体" w:hAnsi="宋体" w:eastAsia="宋体" w:cs="宋体"/>
          <w:b/>
          <w:bCs/>
          <w:color w:val="auto"/>
          <w:sz w:val="24"/>
          <w:szCs w:val="24"/>
          <w:highlight w:val="none"/>
          <w:u w:val="none"/>
          <w:lang w:eastAsia="zh-CN"/>
        </w:rPr>
        <w:t>202</w:t>
      </w:r>
      <w:r>
        <w:rPr>
          <w:rFonts w:hint="eastAsia" w:ascii="宋体" w:hAnsi="宋体" w:eastAsia="宋体" w:cs="宋体"/>
          <w:b/>
          <w:bCs/>
          <w:color w:val="auto"/>
          <w:sz w:val="24"/>
          <w:szCs w:val="24"/>
          <w:highlight w:val="none"/>
          <w:u w:val="none"/>
          <w:lang w:val="en-US" w:eastAsia="zh-CN"/>
        </w:rPr>
        <w:t>6</w:t>
      </w:r>
      <w:r>
        <w:rPr>
          <w:rFonts w:hint="eastAsia" w:ascii="宋体" w:hAnsi="宋体" w:eastAsia="宋体" w:cs="宋体"/>
          <w:b/>
          <w:bCs/>
          <w:color w:val="auto"/>
          <w:sz w:val="24"/>
          <w:szCs w:val="24"/>
          <w:highlight w:val="none"/>
          <w:u w:val="none"/>
          <w:lang w:eastAsia="zh-CN"/>
        </w:rPr>
        <w:t>年</w:t>
      </w:r>
      <w:r>
        <w:rPr>
          <w:rFonts w:hint="eastAsia" w:ascii="宋体" w:hAnsi="宋体" w:cs="宋体"/>
          <w:b/>
          <w:bCs/>
          <w:color w:val="auto"/>
          <w:sz w:val="24"/>
          <w:szCs w:val="24"/>
          <w:highlight w:val="none"/>
          <w:u w:val="none"/>
          <w:lang w:val="en-US" w:eastAsia="zh-CN"/>
        </w:rPr>
        <w:t>6</w:t>
      </w:r>
      <w:r>
        <w:rPr>
          <w:rFonts w:hint="eastAsia" w:ascii="宋体" w:hAnsi="宋体" w:eastAsia="宋体" w:cs="宋体"/>
          <w:b/>
          <w:bCs/>
          <w:color w:val="auto"/>
          <w:sz w:val="24"/>
          <w:szCs w:val="24"/>
          <w:highlight w:val="none"/>
          <w:u w:val="none"/>
          <w:lang w:eastAsia="zh-CN"/>
        </w:rPr>
        <w:t>月</w:t>
      </w:r>
      <w:r>
        <w:rPr>
          <w:rFonts w:hint="eastAsia" w:ascii="宋体" w:hAnsi="宋体" w:cs="宋体"/>
          <w:b/>
          <w:bCs/>
          <w:color w:val="auto"/>
          <w:sz w:val="24"/>
          <w:szCs w:val="24"/>
          <w:highlight w:val="none"/>
          <w:u w:val="none"/>
          <w:lang w:val="en-US" w:eastAsia="zh-CN"/>
        </w:rPr>
        <w:t>22</w:t>
      </w:r>
      <w:r>
        <w:rPr>
          <w:rFonts w:hint="eastAsia" w:ascii="宋体" w:hAnsi="宋体" w:eastAsia="宋体" w:cs="宋体"/>
          <w:b/>
          <w:bCs/>
          <w:color w:val="auto"/>
          <w:sz w:val="24"/>
          <w:szCs w:val="24"/>
          <w:highlight w:val="none"/>
          <w:u w:val="none"/>
        </w:rPr>
        <w:t>日17时</w:t>
      </w:r>
      <w:r>
        <w:rPr>
          <w:rFonts w:hint="eastAsia" w:ascii="宋体" w:hAnsi="宋体" w:eastAsia="宋体" w:cs="宋体"/>
          <w:b w:val="0"/>
          <w:bCs w:val="0"/>
          <w:color w:val="auto"/>
          <w:sz w:val="24"/>
          <w:szCs w:val="24"/>
          <w:highlight w:val="none"/>
        </w:rPr>
        <w:t>后登录滁州市扬子工业投资集团有限公司官网（https://czyzgtjt.com/）查阅并下载电子招标文件。</w:t>
      </w:r>
    </w:p>
    <w:p w14:paraId="605F231F">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、提交</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截止时间、开标时间和地点</w:t>
      </w:r>
    </w:p>
    <w:p w14:paraId="1D119F68">
      <w:pPr>
        <w:keepNext w:val="0"/>
        <w:keepLines w:val="0"/>
        <w:pageBreakBefore w:val="0"/>
        <w:widowControl w:val="0"/>
        <w:kinsoku/>
        <w:wordWrap w:val="0"/>
        <w:overflowPunct/>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lang w:eastAsia="zh-CN"/>
        </w:rPr>
      </w:pPr>
      <w:bookmarkStart w:id="16" w:name="_Toc26252"/>
      <w:bookmarkStart w:id="17" w:name="_Toc7279"/>
      <w:bookmarkStart w:id="18" w:name="_Toc21401"/>
      <w:r>
        <w:rPr>
          <w:rFonts w:hint="eastAsia" w:ascii="宋体" w:hAnsi="宋体" w:eastAsia="宋体" w:cs="宋体"/>
          <w:color w:val="auto"/>
          <w:sz w:val="24"/>
          <w:szCs w:val="24"/>
          <w:highlight w:val="none"/>
          <w:lang w:val="en-US" w:eastAsia="zh-CN"/>
        </w:rPr>
        <w:t>时间：</w:t>
      </w:r>
      <w:r>
        <w:rPr>
          <w:rFonts w:hint="eastAsia" w:ascii="宋体" w:hAnsi="宋体" w:eastAsia="宋体" w:cs="宋体"/>
          <w:b/>
          <w:bCs/>
          <w:color w:val="auto"/>
          <w:sz w:val="24"/>
          <w:szCs w:val="24"/>
          <w:highlight w:val="none"/>
          <w:lang w:eastAsia="zh-CN"/>
        </w:rPr>
        <w:t>202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年</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eastAsia="zh-CN"/>
        </w:rPr>
        <w:t>日</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点</w:t>
      </w:r>
      <w:r>
        <w:rPr>
          <w:rFonts w:hint="eastAsia" w:ascii="宋体" w:hAnsi="宋体" w:cs="宋体"/>
          <w:b/>
          <w:bCs/>
          <w:color w:val="auto"/>
          <w:sz w:val="24"/>
          <w:szCs w:val="24"/>
          <w:highlight w:val="none"/>
          <w:lang w:val="en-US" w:eastAsia="zh-CN"/>
        </w:rPr>
        <w:t>00</w:t>
      </w:r>
      <w:r>
        <w:rPr>
          <w:rFonts w:hint="eastAsia" w:ascii="宋体" w:hAnsi="宋体" w:eastAsia="宋体" w:cs="宋体"/>
          <w:b/>
          <w:bCs/>
          <w:color w:val="auto"/>
          <w:sz w:val="24"/>
          <w:szCs w:val="24"/>
          <w:highlight w:val="none"/>
          <w:lang w:eastAsia="zh-CN"/>
        </w:rPr>
        <w:t>分（北京时间）</w:t>
      </w:r>
    </w:p>
    <w:p w14:paraId="5C2EFA26">
      <w:pPr>
        <w:keepNext w:val="0"/>
        <w:keepLines w:val="0"/>
        <w:pageBreakBefore w:val="0"/>
        <w:widowControl w:val="0"/>
        <w:kinsoku/>
        <w:wordWrap w:val="0"/>
        <w:overflowPunct/>
        <w:autoSpaceDE/>
        <w:autoSpaceDN/>
        <w:bidi w:val="0"/>
        <w:adjustRightInd/>
        <w:snapToGrid/>
        <w:spacing w:line="5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地点：滁州市龙蟠大道109号房产大厦6楼</w:t>
      </w:r>
      <w:r>
        <w:rPr>
          <w:rFonts w:hint="eastAsia" w:ascii="宋体" w:hAnsi="宋体" w:eastAsia="宋体" w:cs="宋体"/>
          <w:color w:val="auto"/>
          <w:sz w:val="24"/>
          <w:szCs w:val="24"/>
          <w:highlight w:val="none"/>
          <w:lang w:val="en-US" w:eastAsia="zh-CN"/>
        </w:rPr>
        <w:t>603会议室</w:t>
      </w:r>
    </w:p>
    <w:p w14:paraId="6BD41503">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五、投标截止时间</w:t>
      </w:r>
      <w:bookmarkEnd w:id="16"/>
      <w:bookmarkEnd w:id="17"/>
      <w:bookmarkEnd w:id="18"/>
    </w:p>
    <w:p w14:paraId="0267A4AF">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同开标时间</w:t>
      </w:r>
    </w:p>
    <w:p w14:paraId="48A54BFA">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482" w:firstLineChars="200"/>
        <w:textAlignment w:val="auto"/>
        <w:rPr>
          <w:rFonts w:hint="eastAsia" w:ascii="宋体" w:hAnsi="宋体" w:eastAsia="宋体" w:cs="宋体"/>
          <w:b/>
          <w:bCs/>
          <w:color w:val="auto"/>
          <w:sz w:val="24"/>
          <w:szCs w:val="24"/>
          <w:highlight w:val="none"/>
        </w:rPr>
      </w:pPr>
      <w:bookmarkStart w:id="19" w:name="_Toc14460"/>
      <w:bookmarkStart w:id="20" w:name="_Toc23625"/>
      <w:bookmarkStart w:id="21" w:name="_Toc17642"/>
      <w:r>
        <w:rPr>
          <w:rFonts w:hint="eastAsia" w:ascii="宋体" w:hAnsi="宋体" w:eastAsia="宋体" w:cs="宋体"/>
          <w:b/>
          <w:bCs/>
          <w:color w:val="auto"/>
          <w:sz w:val="24"/>
          <w:szCs w:val="24"/>
          <w:highlight w:val="none"/>
        </w:rPr>
        <w:t>六、联系方法</w:t>
      </w:r>
      <w:bookmarkEnd w:id="19"/>
      <w:bookmarkEnd w:id="20"/>
      <w:bookmarkEnd w:id="21"/>
    </w:p>
    <w:p w14:paraId="7892F306">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滁州市军粮供应站有限公司</w:t>
      </w:r>
    </w:p>
    <w:p w14:paraId="6FC4E4FB">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安徽省滁州市苏州北路379号</w:t>
      </w:r>
    </w:p>
    <w:p w14:paraId="34CEF071">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：钟庆阳</w:t>
      </w:r>
      <w:r>
        <w:rPr>
          <w:rFonts w:hint="eastAsia" w:ascii="宋体" w:hAnsi="宋体" w:eastAsia="宋体" w:cs="宋体"/>
          <w:color w:val="auto"/>
          <w:sz w:val="24"/>
          <w:szCs w:val="24"/>
          <w:highlight w:val="none"/>
          <w:lang w:val="en-US" w:eastAsia="zh-CN"/>
        </w:rPr>
        <w:t xml:space="preserve"> 13665505859</w:t>
      </w:r>
    </w:p>
    <w:p w14:paraId="2A08DBB4">
      <w:pPr>
        <w:keepNext w:val="0"/>
        <w:keepLines w:val="0"/>
        <w:pageBreakBefore w:val="0"/>
        <w:widowControl w:val="0"/>
        <w:numPr>
          <w:ilvl w:val="0"/>
          <w:numId w:val="0"/>
        </w:numPr>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bookmarkStart w:id="22" w:name="_Toc878"/>
      <w:r>
        <w:rPr>
          <w:rFonts w:hint="eastAsia" w:ascii="宋体" w:hAnsi="宋体" w:eastAsia="宋体" w:cs="宋体"/>
          <w:color w:val="auto"/>
          <w:sz w:val="24"/>
          <w:szCs w:val="24"/>
          <w:highlight w:val="none"/>
          <w:lang w:val="en-US" w:eastAsia="zh-CN"/>
        </w:rPr>
        <w:t>监督电话：俞东0550-3162619；0550-3018133</w:t>
      </w:r>
    </w:p>
    <w:p w14:paraId="38D32FB0">
      <w:pPr>
        <w:keepNext w:val="0"/>
        <w:keepLines w:val="0"/>
        <w:pageBreakBefore w:val="0"/>
        <w:widowControl w:val="0"/>
        <w:numPr>
          <w:ilvl w:val="0"/>
          <w:numId w:val="0"/>
        </w:numPr>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代理机构：</w:t>
      </w:r>
      <w:bookmarkEnd w:id="22"/>
      <w:r>
        <w:rPr>
          <w:rFonts w:hint="eastAsia" w:ascii="宋体" w:hAnsi="宋体" w:eastAsia="宋体" w:cs="宋体"/>
          <w:color w:val="auto"/>
          <w:sz w:val="24"/>
          <w:szCs w:val="24"/>
          <w:highlight w:val="none"/>
          <w:lang w:eastAsia="zh-CN"/>
        </w:rPr>
        <w:t>滁州市城投工程咨询管理有限公司</w:t>
      </w:r>
    </w:p>
    <w:p w14:paraId="2822E7C0">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滁州市龙蟠大道109号房产大厦6楼</w:t>
      </w:r>
    </w:p>
    <w:p w14:paraId="799827AC">
      <w:pPr>
        <w:keepNext w:val="0"/>
        <w:keepLines w:val="0"/>
        <w:pageBreakBefore w:val="0"/>
        <w:widowControl w:val="0"/>
        <w:kinsoku/>
        <w:overflowPunct/>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杨韦0550-3519590、18005501210</w:t>
      </w:r>
    </w:p>
    <w:bookmarkEnd w:id="4"/>
    <w:bookmarkEnd w:id="5"/>
    <w:bookmarkEnd w:id="6"/>
    <w:p w14:paraId="50EDAD3E">
      <w:pPr>
        <w:pStyle w:val="3"/>
        <w:numPr>
          <w:ilvl w:val="0"/>
          <w:numId w:val="1"/>
        </w:numPr>
        <w:spacing w:before="240" w:after="120"/>
        <w:rPr>
          <w:rFonts w:hint="eastAsia" w:ascii="宋体" w:hAnsi="宋体" w:cs="宋体"/>
          <w:color w:val="auto"/>
          <w:sz w:val="36"/>
          <w:szCs w:val="36"/>
          <w:highlight w:val="none"/>
        </w:rPr>
        <w:sectPr>
          <w:headerReference r:id="rId6" w:type="default"/>
          <w:footerReference r:id="rId7" w:type="default"/>
          <w:pgSz w:w="11906" w:h="16838"/>
          <w:pgMar w:top="1134" w:right="1361" w:bottom="1077" w:left="1361" w:header="680" w:footer="680" w:gutter="0"/>
          <w:pgNumType w:fmt="numberInDash" w:start="1"/>
          <w:cols w:space="720" w:num="1"/>
          <w:docGrid w:type="lines" w:linePitch="312" w:charSpace="0"/>
        </w:sectPr>
      </w:pPr>
    </w:p>
    <w:p w14:paraId="2CD72721">
      <w:pPr>
        <w:pStyle w:val="3"/>
        <w:numPr>
          <w:ilvl w:val="0"/>
          <w:numId w:val="1"/>
        </w:numPr>
        <w:spacing w:before="240" w:after="120"/>
        <w:rPr>
          <w:rFonts w:hint="eastAsia" w:ascii="宋体" w:hAnsi="宋体" w:cs="宋体"/>
          <w:color w:val="auto"/>
          <w:sz w:val="36"/>
          <w:szCs w:val="36"/>
          <w:highlight w:val="none"/>
        </w:rPr>
      </w:pPr>
      <w:r>
        <w:rPr>
          <w:rFonts w:hint="eastAsia" w:ascii="宋体" w:hAnsi="宋体" w:cs="宋体"/>
          <w:color w:val="auto"/>
          <w:sz w:val="32"/>
          <w:highlight w:val="none"/>
        </w:rPr>
        <w:t xml:space="preserve"> </w:t>
      </w:r>
      <w:r>
        <w:rPr>
          <w:rFonts w:hint="eastAsia" w:ascii="宋体" w:hAnsi="宋体" w:cs="宋体"/>
          <w:color w:val="auto"/>
          <w:sz w:val="36"/>
          <w:szCs w:val="36"/>
          <w:highlight w:val="none"/>
        </w:rPr>
        <w:t xml:space="preserve"> </w:t>
      </w:r>
      <w:bookmarkStart w:id="23" w:name="_Toc6514"/>
      <w:r>
        <w:rPr>
          <w:rFonts w:hint="eastAsia" w:ascii="宋体" w:hAnsi="宋体" w:cs="宋体"/>
          <w:color w:val="auto"/>
          <w:sz w:val="36"/>
          <w:szCs w:val="36"/>
          <w:highlight w:val="none"/>
        </w:rPr>
        <w:t>投标须知</w:t>
      </w:r>
      <w:bookmarkEnd w:id="23"/>
    </w:p>
    <w:p w14:paraId="6B601DCD">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投标人须知前附表</w:t>
      </w:r>
    </w:p>
    <w:tbl>
      <w:tblPr>
        <w:tblStyle w:val="48"/>
        <w:tblW w:w="10125" w:type="dxa"/>
        <w:jc w:val="center"/>
        <w:tblLayout w:type="fixed"/>
        <w:tblCellMar>
          <w:top w:w="0" w:type="dxa"/>
          <w:left w:w="108" w:type="dxa"/>
          <w:bottom w:w="0" w:type="dxa"/>
          <w:right w:w="108" w:type="dxa"/>
        </w:tblCellMar>
      </w:tblPr>
      <w:tblGrid>
        <w:gridCol w:w="675"/>
        <w:gridCol w:w="1273"/>
        <w:gridCol w:w="542"/>
        <w:gridCol w:w="7635"/>
      </w:tblGrid>
      <w:tr w14:paraId="46C09367">
        <w:tblPrEx>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6A923FB">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bookmarkStart w:id="111" w:name="_GoBack"/>
            <w:r>
              <w:rPr>
                <w:rFonts w:hint="eastAsia" w:ascii="宋体" w:hAnsi="宋体" w:eastAsia="宋体" w:cs="宋体"/>
                <w:b/>
                <w:color w:val="auto"/>
                <w:sz w:val="21"/>
                <w:szCs w:val="21"/>
                <w:highlight w:val="none"/>
              </w:rPr>
              <w:t>序号</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5014CFDC">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13AB19B6">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6C2BFD1F">
        <w:tblPrEx>
          <w:tblCellMar>
            <w:top w:w="0" w:type="dxa"/>
            <w:left w:w="108" w:type="dxa"/>
            <w:bottom w:w="0" w:type="dxa"/>
            <w:right w:w="108" w:type="dxa"/>
          </w:tblCellMar>
        </w:tblPrEx>
        <w:trPr>
          <w:jc w:val="center"/>
        </w:trPr>
        <w:tc>
          <w:tcPr>
            <w:tcW w:w="675" w:type="dxa"/>
            <w:tcBorders>
              <w:top w:val="single" w:color="auto" w:sz="4" w:space="0"/>
              <w:left w:val="single" w:color="auto" w:sz="4" w:space="0"/>
              <w:right w:val="single" w:color="auto" w:sz="4" w:space="0"/>
            </w:tcBorders>
            <w:noWrap w:val="0"/>
            <w:vAlign w:val="center"/>
          </w:tcPr>
          <w:p w14:paraId="4E05F197">
            <w:pPr>
              <w:keepNext w:val="0"/>
              <w:keepLines w:val="0"/>
              <w:pageBreakBefore w:val="0"/>
              <w:kinsoku/>
              <w:wordWrap/>
              <w:overflowPunct/>
              <w:autoSpaceDE/>
              <w:autoSpaceDN/>
              <w:bidi w:val="0"/>
              <w:adjustRightInd/>
              <w:spacing w:line="500" w:lineRule="exact"/>
              <w:ind w:left="-718" w:leftChars="-342" w:firstLine="718" w:firstLineChars="3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2C489F37">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招标单位</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0E55EB56">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4AA58745">
        <w:tblPrEx>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335FB15">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3EEE3C07">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184CA371">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012C3EA2">
        <w:tblPrEx>
          <w:tblCellMar>
            <w:top w:w="0" w:type="dxa"/>
            <w:left w:w="108" w:type="dxa"/>
            <w:bottom w:w="0" w:type="dxa"/>
            <w:right w:w="108" w:type="dxa"/>
          </w:tblCellMar>
        </w:tblPrEx>
        <w:trPr>
          <w:trHeight w:val="570" w:hRule="exac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2E660CB">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6DA22417">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4A590D2B">
            <w:pPr>
              <w:keepNext w:val="0"/>
              <w:keepLines w:val="0"/>
              <w:pageBreakBefore w:val="0"/>
              <w:kinsoku/>
              <w:wordWrap/>
              <w:overflowPunct/>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滁州市军粮供应站货车采购项目</w:t>
            </w:r>
          </w:p>
        </w:tc>
      </w:tr>
      <w:tr w14:paraId="5CBE5842">
        <w:tblPrEx>
          <w:tblCellMar>
            <w:top w:w="0" w:type="dxa"/>
            <w:left w:w="108" w:type="dxa"/>
            <w:bottom w:w="0" w:type="dxa"/>
            <w:right w:w="108" w:type="dxa"/>
          </w:tblCellMar>
        </w:tblPrEx>
        <w:trPr>
          <w:trHeight w:val="510" w:hRule="exac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BB78AB2">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3B859C76">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项目地点</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3F8C835E">
            <w:pPr>
              <w:keepNext w:val="0"/>
              <w:keepLines w:val="0"/>
              <w:pageBreakBefore w:val="0"/>
              <w:kinsoku/>
              <w:wordWrap/>
              <w:overflowPunct/>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滁州市苏州北路379号</w:t>
            </w:r>
          </w:p>
        </w:tc>
      </w:tr>
      <w:tr w14:paraId="1C68F131">
        <w:tblPrEx>
          <w:tblCellMar>
            <w:top w:w="0" w:type="dxa"/>
            <w:left w:w="108" w:type="dxa"/>
            <w:bottom w:w="0" w:type="dxa"/>
            <w:right w:w="108" w:type="dxa"/>
          </w:tblCellMar>
        </w:tblPrEx>
        <w:trPr>
          <w:trHeight w:val="535" w:hRule="exac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9539826">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12689C3E">
            <w:pPr>
              <w:keepNext w:val="0"/>
              <w:keepLines w:val="0"/>
              <w:pageBreakBefore w:val="0"/>
              <w:kinsoku/>
              <w:wordWrap/>
              <w:overflowPunct/>
              <w:autoSpaceDE/>
              <w:autoSpaceDN/>
              <w:bidi w:val="0"/>
              <w:adjustRightInd/>
              <w:spacing w:line="500" w:lineRule="exact"/>
              <w:ind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04AB43E3">
            <w:pPr>
              <w:keepNext w:val="0"/>
              <w:keepLines w:val="0"/>
              <w:pageBreakBefore w:val="0"/>
              <w:kinsoku/>
              <w:wordWrap/>
              <w:overflowPunct/>
              <w:autoSpaceDE/>
              <w:autoSpaceDN/>
              <w:bidi w:val="0"/>
              <w:adjustRightInd/>
              <w:spacing w:line="500" w:lineRule="exact"/>
              <w:ind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资金来源：财政加自筹资金；比例：100%</w:t>
            </w:r>
          </w:p>
        </w:tc>
      </w:tr>
      <w:tr w14:paraId="39E62AEB">
        <w:tblPrEx>
          <w:tblCellMar>
            <w:top w:w="0" w:type="dxa"/>
            <w:left w:w="108" w:type="dxa"/>
            <w:bottom w:w="0" w:type="dxa"/>
            <w:right w:w="108" w:type="dxa"/>
          </w:tblCellMar>
        </w:tblPrEx>
        <w:trPr>
          <w:trHeight w:val="535" w:hRule="exac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18FB027">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26AA35D9">
            <w:pPr>
              <w:keepNext w:val="0"/>
              <w:keepLines w:val="0"/>
              <w:pageBreakBefore w:val="0"/>
              <w:kinsoku/>
              <w:wordWrap/>
              <w:overflowPunct/>
              <w:autoSpaceDE/>
              <w:autoSpaceDN/>
              <w:bidi w:val="0"/>
              <w:adjustRightInd/>
              <w:spacing w:line="500" w:lineRule="exact"/>
              <w:ind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采购内容</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187DB160">
            <w:pPr>
              <w:keepNext w:val="0"/>
              <w:keepLines w:val="0"/>
              <w:pageBreakBefore w:val="0"/>
              <w:kinsoku/>
              <w:wordWrap/>
              <w:overflowPunct/>
              <w:autoSpaceDE/>
              <w:autoSpaceDN/>
              <w:bidi w:val="0"/>
              <w:adjustRightInd/>
              <w:spacing w:line="50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具体详见第四章《采购需求》</w:t>
            </w:r>
          </w:p>
        </w:tc>
      </w:tr>
      <w:tr w14:paraId="524F3EB4">
        <w:tblPrEx>
          <w:tblCellMar>
            <w:top w:w="0" w:type="dxa"/>
            <w:left w:w="108" w:type="dxa"/>
            <w:bottom w:w="0" w:type="dxa"/>
            <w:right w:w="108" w:type="dxa"/>
          </w:tblCellMar>
        </w:tblPrEx>
        <w:trPr>
          <w:trHeight w:val="55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BE1D7E5">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3F4CB397">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标段划分</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75BBF4E7">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一个标段</w:t>
            </w:r>
          </w:p>
        </w:tc>
      </w:tr>
      <w:tr w14:paraId="0E605376">
        <w:tblPrEx>
          <w:tblCellMar>
            <w:top w:w="0" w:type="dxa"/>
            <w:left w:w="108" w:type="dxa"/>
            <w:bottom w:w="0" w:type="dxa"/>
            <w:right w:w="108" w:type="dxa"/>
          </w:tblCellMar>
        </w:tblPrEx>
        <w:trPr>
          <w:trHeight w:val="510" w:hRule="exac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C212C4F">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24B6DD71">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43F35CB8">
            <w:pPr>
              <w:keepNext w:val="0"/>
              <w:keepLines w:val="0"/>
              <w:pageBreakBefore w:val="0"/>
              <w:kinsoku/>
              <w:wordWrap/>
              <w:overflowPunct/>
              <w:autoSpaceDE/>
              <w:autoSpaceDN/>
              <w:bidi w:val="0"/>
              <w:adjustRightInd/>
              <w:spacing w:line="500" w:lineRule="exact"/>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最低评标价法</w:t>
            </w:r>
          </w:p>
        </w:tc>
      </w:tr>
      <w:tr w14:paraId="0C7BD6DD">
        <w:tblPrEx>
          <w:tblCellMar>
            <w:top w:w="0" w:type="dxa"/>
            <w:left w:w="108" w:type="dxa"/>
            <w:bottom w:w="0" w:type="dxa"/>
            <w:right w:w="108" w:type="dxa"/>
          </w:tblCellMar>
        </w:tblPrEx>
        <w:trPr>
          <w:trHeight w:val="598"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8F48D15">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5A0A3D5A">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供货期</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2BE398B4">
            <w:pPr>
              <w:keepNext w:val="0"/>
              <w:keepLines w:val="0"/>
              <w:pageBreakBefore w:val="0"/>
              <w:widowControl w:val="0"/>
              <w:kinsoku/>
              <w:wordWrap/>
              <w:overflowPunct/>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合同签订并生效后</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个日历天内完成供货</w:t>
            </w:r>
          </w:p>
        </w:tc>
      </w:tr>
      <w:tr w14:paraId="35A49669">
        <w:tblPrEx>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right w:val="single" w:color="auto" w:sz="4" w:space="0"/>
            </w:tcBorders>
            <w:noWrap w:val="0"/>
            <w:vAlign w:val="center"/>
          </w:tcPr>
          <w:p w14:paraId="34D09B48">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19D63ADF">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3219699C">
            <w:pPr>
              <w:keepNext w:val="0"/>
              <w:keepLines w:val="0"/>
              <w:pageBreakBefore w:val="0"/>
              <w:kinsoku/>
              <w:wordWrap/>
              <w:overflowPunct/>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详见招标公告</w:t>
            </w:r>
          </w:p>
        </w:tc>
      </w:tr>
      <w:tr w14:paraId="456314D5">
        <w:tblPrEx>
          <w:tblCellMar>
            <w:top w:w="0" w:type="dxa"/>
            <w:left w:w="108" w:type="dxa"/>
            <w:bottom w:w="0" w:type="dxa"/>
            <w:right w:w="108" w:type="dxa"/>
          </w:tblCellMar>
        </w:tblPrEx>
        <w:trPr>
          <w:jc w:val="center"/>
        </w:trPr>
        <w:tc>
          <w:tcPr>
            <w:tcW w:w="675" w:type="dxa"/>
            <w:vMerge w:val="continue"/>
            <w:tcBorders>
              <w:left w:val="single" w:color="auto" w:sz="4" w:space="0"/>
              <w:bottom w:val="single" w:color="auto" w:sz="4" w:space="0"/>
              <w:right w:val="single" w:color="auto" w:sz="4" w:space="0"/>
            </w:tcBorders>
            <w:noWrap w:val="0"/>
            <w:vAlign w:val="center"/>
          </w:tcPr>
          <w:p w14:paraId="0D0B1A41">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78B8172E">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领取文件方式及时间</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329C4D28">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详见招标公告</w:t>
            </w:r>
          </w:p>
        </w:tc>
      </w:tr>
      <w:tr w14:paraId="532ECB64">
        <w:tblPrEx>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14EDF56">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09D436B0">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71F18B39">
            <w:pPr>
              <w:pStyle w:val="16"/>
              <w:keepNext w:val="0"/>
              <w:keepLines w:val="0"/>
              <w:pageBreakBefore w:val="0"/>
              <w:kinsoku/>
              <w:wordWrap/>
              <w:overflowPunct/>
              <w:topLinePunct/>
              <w:autoSpaceDE/>
              <w:autoSpaceDN/>
              <w:bidi w:val="0"/>
              <w:adjustRightInd/>
              <w:spacing w:line="50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不组织，投标人自行组织踏勘现场。</w:t>
            </w:r>
          </w:p>
        </w:tc>
      </w:tr>
      <w:tr w14:paraId="65ED81B1">
        <w:tblPrEx>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2B8FF57">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38A77311">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投标预备会</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36B27F2B">
            <w:pPr>
              <w:pStyle w:val="16"/>
              <w:keepNext w:val="0"/>
              <w:keepLines w:val="0"/>
              <w:pageBreakBefore w:val="0"/>
              <w:kinsoku/>
              <w:wordWrap/>
              <w:overflowPunct/>
              <w:topLinePunct/>
              <w:autoSpaceDE/>
              <w:autoSpaceDN/>
              <w:bidi w:val="0"/>
              <w:adjustRightInd/>
              <w:spacing w:line="50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不召开</w:t>
            </w:r>
          </w:p>
        </w:tc>
      </w:tr>
      <w:tr w14:paraId="3B97C448">
        <w:tblPrEx>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15FF5FE">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1FFA7A76">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41B27E72">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kern w:val="0"/>
                <w:sz w:val="21"/>
                <w:szCs w:val="21"/>
                <w:highlight w:val="none"/>
                <w:lang w:val="en-US" w:eastAsia="zh-CN"/>
              </w:rPr>
              <w:t>270000.00元</w:t>
            </w:r>
            <w:r>
              <w:rPr>
                <w:rFonts w:hint="eastAsia" w:ascii="宋体" w:hAnsi="宋体" w:eastAsia="宋体" w:cs="宋体"/>
                <w:color w:val="auto"/>
                <w:spacing w:val="-4"/>
                <w:kern w:val="0"/>
                <w:sz w:val="21"/>
                <w:szCs w:val="21"/>
                <w:highlight w:val="none"/>
              </w:rPr>
              <w:t>，投标报价不得高于最高限价，否则，其投标文件按无效标处理。</w:t>
            </w:r>
          </w:p>
        </w:tc>
      </w:tr>
      <w:tr w14:paraId="6C2DDCD4">
        <w:tblPrEx>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CD698A3">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71A67461">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0E8F4D4A">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033BF353">
        <w:tblPrEx>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821F145">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5703A51C">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018FA3DE">
            <w:pPr>
              <w:pStyle w:val="42"/>
              <w:keepNext w:val="0"/>
              <w:keepLines w:val="0"/>
              <w:pageBreakBefore w:val="0"/>
              <w:kinsoku/>
              <w:wordWrap/>
              <w:overflowPunct/>
              <w:autoSpaceDE/>
              <w:autoSpaceDN/>
              <w:bidi w:val="0"/>
              <w:adjustRightInd/>
              <w:snapToGrid w:val="0"/>
              <w:spacing w:line="5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不要求</w:t>
            </w:r>
          </w:p>
        </w:tc>
      </w:tr>
      <w:tr w14:paraId="745F8926">
        <w:tblPrEx>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53253D2">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75829674">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4499053F">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投标文件须按格式文件要求签字或盖章。</w:t>
            </w:r>
          </w:p>
        </w:tc>
      </w:tr>
      <w:tr w14:paraId="384B9C25">
        <w:tblPrEx>
          <w:tblCellMar>
            <w:top w:w="0" w:type="dxa"/>
            <w:left w:w="108" w:type="dxa"/>
            <w:bottom w:w="0" w:type="dxa"/>
            <w:right w:w="108" w:type="dxa"/>
          </w:tblCellMar>
        </w:tblPrEx>
        <w:trPr>
          <w:trHeight w:val="57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CB56C29">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1602F32F">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5D003A7B">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正本1份，副本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w:t>
            </w:r>
          </w:p>
        </w:tc>
      </w:tr>
      <w:tr w14:paraId="519B87F8">
        <w:tblPrEx>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94430D9">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06E8C37D">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密封要求</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2D616B8B">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正本、副本分别装订，然后密封在一个档案袋内。</w:t>
            </w:r>
          </w:p>
        </w:tc>
      </w:tr>
      <w:tr w14:paraId="3D8748EF">
        <w:tblPrEx>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90657A1">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460CD296">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67504CF0">
            <w:pPr>
              <w:keepNext w:val="0"/>
              <w:keepLines w:val="0"/>
              <w:pageBreakBefore w:val="0"/>
              <w:kinsoku/>
              <w:wordWrap/>
              <w:overflowPunct/>
              <w:autoSpaceDE/>
              <w:autoSpaceDN/>
              <w:bidi w:val="0"/>
              <w:adjustRightInd/>
              <w:spacing w:line="500" w:lineRule="exact"/>
              <w:ind w:firstLine="19" w:firstLineChars="9"/>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时间:202</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rPr>
              <w:t>（北京时间）</w:t>
            </w:r>
          </w:p>
          <w:p w14:paraId="024FBF64">
            <w:pPr>
              <w:keepNext w:val="0"/>
              <w:keepLines w:val="0"/>
              <w:pageBreakBefore w:val="0"/>
              <w:kinsoku/>
              <w:wordWrap/>
              <w:overflowPunct/>
              <w:autoSpaceDE/>
              <w:autoSpaceDN/>
              <w:bidi w:val="0"/>
              <w:adjustRightInd/>
              <w:spacing w:line="500" w:lineRule="exact"/>
              <w:ind w:firstLine="19" w:firstLineChars="9"/>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地点：滁州市龙蟠大道109号房产大厦6楼603会议室</w:t>
            </w:r>
          </w:p>
        </w:tc>
      </w:tr>
      <w:tr w14:paraId="37AAD40C">
        <w:tblPrEx>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A7315B7">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494B0E8B">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投标截止时间及递交投标文件地点</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70AE8849">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rPr>
              <w:t>（北京时间）</w:t>
            </w:r>
          </w:p>
          <w:p w14:paraId="546647CB">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地点：滁州市龙蟠大道109号房产大厦6楼603会议室</w:t>
            </w:r>
          </w:p>
        </w:tc>
      </w:tr>
      <w:tr w14:paraId="6098B2DF">
        <w:tblPrEx>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00E1DD1">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6FA5711F">
            <w:pPr>
              <w:keepNext w:val="0"/>
              <w:keepLines w:val="0"/>
              <w:pageBreakBefore w:val="0"/>
              <w:kinsoku/>
              <w:wordWrap/>
              <w:overflowPunct/>
              <w:autoSpaceDE/>
              <w:autoSpaceDN/>
              <w:bidi w:val="0"/>
              <w:adjustRightInd/>
              <w:spacing w:line="5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6568B40F">
            <w:pPr>
              <w:keepNext w:val="0"/>
              <w:keepLines w:val="0"/>
              <w:pageBreakBefore w:val="0"/>
              <w:kinsoku/>
              <w:wordWrap/>
              <w:overflowPunct/>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投标文件密封情况检查：</w:t>
            </w:r>
            <w:r>
              <w:rPr>
                <w:rFonts w:hint="eastAsia" w:ascii="宋体" w:hAnsi="宋体" w:eastAsia="宋体" w:cs="宋体"/>
                <w:color w:val="auto"/>
                <w:sz w:val="21"/>
                <w:szCs w:val="21"/>
                <w:highlight w:val="none"/>
                <w:lang w:val="en-US" w:eastAsia="zh-CN"/>
              </w:rPr>
              <w:t>投标人代表检查密封情况</w:t>
            </w:r>
          </w:p>
          <w:p w14:paraId="77466674">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开标顺序：先进行符合性审查，再进行综合评审。</w:t>
            </w:r>
          </w:p>
        </w:tc>
      </w:tr>
      <w:tr w14:paraId="7A18E433">
        <w:tblPrEx>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4849CAE">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0F6ED753">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5727B15B">
            <w:pPr>
              <w:pStyle w:val="16"/>
              <w:keepNext w:val="0"/>
              <w:keepLines w:val="0"/>
              <w:pageBreakBefore w:val="0"/>
              <w:kinsoku/>
              <w:wordWrap/>
              <w:overflowPunct/>
              <w:topLinePunct/>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4908D72A">
        <w:tblPrEx>
          <w:tblCellMar>
            <w:top w:w="0" w:type="dxa"/>
            <w:left w:w="108" w:type="dxa"/>
            <w:bottom w:w="0" w:type="dxa"/>
            <w:right w:w="108" w:type="dxa"/>
          </w:tblCellMar>
        </w:tblPrEx>
        <w:trPr>
          <w:trHeight w:val="488"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D758FE1">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6751CC39">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0E6A45CA">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评标委员会构成：</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人</w:t>
            </w:r>
          </w:p>
          <w:p w14:paraId="5E54754D">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评标专家确定方式：随机抽取</w:t>
            </w:r>
          </w:p>
        </w:tc>
      </w:tr>
      <w:tr w14:paraId="39929CDC">
        <w:tblPrEx>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0FAC4E9">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258B265A">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是否授权评标委员会推荐中标候选人</w:t>
            </w:r>
          </w:p>
        </w:tc>
        <w:tc>
          <w:tcPr>
            <w:tcW w:w="7635" w:type="dxa"/>
            <w:tcBorders>
              <w:top w:val="single" w:color="auto" w:sz="4" w:space="0"/>
              <w:left w:val="single" w:color="auto" w:sz="4" w:space="0"/>
              <w:bottom w:val="single" w:color="auto" w:sz="4" w:space="0"/>
              <w:right w:val="single" w:color="auto" w:sz="4" w:space="0"/>
            </w:tcBorders>
            <w:noWrap w:val="0"/>
            <w:vAlign w:val="center"/>
          </w:tcPr>
          <w:p w14:paraId="7F0006C3">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是，推荐的中标候选人数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名，并标明排序。</w:t>
            </w:r>
          </w:p>
        </w:tc>
      </w:tr>
      <w:tr w14:paraId="50FF8228">
        <w:tblPrEx>
          <w:tblCellMar>
            <w:top w:w="0" w:type="dxa"/>
            <w:left w:w="108" w:type="dxa"/>
            <w:bottom w:w="0" w:type="dxa"/>
            <w:right w:w="108" w:type="dxa"/>
          </w:tblCellMar>
        </w:tblPrEx>
        <w:trPr>
          <w:trHeight w:val="590" w:hRule="atLeast"/>
          <w:jc w:val="center"/>
        </w:trPr>
        <w:tc>
          <w:tcPr>
            <w:tcW w:w="675" w:type="dxa"/>
            <w:tcBorders>
              <w:top w:val="single" w:color="auto" w:sz="4" w:space="0"/>
              <w:left w:val="single" w:color="auto" w:sz="4" w:space="0"/>
              <w:right w:val="single" w:color="auto" w:sz="4" w:space="0"/>
            </w:tcBorders>
            <w:noWrap w:val="0"/>
            <w:vAlign w:val="center"/>
          </w:tcPr>
          <w:p w14:paraId="18198119">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p>
        </w:tc>
        <w:tc>
          <w:tcPr>
            <w:tcW w:w="1815" w:type="dxa"/>
            <w:gridSpan w:val="2"/>
            <w:tcBorders>
              <w:top w:val="single" w:color="auto" w:sz="4" w:space="0"/>
              <w:left w:val="single" w:color="auto" w:sz="4" w:space="0"/>
              <w:right w:val="single" w:color="auto" w:sz="4" w:space="0"/>
            </w:tcBorders>
            <w:noWrap w:val="0"/>
            <w:vAlign w:val="center"/>
          </w:tcPr>
          <w:p w14:paraId="0B13E50C">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7635" w:type="dxa"/>
            <w:tcBorders>
              <w:top w:val="single" w:color="auto" w:sz="4" w:space="0"/>
              <w:left w:val="single" w:color="auto" w:sz="4" w:space="0"/>
              <w:right w:val="single" w:color="auto" w:sz="4" w:space="0"/>
            </w:tcBorders>
            <w:noWrap w:val="0"/>
            <w:vAlign w:val="center"/>
          </w:tcPr>
          <w:p w14:paraId="2277E14A">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中标通知书须加盖招标单位及代理公司公章后方可发出。</w:t>
            </w:r>
          </w:p>
        </w:tc>
      </w:tr>
      <w:tr w14:paraId="66B14235">
        <w:tblPrEx>
          <w:tblCellMar>
            <w:top w:w="0" w:type="dxa"/>
            <w:left w:w="108" w:type="dxa"/>
            <w:bottom w:w="0" w:type="dxa"/>
            <w:right w:w="108" w:type="dxa"/>
          </w:tblCellMar>
        </w:tblPrEx>
        <w:trPr>
          <w:trHeight w:val="90" w:hRule="atLeast"/>
          <w:jc w:val="center"/>
        </w:trPr>
        <w:tc>
          <w:tcPr>
            <w:tcW w:w="10125" w:type="dxa"/>
            <w:gridSpan w:val="4"/>
            <w:tcBorders>
              <w:top w:val="single" w:color="auto" w:sz="4" w:space="0"/>
              <w:left w:val="single" w:color="auto" w:sz="4" w:space="0"/>
              <w:bottom w:val="single" w:color="auto" w:sz="4" w:space="0"/>
              <w:right w:val="single" w:color="auto" w:sz="4" w:space="0"/>
            </w:tcBorders>
            <w:noWrap w:val="0"/>
            <w:vAlign w:val="center"/>
          </w:tcPr>
          <w:p w14:paraId="5CD61DED">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5F8AC149">
        <w:tblPrEx>
          <w:tblCellMar>
            <w:top w:w="0" w:type="dxa"/>
            <w:left w:w="108" w:type="dxa"/>
            <w:bottom w:w="0" w:type="dxa"/>
            <w:right w:w="108" w:type="dxa"/>
          </w:tblCellMar>
        </w:tblPrEx>
        <w:trPr>
          <w:trHeight w:val="95" w:hRule="atLeast"/>
          <w:jc w:val="center"/>
        </w:trPr>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1B22C638">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w:t>
            </w:r>
          </w:p>
        </w:tc>
        <w:tc>
          <w:tcPr>
            <w:tcW w:w="8177" w:type="dxa"/>
            <w:gridSpan w:val="2"/>
            <w:tcBorders>
              <w:top w:val="single" w:color="auto" w:sz="4" w:space="0"/>
              <w:left w:val="single" w:color="auto" w:sz="4" w:space="0"/>
              <w:bottom w:val="single" w:color="auto" w:sz="4" w:space="0"/>
              <w:right w:val="single" w:color="auto" w:sz="4" w:space="0"/>
            </w:tcBorders>
            <w:noWrap w:val="0"/>
            <w:vAlign w:val="center"/>
          </w:tcPr>
          <w:p w14:paraId="4E1F062F">
            <w:pPr>
              <w:keepNext w:val="0"/>
              <w:keepLines w:val="0"/>
              <w:pageBreakBefore w:val="0"/>
              <w:kinsoku/>
              <w:wordWrap/>
              <w:overflowPunct/>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招标代理费用</w:t>
            </w:r>
            <w:r>
              <w:rPr>
                <w:rFonts w:hint="eastAsia" w:ascii="宋体" w:hAnsi="宋体" w:eastAsia="宋体" w:cs="宋体"/>
                <w:color w:val="auto"/>
                <w:sz w:val="21"/>
                <w:szCs w:val="21"/>
                <w:highlight w:val="none"/>
                <w:lang w:val="en-US" w:eastAsia="zh-CN"/>
              </w:rPr>
              <w:t>3000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专家评委费约1240元（具体以实际发生费用为准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。上述两项费用均由中标单位支付，</w:t>
            </w:r>
            <w:r>
              <w:rPr>
                <w:rFonts w:hint="eastAsia" w:ascii="宋体" w:hAnsi="宋体" w:eastAsia="宋体" w:cs="宋体"/>
                <w:color w:val="auto"/>
                <w:sz w:val="21"/>
                <w:szCs w:val="21"/>
                <w:highlight w:val="none"/>
              </w:rPr>
              <w:t>在获取中标通知书时一次性支付给代理机构。</w:t>
            </w:r>
          </w:p>
        </w:tc>
      </w:tr>
      <w:tr w14:paraId="4DCD4302">
        <w:tblPrEx>
          <w:tblCellMar>
            <w:top w:w="0" w:type="dxa"/>
            <w:left w:w="108" w:type="dxa"/>
            <w:bottom w:w="0" w:type="dxa"/>
            <w:right w:w="108" w:type="dxa"/>
          </w:tblCellMar>
        </w:tblPrEx>
        <w:trPr>
          <w:trHeight w:val="591" w:hRule="atLeast"/>
          <w:jc w:val="center"/>
        </w:trPr>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1DC68402">
            <w:pPr>
              <w:keepNext w:val="0"/>
              <w:keepLines w:val="0"/>
              <w:pageBreakBefore w:val="0"/>
              <w:kinsoku/>
              <w:wordWrap/>
              <w:overflowPunct/>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8177" w:type="dxa"/>
            <w:gridSpan w:val="2"/>
            <w:tcBorders>
              <w:top w:val="single" w:color="auto" w:sz="4" w:space="0"/>
              <w:left w:val="single" w:color="auto" w:sz="4" w:space="0"/>
              <w:bottom w:val="single" w:color="auto" w:sz="4" w:space="0"/>
              <w:right w:val="single" w:color="auto" w:sz="4" w:space="0"/>
            </w:tcBorders>
            <w:noWrap w:val="0"/>
            <w:vAlign w:val="center"/>
          </w:tcPr>
          <w:p w14:paraId="2B8197F0">
            <w:pPr>
              <w:keepNext w:val="0"/>
              <w:keepLines w:val="0"/>
              <w:pageBreakBefore w:val="0"/>
              <w:kinsoku/>
              <w:wordWrap/>
              <w:overflowPunct/>
              <w:autoSpaceDE/>
              <w:autoSpaceDN/>
              <w:bidi w:val="0"/>
              <w:adjustRightInd/>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供货完成经验收合格</w:t>
            </w:r>
            <w:r>
              <w:rPr>
                <w:rFonts w:hint="eastAsia" w:ascii="宋体" w:hAnsi="宋体" w:eastAsia="宋体" w:cs="宋体"/>
                <w:color w:val="auto"/>
                <w:sz w:val="21"/>
                <w:szCs w:val="21"/>
                <w:highlight w:val="none"/>
                <w:lang w:val="en-US" w:eastAsia="zh-CN"/>
              </w:rPr>
              <w:t>且开具发票后</w:t>
            </w:r>
            <w:r>
              <w:rPr>
                <w:rFonts w:hint="eastAsia" w:ascii="宋体" w:hAnsi="宋体" w:eastAsia="宋体" w:cs="宋体"/>
                <w:color w:val="auto"/>
                <w:sz w:val="21"/>
                <w:szCs w:val="21"/>
                <w:highlight w:val="none"/>
                <w:lang w:eastAsia="zh-CN"/>
              </w:rPr>
              <w:t>一次性支付。</w:t>
            </w:r>
          </w:p>
        </w:tc>
      </w:tr>
      <w:bookmarkEnd w:id="111"/>
      <w:bookmarkEnd w:id="0"/>
      <w:bookmarkEnd w:id="1"/>
      <w:bookmarkEnd w:id="2"/>
      <w:bookmarkEnd w:id="3"/>
    </w:tbl>
    <w:p w14:paraId="08B1EDD6">
      <w:pPr>
        <w:pStyle w:val="2"/>
        <w:keepNext/>
        <w:keepLines/>
        <w:pageBreakBefore w:val="0"/>
        <w:widowControl w:val="0"/>
        <w:kinsoku/>
        <w:wordWrap/>
        <w:overflowPunct/>
        <w:topLinePunct w:val="0"/>
        <w:autoSpaceDE/>
        <w:autoSpaceDN/>
        <w:bidi w:val="0"/>
        <w:adjustRightInd/>
        <w:snapToGrid/>
        <w:spacing w:before="157" w:beforeLines="50" w:after="157" w:afterLines="50" w:line="500" w:lineRule="exact"/>
        <w:ind w:right="-94" w:rightChars="-45"/>
        <w:jc w:val="center"/>
        <w:textAlignment w:val="auto"/>
        <w:rPr>
          <w:rFonts w:hint="eastAsia" w:ascii="宋体" w:hAnsi="宋体" w:cs="宋体"/>
          <w:color w:val="auto"/>
          <w:sz w:val="21"/>
          <w:szCs w:val="21"/>
          <w:highlight w:val="none"/>
        </w:rPr>
      </w:pPr>
      <w:bookmarkStart w:id="24" w:name="_Toc19866"/>
      <w:bookmarkStart w:id="25" w:name="_Toc16377"/>
      <w:bookmarkStart w:id="26" w:name="_Toc296602421"/>
      <w:bookmarkStart w:id="27" w:name="_Toc531771949"/>
      <w:bookmarkStart w:id="28" w:name="_Toc152045530"/>
      <w:bookmarkStart w:id="29" w:name="_Toc152042306"/>
      <w:bookmarkStart w:id="30" w:name="_Toc144974498"/>
      <w:bookmarkStart w:id="31" w:name="_Toc324404816"/>
      <w:bookmarkStart w:id="32" w:name="_Toc246996176"/>
      <w:bookmarkStart w:id="33" w:name="_Toc506107270"/>
      <w:bookmarkStart w:id="34" w:name="_Toc15058847"/>
      <w:bookmarkStart w:id="35" w:name="_Toc35425054"/>
      <w:bookmarkStart w:id="36" w:name="_Toc35947171"/>
      <w:bookmarkStart w:id="37" w:name="_Toc247085690"/>
      <w:bookmarkStart w:id="38" w:name="_Toc35424888"/>
      <w:bookmarkStart w:id="39" w:name="_Toc246996919"/>
      <w:bookmarkStart w:id="40" w:name="_Toc179632547"/>
      <w:bookmarkStart w:id="41" w:name="_Toc8218_WPSOffice_Level1"/>
      <w:r>
        <w:rPr>
          <w:rFonts w:hint="eastAsia" w:ascii="宋体" w:hAnsi="宋体" w:cs="宋体"/>
          <w:color w:val="auto"/>
          <w:sz w:val="28"/>
          <w:szCs w:val="28"/>
          <w:highlight w:val="none"/>
        </w:rPr>
        <w:br w:type="page"/>
      </w:r>
      <w:r>
        <w:rPr>
          <w:rFonts w:hint="eastAsia" w:ascii="宋体" w:hAnsi="宋体" w:cs="宋体"/>
          <w:color w:val="auto"/>
          <w:sz w:val="28"/>
          <w:szCs w:val="28"/>
          <w:highlight w:val="none"/>
        </w:rPr>
        <w:t>一、总  则</w:t>
      </w:r>
      <w:bookmarkEnd w:id="24"/>
      <w:bookmarkEnd w:id="25"/>
    </w:p>
    <w:p w14:paraId="2CDAD74D">
      <w:pPr>
        <w:pageBreakBefore w:val="0"/>
        <w:kinsoku/>
        <w:wordWrap/>
        <w:overflowPunct/>
        <w:topLinePunct w:val="0"/>
        <w:autoSpaceDE/>
        <w:autoSpaceDN/>
        <w:bidi w:val="0"/>
        <w:adjustRightInd/>
        <w:spacing w:line="500" w:lineRule="exact"/>
        <w:ind w:left="10" w:right="-94" w:rightChars="-45"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1.项目概况</w:t>
      </w:r>
    </w:p>
    <w:p w14:paraId="25B9766C">
      <w:pPr>
        <w:pageBreakBefore w:val="0"/>
        <w:kinsoku/>
        <w:wordWrap/>
        <w:overflowPunct/>
        <w:topLinePunct w:val="0"/>
        <w:autoSpaceDE/>
        <w:autoSpaceDN/>
        <w:bidi w:val="0"/>
        <w:adjustRightInd/>
        <w:spacing w:line="50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1.1本次招标项目名称：</w:t>
      </w:r>
      <w:r>
        <w:rPr>
          <w:rFonts w:hint="eastAsia" w:ascii="宋体" w:hAnsi="宋体" w:cs="宋体"/>
          <w:color w:val="auto"/>
          <w:szCs w:val="21"/>
          <w:highlight w:val="none"/>
          <w:lang w:val="en-US" w:eastAsia="zh-CN"/>
        </w:rPr>
        <w:t>见投标人须知前附表</w:t>
      </w:r>
    </w:p>
    <w:p w14:paraId="65711AA4">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1.2招标单位：</w:t>
      </w:r>
      <w:r>
        <w:rPr>
          <w:rFonts w:hint="eastAsia" w:ascii="宋体" w:hAnsi="宋体" w:eastAsia="宋体" w:cs="宋体"/>
          <w:color w:val="auto"/>
          <w:sz w:val="21"/>
          <w:szCs w:val="21"/>
          <w:highlight w:val="none"/>
          <w:lang w:val="en-US" w:eastAsia="zh-CN"/>
        </w:rPr>
        <w:t>见投标人须知前附表</w:t>
      </w:r>
    </w:p>
    <w:p w14:paraId="2E227AA6">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单位：</w:t>
      </w:r>
      <w:r>
        <w:rPr>
          <w:rFonts w:hint="eastAsia" w:ascii="宋体" w:hAnsi="宋体" w:eastAsia="宋体" w:cs="宋体"/>
          <w:color w:val="auto"/>
          <w:sz w:val="21"/>
          <w:szCs w:val="21"/>
          <w:highlight w:val="none"/>
          <w:lang w:val="en-US" w:eastAsia="zh-CN"/>
        </w:rPr>
        <w:t>见投标人须知前附</w:t>
      </w:r>
      <w:r>
        <w:rPr>
          <w:rFonts w:hint="eastAsia" w:ascii="宋体" w:hAnsi="宋体" w:cs="宋体"/>
          <w:color w:val="auto"/>
          <w:szCs w:val="21"/>
          <w:highlight w:val="none"/>
          <w:lang w:val="en-US" w:eastAsia="zh-CN"/>
        </w:rPr>
        <w:t>表</w:t>
      </w:r>
    </w:p>
    <w:p w14:paraId="1A1949F8">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供货期：见投标人须知前附表。</w:t>
      </w:r>
    </w:p>
    <w:p w14:paraId="080E5B0D">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 供货地点：见投标人须知前附表。</w:t>
      </w:r>
    </w:p>
    <w:p w14:paraId="05BA5152">
      <w:pPr>
        <w:pageBreakBefore w:val="0"/>
        <w:kinsoku/>
        <w:wordWrap/>
        <w:overflowPunct/>
        <w:topLinePunct w:val="0"/>
        <w:autoSpaceDE/>
        <w:autoSpaceDN/>
        <w:bidi w:val="0"/>
        <w:adjustRightInd/>
        <w:spacing w:line="500" w:lineRule="exact"/>
        <w:ind w:left="10" w:right="-94" w:rightChars="-45"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2.招标范围</w:t>
      </w:r>
    </w:p>
    <w:p w14:paraId="7E7CC0D5">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采购内容：见投标人须知前附表。</w:t>
      </w:r>
    </w:p>
    <w:p w14:paraId="1F88FC05">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2.2 技术要求：详见招标文件第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w:t>
      </w:r>
      <w:r>
        <w:rPr>
          <w:rFonts w:hint="eastAsia" w:ascii="宋体" w:hAnsi="宋体" w:cs="宋体"/>
          <w:color w:val="auto"/>
          <w:szCs w:val="21"/>
          <w:highlight w:val="none"/>
        </w:rPr>
        <w:t>采购需求</w:t>
      </w:r>
      <w:r>
        <w:rPr>
          <w:rFonts w:hint="eastAsia" w:ascii="宋体" w:hAnsi="宋体" w:eastAsia="宋体" w:cs="宋体"/>
          <w:color w:val="auto"/>
          <w:sz w:val="21"/>
          <w:szCs w:val="21"/>
          <w:highlight w:val="none"/>
        </w:rPr>
        <w:t>。</w:t>
      </w:r>
    </w:p>
    <w:p w14:paraId="7342C3E4">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bCs/>
          <w:color w:val="auto"/>
          <w:szCs w:val="21"/>
          <w:highlight w:val="none"/>
        </w:rPr>
        <w:t>3.</w:t>
      </w:r>
      <w:r>
        <w:rPr>
          <w:rFonts w:hint="eastAsia" w:ascii="宋体" w:hAnsi="宋体" w:eastAsia="宋体" w:cs="宋体"/>
          <w:b/>
          <w:color w:val="auto"/>
          <w:sz w:val="21"/>
          <w:szCs w:val="21"/>
          <w:highlight w:val="none"/>
        </w:rPr>
        <w:t>标包划分：</w:t>
      </w:r>
    </w:p>
    <w:p w14:paraId="7CF4E266">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3.1本项目划分：见投标人须知前附表。</w:t>
      </w:r>
    </w:p>
    <w:p w14:paraId="7E3899BC">
      <w:pPr>
        <w:pageBreakBefore w:val="0"/>
        <w:kinsoku/>
        <w:wordWrap/>
        <w:overflowPunct/>
        <w:topLinePunct w:val="0"/>
        <w:autoSpaceDE/>
        <w:autoSpaceDN/>
        <w:bidi w:val="0"/>
        <w:adjustRightInd/>
        <w:spacing w:line="500" w:lineRule="exact"/>
        <w:ind w:left="10" w:right="-94" w:rightChars="-45" w:firstLine="422" w:firstLineChars="200"/>
        <w:jc w:val="left"/>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招标方式</w:t>
      </w:r>
    </w:p>
    <w:p w14:paraId="099B7978">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4.1</w:t>
      </w:r>
      <w:r>
        <w:rPr>
          <w:rFonts w:hint="eastAsia" w:ascii="宋体" w:hAnsi="宋体" w:eastAsia="宋体" w:cs="宋体"/>
          <w:color w:val="auto"/>
          <w:sz w:val="21"/>
          <w:szCs w:val="21"/>
          <w:highlight w:val="none"/>
          <w:lang w:val="en-US" w:eastAsia="zh-CN"/>
        </w:rPr>
        <w:t>招标方式：公开招标。</w:t>
      </w:r>
      <w:r>
        <w:rPr>
          <w:rFonts w:hint="eastAsia" w:ascii="宋体" w:hAnsi="宋体" w:cs="宋体"/>
          <w:color w:val="auto"/>
          <w:szCs w:val="21"/>
          <w:highlight w:val="none"/>
        </w:rPr>
        <w:t xml:space="preserve"> </w:t>
      </w:r>
    </w:p>
    <w:p w14:paraId="06C84A96">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bCs/>
          <w:color w:val="auto"/>
          <w:szCs w:val="21"/>
          <w:highlight w:val="none"/>
        </w:rPr>
        <w:t xml:space="preserve">5. </w:t>
      </w:r>
      <w:r>
        <w:rPr>
          <w:rFonts w:hint="eastAsia" w:ascii="宋体" w:hAnsi="宋体" w:eastAsia="宋体" w:cs="宋体"/>
          <w:b/>
          <w:color w:val="auto"/>
          <w:sz w:val="21"/>
          <w:szCs w:val="21"/>
          <w:highlight w:val="none"/>
        </w:rPr>
        <w:t>计价方式：</w:t>
      </w:r>
    </w:p>
    <w:p w14:paraId="27779D22">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5.1本次招标项目合同采用</w:t>
      </w:r>
      <w:r>
        <w:rPr>
          <w:rFonts w:hint="eastAsia" w:ascii="宋体" w:hAnsi="宋体" w:eastAsia="宋体" w:cs="宋体"/>
          <w:color w:val="auto"/>
          <w:sz w:val="21"/>
          <w:szCs w:val="21"/>
          <w:highlight w:val="none"/>
          <w:u w:val="single"/>
          <w:lang w:val="en-US" w:eastAsia="zh-CN"/>
        </w:rPr>
        <w:t>单价合同</w:t>
      </w:r>
      <w:r>
        <w:rPr>
          <w:rFonts w:hint="eastAsia" w:ascii="宋体" w:hAnsi="宋体" w:eastAsia="宋体" w:cs="宋体"/>
          <w:color w:val="auto"/>
          <w:sz w:val="21"/>
          <w:szCs w:val="21"/>
          <w:highlight w:val="none"/>
        </w:rPr>
        <w:t>。</w:t>
      </w:r>
    </w:p>
    <w:p w14:paraId="6548E58B">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bCs/>
          <w:color w:val="auto"/>
          <w:szCs w:val="21"/>
          <w:highlight w:val="none"/>
        </w:rPr>
        <w:t>6.</w:t>
      </w:r>
      <w:r>
        <w:rPr>
          <w:rFonts w:hint="eastAsia" w:ascii="宋体" w:hAnsi="宋体" w:eastAsia="宋体" w:cs="宋体"/>
          <w:b/>
          <w:color w:val="auto"/>
          <w:sz w:val="21"/>
          <w:szCs w:val="21"/>
          <w:highlight w:val="none"/>
        </w:rPr>
        <w:t>评标办法：</w:t>
      </w:r>
    </w:p>
    <w:p w14:paraId="302E48C3">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6.1本次招标评标采用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val="0"/>
          <w:iCs w:val="0"/>
          <w:color w:val="auto"/>
          <w:sz w:val="21"/>
          <w:szCs w:val="21"/>
          <w:highlight w:val="none"/>
          <w:u w:val="single"/>
          <w:lang w:val="en-US" w:eastAsia="zh-CN"/>
        </w:rPr>
        <w:t>最低评标价法</w:t>
      </w:r>
      <w:r>
        <w:rPr>
          <w:rFonts w:hint="eastAsia" w:ascii="宋体" w:hAnsi="宋体" w:eastAsia="宋体" w:cs="宋体"/>
          <w:i w:val="0"/>
          <w:iCs w:val="0"/>
          <w:color w:val="auto"/>
          <w:sz w:val="21"/>
          <w:szCs w:val="21"/>
          <w:highlight w:val="none"/>
          <w:u w:val="single"/>
          <w:lang w:eastAsia="zh-CN"/>
        </w:rPr>
        <w:t>（</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034EE6EF">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bCs/>
          <w:color w:val="auto"/>
          <w:szCs w:val="21"/>
          <w:highlight w:val="none"/>
        </w:rPr>
        <w:t>7.</w:t>
      </w:r>
      <w:r>
        <w:rPr>
          <w:rFonts w:hint="eastAsia" w:ascii="宋体" w:hAnsi="宋体" w:eastAsia="宋体" w:cs="宋体"/>
          <w:b/>
          <w:color w:val="auto"/>
          <w:sz w:val="21"/>
          <w:szCs w:val="21"/>
          <w:highlight w:val="none"/>
        </w:rPr>
        <w:t>投标人资格：</w:t>
      </w:r>
    </w:p>
    <w:p w14:paraId="153B27EE">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rPr>
        <w:t>7.1本项目投标人资格：见投标人须知前附表。</w:t>
      </w:r>
    </w:p>
    <w:p w14:paraId="1DA4763E">
      <w:pPr>
        <w:keepNext w:val="0"/>
        <w:keepLines w:val="0"/>
        <w:pageBreakBefore w:val="0"/>
        <w:widowControl w:val="0"/>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bCs/>
          <w:color w:val="auto"/>
          <w:szCs w:val="21"/>
          <w:highlight w:val="none"/>
        </w:rPr>
        <w:t>8.</w:t>
      </w:r>
      <w:r>
        <w:rPr>
          <w:rFonts w:hint="eastAsia" w:ascii="宋体" w:hAnsi="宋体" w:eastAsia="宋体" w:cs="宋体"/>
          <w:b/>
          <w:color w:val="auto"/>
          <w:sz w:val="21"/>
          <w:szCs w:val="21"/>
          <w:highlight w:val="none"/>
        </w:rPr>
        <w:t>投标费用</w:t>
      </w:r>
    </w:p>
    <w:p w14:paraId="3248581D">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rPr>
        <w:t>8.1投标人准备和参加投标活动发生的费用自理。</w:t>
      </w:r>
    </w:p>
    <w:p w14:paraId="5BA177ED">
      <w:pPr>
        <w:keepNext w:val="0"/>
        <w:keepLines w:val="0"/>
        <w:pageBreakBefore w:val="0"/>
        <w:widowControl w:val="0"/>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bCs/>
          <w:color w:val="auto"/>
          <w:szCs w:val="21"/>
          <w:highlight w:val="none"/>
        </w:rPr>
        <w:t>9.</w:t>
      </w:r>
      <w:r>
        <w:rPr>
          <w:rFonts w:hint="eastAsia" w:ascii="宋体" w:hAnsi="宋体" w:eastAsia="宋体" w:cs="宋体"/>
          <w:b/>
          <w:color w:val="auto"/>
          <w:sz w:val="21"/>
          <w:szCs w:val="21"/>
          <w:highlight w:val="none"/>
        </w:rPr>
        <w:t>踏勘现场</w:t>
      </w:r>
    </w:p>
    <w:p w14:paraId="03BB3DCA">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9.1投标人须知前附表规定组织踏勘现场的，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 xml:space="preserve">按投标人须知前附表规定的时间、地点组织投标人踏勘项目现场。 </w:t>
      </w:r>
    </w:p>
    <w:p w14:paraId="23964469">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9.2投标人踏勘现场发生的费用自理。</w:t>
      </w:r>
    </w:p>
    <w:p w14:paraId="76632EFA">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9.3除</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的原因外，投标人自行负责在踏勘现场中所发生的人员伤亡和财产损失。</w:t>
      </w:r>
    </w:p>
    <w:p w14:paraId="1F593AEE">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9.4</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在踏勘现场中介绍的场地和相关的周边环境情况，供投标人在编制投标文件时参考，</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不对投标人据此作出的判断和决策负责。</w:t>
      </w:r>
    </w:p>
    <w:p w14:paraId="5BBD5DFC">
      <w:pPr>
        <w:keepNext w:val="0"/>
        <w:keepLines w:val="0"/>
        <w:pageBreakBefore w:val="0"/>
        <w:widowControl w:val="0"/>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bCs/>
          <w:color w:val="auto"/>
          <w:szCs w:val="21"/>
          <w:highlight w:val="none"/>
          <w:lang w:val="en-US" w:eastAsia="zh-CN"/>
        </w:rPr>
        <w:t>10.</w:t>
      </w:r>
      <w:r>
        <w:rPr>
          <w:rFonts w:hint="eastAsia" w:ascii="宋体" w:hAnsi="宋体" w:eastAsia="宋体" w:cs="宋体"/>
          <w:b/>
          <w:color w:val="auto"/>
          <w:sz w:val="21"/>
          <w:szCs w:val="21"/>
          <w:highlight w:val="none"/>
        </w:rPr>
        <w:t>招标代理费和专家评审劳务费</w:t>
      </w:r>
    </w:p>
    <w:p w14:paraId="331DF536">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.1招标代理费：见投标人须知前附表。</w:t>
      </w:r>
    </w:p>
    <w:p w14:paraId="1A7F1929">
      <w:pPr>
        <w:keepNext w:val="0"/>
        <w:keepLines w:val="0"/>
        <w:pageBreakBefore w:val="0"/>
        <w:widowControl w:val="0"/>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.投标人应注意的事项</w:t>
      </w:r>
    </w:p>
    <w:p w14:paraId="707647AB">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.1投标人一旦参加投标，即被认为接受了本招标文件中的所有条件和规定。投标人必须严格按招标文件的要求编制投标文件，以便评委审核。否则，由此产生的一切后果由投标人承担。</w:t>
      </w:r>
    </w:p>
    <w:p w14:paraId="4A04567E">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.2投标人对采购内容中规定的技术参数、规格、数量和要求等必须满足招标文件的相关要求。</w:t>
      </w:r>
    </w:p>
    <w:p w14:paraId="22A0C1FC">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.3推荐品牌有助于投标人选择所投产品，仅供参考，并无限制性，可以选择性能不低于推荐品牌的产品，但所投产品的技术参数，要最大限度满足招标文件提供的详细参数。</w:t>
      </w:r>
    </w:p>
    <w:p w14:paraId="11FA384F">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单位负责人为同一人或者存在直接控股、管理关系的不同投标人，不得参加同一合同项下的采购活动。为采购项目提供整体设计、规范编制或者项目管理、监理、检测等服务的投标人，不得再参加该采购项目的其他采购活动。</w:t>
      </w:r>
    </w:p>
    <w:p w14:paraId="4AB37F25">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.5投标人被视为充分熟悉本招标项目所在地的与履行合同有关的各种情况，包括但不限于：</w:t>
      </w:r>
    </w:p>
    <w:p w14:paraId="6D9628AC">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（1）国家对本次投标货物和服务的生产、安装调试、验收、维修等有关法律、法规及行业管理标准；</w:t>
      </w:r>
    </w:p>
    <w:p w14:paraId="13663602">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（2）安徽省及滁州市等有关管理部门的相关规定；</w:t>
      </w:r>
    </w:p>
    <w:p w14:paraId="2435E16D">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的相关场地情况、基础建设、电力供应情况及相关设计标准。</w:t>
      </w:r>
    </w:p>
    <w:p w14:paraId="6A180C65">
      <w:pPr>
        <w:keepNext w:val="0"/>
        <w:keepLines w:val="0"/>
        <w:pageBreakBefore w:val="0"/>
        <w:widowControl w:val="0"/>
        <w:kinsoku/>
        <w:wordWrap/>
        <w:overflowPunct/>
        <w:topLinePunct w:val="0"/>
        <w:autoSpaceDE/>
        <w:autoSpaceDN/>
        <w:bidi w:val="0"/>
        <w:adjustRightInd/>
        <w:spacing w:line="50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本招标文件不再对上述情况进行描述。</w:t>
      </w:r>
    </w:p>
    <w:p w14:paraId="7A5930DA">
      <w:pPr>
        <w:pStyle w:val="2"/>
        <w:keepNext/>
        <w:keepLines/>
        <w:pageBreakBefore w:val="0"/>
        <w:widowControl w:val="0"/>
        <w:kinsoku/>
        <w:wordWrap/>
        <w:overflowPunct/>
        <w:topLinePunct w:val="0"/>
        <w:autoSpaceDE/>
        <w:autoSpaceDN/>
        <w:bidi w:val="0"/>
        <w:adjustRightInd/>
        <w:snapToGrid/>
        <w:spacing w:before="157" w:beforeLines="50" w:after="157" w:afterLines="50" w:line="500" w:lineRule="exact"/>
        <w:ind w:right="-94" w:rightChars="-45"/>
        <w:jc w:val="center"/>
        <w:textAlignment w:val="auto"/>
        <w:rPr>
          <w:rFonts w:hint="eastAsia" w:ascii="宋体" w:hAnsi="宋体" w:eastAsia="宋体" w:cs="宋体"/>
          <w:b/>
          <w:bCs/>
          <w:color w:val="auto"/>
          <w:sz w:val="28"/>
          <w:szCs w:val="28"/>
          <w:highlight w:val="none"/>
        </w:rPr>
      </w:pPr>
      <w:bookmarkStart w:id="42" w:name="_Toc6221"/>
      <w:bookmarkStart w:id="43" w:name="_Toc32121"/>
      <w:r>
        <w:rPr>
          <w:rFonts w:hint="eastAsia" w:ascii="宋体" w:hAnsi="宋体" w:eastAsia="宋体" w:cs="宋体"/>
          <w:b/>
          <w:bCs/>
          <w:color w:val="auto"/>
          <w:sz w:val="28"/>
          <w:szCs w:val="28"/>
          <w:highlight w:val="none"/>
        </w:rPr>
        <w:t>二、招标文件</w:t>
      </w:r>
      <w:bookmarkEnd w:id="42"/>
      <w:bookmarkEnd w:id="43"/>
    </w:p>
    <w:p w14:paraId="6745B557">
      <w:pPr>
        <w:pageBreakBefore w:val="0"/>
        <w:kinsoku/>
        <w:wordWrap/>
        <w:overflowPunct/>
        <w:topLinePunct w:val="0"/>
        <w:autoSpaceDE/>
        <w:autoSpaceDN/>
        <w:bidi w:val="0"/>
        <w:adjustRightInd/>
        <w:spacing w:line="500" w:lineRule="exact"/>
        <w:ind w:left="10" w:right="-94" w:rightChars="-45"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12.招标文件的编制依据</w:t>
      </w:r>
    </w:p>
    <w:p w14:paraId="2CB13F69">
      <w:pPr>
        <w:pageBreakBefore w:val="0"/>
        <w:kinsoku/>
        <w:wordWrap/>
        <w:overflowPunct/>
        <w:topLinePunct w:val="0"/>
        <w:autoSpaceDE/>
        <w:autoSpaceDN/>
        <w:bidi w:val="0"/>
        <w:adjustRightInd/>
        <w:spacing w:line="500" w:lineRule="exact"/>
        <w:ind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12.1根据相关法律法规和规章及部、省、市级规范性文件的规定，编制本招标文件。</w:t>
      </w:r>
    </w:p>
    <w:p w14:paraId="1B5B5CDC">
      <w:pPr>
        <w:pageBreakBefore w:val="0"/>
        <w:kinsoku/>
        <w:wordWrap/>
        <w:overflowPunct/>
        <w:topLinePunct w:val="0"/>
        <w:autoSpaceDE/>
        <w:autoSpaceDN/>
        <w:bidi w:val="0"/>
        <w:adjustRightInd/>
        <w:spacing w:line="500" w:lineRule="exact"/>
        <w:ind w:left="10" w:right="-94" w:rightChars="-45"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13.招标文件的组成</w:t>
      </w:r>
    </w:p>
    <w:p w14:paraId="57D0EE25">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13.1招标文件包括内容：</w:t>
      </w:r>
    </w:p>
    <w:p w14:paraId="378A97C9">
      <w:pPr>
        <w:pageBreakBefore w:val="0"/>
        <w:numPr>
          <w:ilvl w:val="0"/>
          <w:numId w:val="2"/>
        </w:numPr>
        <w:kinsoku/>
        <w:wordWrap/>
        <w:overflowPunct/>
        <w:topLinePunct w:val="0"/>
        <w:autoSpaceDE/>
        <w:autoSpaceDN/>
        <w:bidi w:val="0"/>
        <w:adjustRightInd/>
        <w:spacing w:line="500" w:lineRule="exact"/>
        <w:ind w:left="208" w:leftChars="99"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投标须知</w:t>
      </w:r>
    </w:p>
    <w:p w14:paraId="2A690537">
      <w:pPr>
        <w:pageBreakBefore w:val="0"/>
        <w:kinsoku/>
        <w:wordWrap/>
        <w:overflowPunct/>
        <w:topLinePunct w:val="0"/>
        <w:autoSpaceDE/>
        <w:autoSpaceDN/>
        <w:bidi w:val="0"/>
        <w:adjustRightInd/>
        <w:spacing w:line="500" w:lineRule="exact"/>
        <w:ind w:left="208" w:leftChars="99"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第二章  资格审查办法</w:t>
      </w:r>
    </w:p>
    <w:p w14:paraId="0FDC4639">
      <w:pPr>
        <w:pageBreakBefore w:val="0"/>
        <w:kinsoku/>
        <w:wordWrap/>
        <w:overflowPunct/>
        <w:topLinePunct w:val="0"/>
        <w:autoSpaceDE/>
        <w:autoSpaceDN/>
        <w:bidi w:val="0"/>
        <w:adjustRightInd/>
        <w:spacing w:line="500" w:lineRule="exact"/>
        <w:ind w:left="208" w:leftChars="99" w:right="-94" w:rightChars="-45"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第三章</w:t>
      </w:r>
      <w:r>
        <w:rPr>
          <w:rFonts w:hint="eastAsia" w:ascii="宋体" w:hAnsi="宋体" w:cs="宋体"/>
          <w:color w:val="auto"/>
          <w:szCs w:val="21"/>
          <w:highlight w:val="none"/>
          <w:lang w:val="en-US" w:eastAsia="zh-CN"/>
        </w:rPr>
        <w:t xml:space="preserve">  评标办法</w:t>
      </w:r>
    </w:p>
    <w:p w14:paraId="55BC7E12">
      <w:pPr>
        <w:pageBreakBefore w:val="0"/>
        <w:kinsoku/>
        <w:wordWrap/>
        <w:overflowPunct/>
        <w:topLinePunct w:val="0"/>
        <w:autoSpaceDE/>
        <w:autoSpaceDN/>
        <w:bidi w:val="0"/>
        <w:adjustRightInd/>
        <w:spacing w:line="500" w:lineRule="exact"/>
        <w:ind w:left="208" w:leftChars="99" w:right="-94" w:rightChars="-45"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 xml:space="preserve">章 </w:t>
      </w:r>
      <w:r>
        <w:rPr>
          <w:rFonts w:hint="eastAsia" w:ascii="宋体" w:hAnsi="宋体" w:cs="宋体"/>
          <w:color w:val="auto"/>
          <w:szCs w:val="21"/>
          <w:highlight w:val="none"/>
          <w:lang w:val="en-US" w:eastAsia="zh-CN"/>
        </w:rPr>
        <w:t xml:space="preserve"> 采购需求</w:t>
      </w:r>
    </w:p>
    <w:p w14:paraId="3EEE5574">
      <w:pPr>
        <w:pageBreakBefore w:val="0"/>
        <w:kinsoku/>
        <w:wordWrap/>
        <w:overflowPunct/>
        <w:topLinePunct w:val="0"/>
        <w:autoSpaceDE/>
        <w:autoSpaceDN/>
        <w:bidi w:val="0"/>
        <w:adjustRightInd/>
        <w:spacing w:line="500" w:lineRule="exact"/>
        <w:ind w:left="208" w:leftChars="99"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  合同条款</w:t>
      </w:r>
    </w:p>
    <w:p w14:paraId="0EEEF02A">
      <w:pPr>
        <w:pageBreakBefore w:val="0"/>
        <w:kinsoku/>
        <w:wordWrap/>
        <w:overflowPunct/>
        <w:topLinePunct w:val="0"/>
        <w:autoSpaceDE/>
        <w:autoSpaceDN/>
        <w:bidi w:val="0"/>
        <w:adjustRightInd/>
        <w:spacing w:line="500" w:lineRule="exact"/>
        <w:ind w:left="208" w:leftChars="99"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  投标文件格式</w:t>
      </w:r>
    </w:p>
    <w:p w14:paraId="23EDEAB4">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13.2除13.1内容外，招标答疑亦为招标文件的组成部分，对招标人和投标人起约束作用。</w:t>
      </w:r>
    </w:p>
    <w:p w14:paraId="22DB2B8E">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13.3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2001E941">
      <w:pPr>
        <w:pageBreakBefore w:val="0"/>
        <w:kinsoku/>
        <w:wordWrap/>
        <w:overflowPunct/>
        <w:topLinePunct w:val="0"/>
        <w:autoSpaceDE/>
        <w:autoSpaceDN/>
        <w:bidi w:val="0"/>
        <w:adjustRightInd/>
        <w:spacing w:line="500" w:lineRule="exact"/>
        <w:ind w:left="10" w:right="-94" w:rightChars="-45"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14.招标文件的澄清、修改、补充、解释</w:t>
      </w:r>
    </w:p>
    <w:p w14:paraId="090EF7C9">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14.1招标文件发出后，招标人可对招标文件进行必要的澄清、修改和补充，具有约束作用。</w:t>
      </w:r>
    </w:p>
    <w:p w14:paraId="39C8E2D9">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w:t>
      </w:r>
      <w:r>
        <w:rPr>
          <w:rFonts w:hint="eastAsia" w:ascii="宋体" w:hAnsi="宋体" w:eastAsia="宋体" w:cs="宋体"/>
          <w:color w:val="auto"/>
          <w:sz w:val="21"/>
          <w:szCs w:val="21"/>
          <w:highlight w:val="none"/>
        </w:rPr>
        <w:t>投标人应在投标截止时间前关注原采购信息发布媒体上有关本项目有无变更</w:t>
      </w:r>
      <w:r>
        <w:rPr>
          <w:rFonts w:hint="eastAsia" w:ascii="宋体" w:hAnsi="宋体" w:eastAsia="宋体" w:cs="宋体"/>
          <w:color w:val="auto"/>
          <w:sz w:val="21"/>
          <w:szCs w:val="21"/>
          <w:highlight w:val="none"/>
          <w:lang w:val="en-US" w:eastAsia="zh-CN"/>
        </w:rPr>
        <w:t>澄清</w:t>
      </w:r>
      <w:r>
        <w:rPr>
          <w:rFonts w:hint="eastAsia" w:ascii="宋体" w:hAnsi="宋体" w:eastAsia="宋体" w:cs="宋体"/>
          <w:color w:val="auto"/>
          <w:sz w:val="21"/>
          <w:szCs w:val="21"/>
          <w:highlight w:val="none"/>
        </w:rPr>
        <w:t>，如不及时查看造成后果由投标人自负。</w:t>
      </w:r>
    </w:p>
    <w:p w14:paraId="0E59EAB0">
      <w:pPr>
        <w:pageBreakBefore w:val="0"/>
        <w:kinsoku/>
        <w:wordWrap/>
        <w:overflowPunct/>
        <w:topLinePunct w:val="0"/>
        <w:autoSpaceDE/>
        <w:autoSpaceDN/>
        <w:bidi w:val="0"/>
        <w:adjustRightInd/>
        <w:spacing w:line="500" w:lineRule="exact"/>
        <w:ind w:left="10" w:right="-94" w:rightChars="-45"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15.</w:t>
      </w:r>
      <w:r>
        <w:rPr>
          <w:rFonts w:hint="eastAsia" w:ascii="宋体" w:hAnsi="宋体" w:eastAsia="宋体" w:cs="宋体"/>
          <w:b/>
          <w:bCs/>
          <w:color w:val="auto"/>
          <w:sz w:val="21"/>
          <w:szCs w:val="21"/>
          <w:highlight w:val="none"/>
        </w:rPr>
        <w:t>招标文件的发出</w:t>
      </w:r>
    </w:p>
    <w:p w14:paraId="6F6EA70A">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15.1招标文件、招标文件的澄清、修改、补充及招标答疑等均应</w:t>
      </w:r>
      <w:r>
        <w:rPr>
          <w:rFonts w:hint="eastAsia" w:ascii="宋体" w:hAnsi="宋体" w:cs="宋体"/>
          <w:color w:val="auto"/>
          <w:szCs w:val="21"/>
          <w:highlight w:val="none"/>
          <w:lang w:val="en-US" w:eastAsia="zh-CN"/>
        </w:rPr>
        <w:t>报招标人审核</w:t>
      </w:r>
      <w:r>
        <w:rPr>
          <w:rFonts w:hint="eastAsia" w:ascii="宋体" w:hAnsi="宋体" w:cs="宋体"/>
          <w:color w:val="auto"/>
          <w:szCs w:val="21"/>
          <w:highlight w:val="none"/>
        </w:rPr>
        <w:t>后，方可发出。</w:t>
      </w:r>
    </w:p>
    <w:p w14:paraId="015C5321">
      <w:pPr>
        <w:pStyle w:val="2"/>
        <w:keepNext/>
        <w:keepLines/>
        <w:pageBreakBefore w:val="0"/>
        <w:widowControl w:val="0"/>
        <w:kinsoku/>
        <w:wordWrap/>
        <w:overflowPunct/>
        <w:topLinePunct w:val="0"/>
        <w:autoSpaceDE/>
        <w:autoSpaceDN/>
        <w:bidi w:val="0"/>
        <w:adjustRightInd/>
        <w:snapToGrid/>
        <w:spacing w:before="157" w:beforeLines="50" w:after="157" w:afterLines="50" w:line="500" w:lineRule="exact"/>
        <w:ind w:right="-94" w:rightChars="-45"/>
        <w:jc w:val="center"/>
        <w:textAlignment w:val="auto"/>
        <w:rPr>
          <w:rFonts w:hint="eastAsia" w:ascii="宋体" w:hAnsi="宋体" w:eastAsia="宋体" w:cs="宋体"/>
          <w:b/>
          <w:bCs/>
          <w:color w:val="auto"/>
          <w:sz w:val="28"/>
          <w:szCs w:val="28"/>
          <w:highlight w:val="none"/>
        </w:rPr>
      </w:pPr>
      <w:bookmarkStart w:id="44" w:name="_Toc11620"/>
      <w:bookmarkStart w:id="45" w:name="_Toc14222"/>
      <w:r>
        <w:rPr>
          <w:rFonts w:hint="eastAsia" w:ascii="宋体" w:hAnsi="宋体" w:eastAsia="宋体" w:cs="宋体"/>
          <w:b/>
          <w:bCs/>
          <w:color w:val="auto"/>
          <w:sz w:val="28"/>
          <w:szCs w:val="28"/>
          <w:highlight w:val="none"/>
        </w:rPr>
        <w:t>三、投标文件的编制</w:t>
      </w:r>
      <w:bookmarkEnd w:id="44"/>
      <w:bookmarkEnd w:id="45"/>
    </w:p>
    <w:p w14:paraId="5DC6E338">
      <w:pPr>
        <w:pageBreakBefore w:val="0"/>
        <w:kinsoku/>
        <w:wordWrap/>
        <w:overflowPunct/>
        <w:topLinePunct w:val="0"/>
        <w:autoSpaceDE/>
        <w:autoSpaceDN/>
        <w:bidi w:val="0"/>
        <w:adjustRightInd/>
        <w:spacing w:line="500" w:lineRule="exact"/>
        <w:ind w:left="10" w:right="-94" w:rightChars="-45"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16.投标文件的组成</w:t>
      </w:r>
    </w:p>
    <w:p w14:paraId="35648360">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16.1详见第五章投标文件格式</w:t>
      </w:r>
    </w:p>
    <w:p w14:paraId="3F41B2AD">
      <w:pPr>
        <w:pageBreakBefore w:val="0"/>
        <w:kinsoku/>
        <w:wordWrap/>
        <w:overflowPunct/>
        <w:topLinePunct w:val="0"/>
        <w:autoSpaceDE/>
        <w:autoSpaceDN/>
        <w:bidi w:val="0"/>
        <w:adjustRightInd/>
        <w:spacing w:line="500" w:lineRule="exact"/>
        <w:ind w:left="10"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val="en-US" w:eastAsia="zh-CN"/>
        </w:rPr>
        <w:t>.</w:t>
      </w:r>
      <w:r>
        <w:rPr>
          <w:rFonts w:hint="eastAsia" w:ascii="宋体" w:hAnsi="宋体" w:cs="宋体"/>
          <w:b/>
          <w:color w:val="auto"/>
          <w:szCs w:val="21"/>
          <w:highlight w:val="none"/>
        </w:rPr>
        <w:t>投标报价</w:t>
      </w:r>
    </w:p>
    <w:p w14:paraId="1F5097A8">
      <w:pPr>
        <w:pageBreakBefore w:val="0"/>
        <w:kinsoku/>
        <w:wordWrap/>
        <w:overflowPunct/>
        <w:topLinePunct w:val="0"/>
        <w:autoSpaceDE/>
        <w:autoSpaceDN/>
        <w:bidi w:val="0"/>
        <w:adjustRightInd/>
        <w:spacing w:line="500" w:lineRule="exact"/>
        <w:ind w:left="10"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17.1投标报价文件中的单价和总价全部采用人民币表示。投标人的报价</w:t>
      </w:r>
      <w:r>
        <w:rPr>
          <w:rFonts w:hint="eastAsia" w:ascii="宋体" w:hAnsi="宋体" w:cs="宋体"/>
          <w:color w:val="auto"/>
          <w:szCs w:val="21"/>
          <w:highlight w:val="none"/>
          <w:lang w:val="en-US" w:eastAsia="zh-CN"/>
        </w:rPr>
        <w:t>包含：</w:t>
      </w:r>
      <w:r>
        <w:rPr>
          <w:rFonts w:hint="eastAsia" w:ascii="宋体" w:hAnsi="宋体" w:eastAsia="宋体" w:cs="宋体"/>
          <w:color w:val="auto"/>
          <w:sz w:val="21"/>
          <w:szCs w:val="21"/>
        </w:rPr>
        <w:t>货物(车辆) 出厂价、货物(车辆)运输费用、货物设备费、人工费、材料费(含主材及辅材) 、装卸费、运输费、安装费、调试费、管理费、利润、风险费用及国家对成交人征收的各种税费等所有一切费用，</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不再为此项目支付任何费用，综合单价今后将不作任何调整</w:t>
      </w:r>
      <w:r>
        <w:rPr>
          <w:rFonts w:hint="eastAsia" w:ascii="宋体" w:hAnsi="宋体" w:eastAsia="宋体" w:cs="宋体"/>
          <w:color w:val="auto"/>
          <w:sz w:val="21"/>
          <w:szCs w:val="21"/>
          <w:lang w:eastAsia="zh-CN"/>
        </w:rPr>
        <w:t>。</w:t>
      </w:r>
      <w:r>
        <w:rPr>
          <w:rFonts w:hint="eastAsia" w:ascii="宋体" w:hAnsi="宋体" w:cs="宋体"/>
          <w:color w:val="auto"/>
          <w:szCs w:val="21"/>
          <w:highlight w:val="none"/>
        </w:rPr>
        <w:t xml:space="preserve">投标供应商自行考虑投标风险。 </w:t>
      </w:r>
    </w:p>
    <w:p w14:paraId="4C75ABC5">
      <w:pPr>
        <w:pageBreakBefore w:val="0"/>
        <w:widowControl/>
        <w:kinsoku/>
        <w:wordWrap/>
        <w:overflowPunct/>
        <w:topLinePunct w:val="0"/>
        <w:autoSpaceDE/>
        <w:autoSpaceDN/>
        <w:bidi w:val="0"/>
        <w:adjustRightInd/>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17.2</w:t>
      </w:r>
      <w:r>
        <w:rPr>
          <w:rFonts w:hint="eastAsia" w:ascii="宋体" w:hAnsi="宋体" w:eastAsia="宋体" w:cs="宋体"/>
          <w:color w:val="auto"/>
          <w:sz w:val="21"/>
          <w:szCs w:val="21"/>
          <w:highlight w:val="none"/>
        </w:rPr>
        <w:t>投标人只允许有一个方案、一个报价。</w:t>
      </w:r>
    </w:p>
    <w:p w14:paraId="6669FB2F">
      <w:pPr>
        <w:pageBreakBefore w:val="0"/>
        <w:widowControl/>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17.3</w:t>
      </w:r>
      <w:r>
        <w:rPr>
          <w:rFonts w:hint="eastAsia" w:ascii="宋体" w:hAnsi="宋体" w:eastAsia="宋体" w:cs="宋体"/>
          <w:color w:val="auto"/>
          <w:sz w:val="21"/>
          <w:szCs w:val="21"/>
          <w:highlight w:val="none"/>
        </w:rPr>
        <w:t>投标人应按“采购</w:t>
      </w:r>
      <w:r>
        <w:rPr>
          <w:rFonts w:hint="eastAsia"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rPr>
        <w:t>”所列货物逐项进行单价报价，并最终按货物总量乘以货物单价报总价，不得采用总价下浮的方式进行报价。</w:t>
      </w:r>
    </w:p>
    <w:p w14:paraId="7DEF1F86">
      <w:pPr>
        <w:pageBreakBefore w:val="0"/>
        <w:widowControl/>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17.4</w:t>
      </w:r>
      <w:r>
        <w:rPr>
          <w:rFonts w:hint="eastAsia" w:ascii="宋体" w:hAnsi="宋体" w:eastAsia="宋体" w:cs="宋体"/>
          <w:color w:val="auto"/>
          <w:sz w:val="21"/>
          <w:szCs w:val="21"/>
          <w:highlight w:val="none"/>
        </w:rPr>
        <w:t>投标报价的价格是完成项目全部内容（包括后期的相关服务）交付的价格，其</w:t>
      </w:r>
      <w:r>
        <w:rPr>
          <w:rFonts w:hint="eastAsia" w:ascii="宋体" w:hAnsi="宋体" w:eastAsia="宋体" w:cs="宋体"/>
          <w:color w:val="auto"/>
          <w:sz w:val="21"/>
          <w:szCs w:val="21"/>
          <w:highlight w:val="none"/>
          <w:lang w:val="en-US" w:eastAsia="zh-CN"/>
        </w:rPr>
        <w:t>综合单价</w:t>
      </w:r>
      <w:r>
        <w:rPr>
          <w:rFonts w:hint="eastAsia" w:ascii="宋体" w:hAnsi="宋体" w:eastAsia="宋体" w:cs="宋体"/>
          <w:color w:val="auto"/>
          <w:sz w:val="21"/>
          <w:szCs w:val="21"/>
          <w:highlight w:val="none"/>
        </w:rPr>
        <w:t>即为履行合同的</w:t>
      </w:r>
      <w:r>
        <w:rPr>
          <w:rFonts w:hint="eastAsia" w:ascii="宋体" w:hAnsi="宋体" w:eastAsia="宋体" w:cs="宋体"/>
          <w:color w:val="auto"/>
          <w:sz w:val="21"/>
          <w:szCs w:val="21"/>
          <w:highlight w:val="none"/>
          <w:lang w:val="en-US" w:eastAsia="zh-CN"/>
        </w:rPr>
        <w:t>固定单价</w:t>
      </w:r>
      <w:r>
        <w:rPr>
          <w:rFonts w:hint="eastAsia" w:ascii="宋体" w:hAnsi="宋体" w:eastAsia="宋体" w:cs="宋体"/>
          <w:color w:val="auto"/>
          <w:sz w:val="21"/>
          <w:szCs w:val="21"/>
          <w:highlight w:val="none"/>
        </w:rPr>
        <w:t>。</w:t>
      </w:r>
    </w:p>
    <w:p w14:paraId="185EE353">
      <w:pPr>
        <w:pageBreakBefore w:val="0"/>
        <w:widowControl/>
        <w:kinsoku/>
        <w:wordWrap/>
        <w:overflowPunct/>
        <w:topLinePunct w:val="0"/>
        <w:autoSpaceDE/>
        <w:autoSpaceDN/>
        <w:bidi w:val="0"/>
        <w:adjustRightIn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17.5</w:t>
      </w:r>
      <w:r>
        <w:rPr>
          <w:rFonts w:hint="eastAsia" w:ascii="宋体" w:hAnsi="宋体" w:eastAsia="宋体" w:cs="宋体"/>
          <w:color w:val="auto"/>
          <w:sz w:val="21"/>
          <w:szCs w:val="21"/>
          <w:highlight w:val="none"/>
        </w:rPr>
        <w:t>技术要求中规定的安装、调试和培训费用应包括在投标价格中。投标文件报价为含税价，</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不再为此次招标支付任何费用。</w:t>
      </w:r>
    </w:p>
    <w:p w14:paraId="1EB75A3E">
      <w:pPr>
        <w:pageBreakBefore w:val="0"/>
        <w:widowControl/>
        <w:kinsoku/>
        <w:wordWrap/>
        <w:overflowPunct/>
        <w:topLinePunct w:val="0"/>
        <w:autoSpaceDE/>
        <w:autoSpaceDN/>
        <w:bidi w:val="0"/>
        <w:adjustRightInd/>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17.6</w:t>
      </w:r>
      <w:r>
        <w:rPr>
          <w:rFonts w:hint="eastAsia" w:ascii="宋体" w:hAnsi="宋体" w:eastAsia="宋体" w:cs="宋体"/>
          <w:color w:val="auto"/>
          <w:sz w:val="21"/>
          <w:szCs w:val="21"/>
          <w:highlight w:val="none"/>
        </w:rPr>
        <w:t>投标报价应由法定代表人或被授权人签署。</w:t>
      </w:r>
    </w:p>
    <w:p w14:paraId="72D7EC50">
      <w:pPr>
        <w:pageBreakBefore w:val="0"/>
        <w:widowControl/>
        <w:kinsoku/>
        <w:wordWrap/>
        <w:overflowPunct/>
        <w:topLinePunct w:val="0"/>
        <w:autoSpaceDE/>
        <w:autoSpaceDN/>
        <w:bidi w:val="0"/>
        <w:adjustRightInd/>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17.7</w:t>
      </w:r>
      <w:r>
        <w:rPr>
          <w:rFonts w:hint="eastAsia" w:ascii="宋体" w:hAnsi="宋体" w:eastAsia="宋体" w:cs="宋体"/>
          <w:color w:val="auto"/>
          <w:sz w:val="21"/>
          <w:szCs w:val="21"/>
          <w:highlight w:val="none"/>
        </w:rPr>
        <w:t>投标人的报价不得高于本次招标最高限价，</w:t>
      </w:r>
      <w:r>
        <w:rPr>
          <w:rFonts w:hint="eastAsia" w:ascii="宋体" w:hAnsi="宋体" w:eastAsia="宋体" w:cs="宋体"/>
          <w:b/>
          <w:bCs/>
          <w:color w:val="auto"/>
          <w:sz w:val="21"/>
          <w:szCs w:val="21"/>
          <w:highlight w:val="none"/>
        </w:rPr>
        <w:t>否则将作为无效投标处理。</w:t>
      </w:r>
    </w:p>
    <w:p w14:paraId="61680DBE">
      <w:pPr>
        <w:pageBreakBefore w:val="0"/>
        <w:widowControl/>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17.8</w:t>
      </w:r>
      <w:r>
        <w:rPr>
          <w:rFonts w:hint="eastAsia" w:ascii="宋体" w:hAnsi="宋体" w:eastAsia="宋体" w:cs="宋体"/>
          <w:color w:val="auto"/>
          <w:sz w:val="21"/>
          <w:szCs w:val="21"/>
          <w:highlight w:val="none"/>
        </w:rPr>
        <w:t>如投标文件中未列明全面实现投标货物功能而必须配置的配套或辅助设施及相应技术措施的费用，这些费用将被视为已包含在总投标价中。</w:t>
      </w:r>
    </w:p>
    <w:p w14:paraId="5046C0B7">
      <w:pPr>
        <w:pageBreakBefore w:val="0"/>
        <w:widowControl/>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17.9</w:t>
      </w:r>
      <w:r>
        <w:rPr>
          <w:rFonts w:hint="eastAsia" w:ascii="宋体" w:hAnsi="宋体" w:eastAsia="宋体" w:cs="宋体"/>
          <w:color w:val="auto"/>
          <w:sz w:val="21"/>
          <w:szCs w:val="21"/>
          <w:highlight w:val="none"/>
        </w:rPr>
        <w:t>总投标价中不得包含招标文件要求以外的内容，否则，在评标时不予核减，但在授予合同时，</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有权将这部分价格从其中标价格中扣除。</w:t>
      </w:r>
    </w:p>
    <w:p w14:paraId="2ECDB3F6">
      <w:pPr>
        <w:pageBreakBefore w:val="0"/>
        <w:widowControl/>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17.10</w:t>
      </w:r>
      <w:r>
        <w:rPr>
          <w:rFonts w:hint="eastAsia" w:ascii="宋体" w:hAnsi="宋体" w:eastAsia="宋体" w:cs="宋体"/>
          <w:color w:val="auto"/>
          <w:sz w:val="21"/>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2BC6921">
      <w:pPr>
        <w:pageBreakBefore w:val="0"/>
        <w:widowControl/>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17.11</w:t>
      </w:r>
      <w:r>
        <w:rPr>
          <w:rFonts w:hint="eastAsia" w:ascii="宋体" w:hAnsi="宋体" w:eastAsia="宋体" w:cs="宋体"/>
          <w:color w:val="auto"/>
          <w:sz w:val="21"/>
          <w:szCs w:val="21"/>
          <w:highlight w:val="none"/>
        </w:rPr>
        <w:t>投标人不得对从第三方采购货物的随机备品、备件另行收费，否则在计算评标价时这部分费用将不予扣除，在授予合同时将从中标价格中扣除该部分费用。</w:t>
      </w:r>
    </w:p>
    <w:p w14:paraId="51600B33">
      <w:pPr>
        <w:pStyle w:val="2"/>
        <w:keepNext/>
        <w:keepLines/>
        <w:pageBreakBefore w:val="0"/>
        <w:widowControl w:val="0"/>
        <w:kinsoku/>
        <w:wordWrap/>
        <w:overflowPunct/>
        <w:topLinePunct w:val="0"/>
        <w:autoSpaceDE/>
        <w:autoSpaceDN/>
        <w:bidi w:val="0"/>
        <w:adjustRightInd/>
        <w:snapToGrid/>
        <w:spacing w:before="157" w:beforeLines="50" w:after="157" w:afterLines="50" w:line="500" w:lineRule="exact"/>
        <w:ind w:right="-94" w:rightChars="-45"/>
        <w:jc w:val="center"/>
        <w:textAlignment w:val="auto"/>
        <w:rPr>
          <w:rFonts w:hint="eastAsia" w:ascii="宋体" w:hAnsi="宋体" w:eastAsia="宋体" w:cs="宋体"/>
          <w:b/>
          <w:bCs/>
          <w:color w:val="auto"/>
          <w:sz w:val="28"/>
          <w:szCs w:val="28"/>
          <w:highlight w:val="none"/>
        </w:rPr>
      </w:pPr>
      <w:bookmarkStart w:id="46" w:name="_Toc20096"/>
      <w:bookmarkStart w:id="47" w:name="_Toc30528"/>
      <w:r>
        <w:rPr>
          <w:rFonts w:hint="eastAsia" w:ascii="宋体" w:hAnsi="宋体" w:eastAsia="宋体" w:cs="宋体"/>
          <w:b/>
          <w:bCs/>
          <w:color w:val="auto"/>
          <w:sz w:val="28"/>
          <w:szCs w:val="28"/>
          <w:highlight w:val="none"/>
        </w:rPr>
        <w:t>四、投标文件的密封和递交</w:t>
      </w:r>
      <w:bookmarkEnd w:id="46"/>
      <w:bookmarkEnd w:id="47"/>
    </w:p>
    <w:p w14:paraId="40173BB3">
      <w:pPr>
        <w:pageBreakBefore w:val="0"/>
        <w:kinsoku/>
        <w:wordWrap/>
        <w:overflowPunct/>
        <w:topLinePunct w:val="0"/>
        <w:autoSpaceDE/>
        <w:autoSpaceDN/>
        <w:bidi w:val="0"/>
        <w:adjustRightInd/>
        <w:spacing w:line="500" w:lineRule="exact"/>
        <w:ind w:left="11" w:right="-94" w:rightChars="-45"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18.投标文件的份数和编制</w:t>
      </w:r>
    </w:p>
    <w:p w14:paraId="1F902EF2">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18.1份数：正本1份，副本</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份；中标单位领取中标通知书时，一并递交给代理机构</w:t>
      </w:r>
    </w:p>
    <w:p w14:paraId="2A2FC7F0">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18.2投标文件的正本和副本均需打印或使用不褪色的蓝、黑墨水笔书写，字迹应清晰易于辩认，并应在投标文件封面的右上角清楚地注明“正本”或“副本”。正本和副本如有不一致之处，以正本为准。</w:t>
      </w:r>
    </w:p>
    <w:p w14:paraId="1FC7E9B8">
      <w:pPr>
        <w:pageBreakBefore w:val="0"/>
        <w:kinsoku/>
        <w:wordWrap/>
        <w:overflowPunct/>
        <w:topLinePunct w:val="0"/>
        <w:autoSpaceDE/>
        <w:autoSpaceDN/>
        <w:bidi w:val="0"/>
        <w:adjustRightInd/>
        <w:spacing w:line="500" w:lineRule="exact"/>
        <w:ind w:left="11" w:right="-94" w:rightChars="-45" w:firstLine="420" w:firstLineChars="200"/>
        <w:jc w:val="left"/>
        <w:textAlignment w:val="auto"/>
        <w:rPr>
          <w:rFonts w:hint="eastAsia" w:ascii="宋体" w:hAnsi="宋体" w:cs="宋体"/>
          <w:color w:val="auto"/>
          <w:spacing w:val="-4"/>
          <w:szCs w:val="21"/>
          <w:highlight w:val="none"/>
        </w:rPr>
      </w:pPr>
      <w:r>
        <w:rPr>
          <w:rFonts w:hint="eastAsia" w:ascii="宋体" w:hAnsi="宋体" w:cs="宋体"/>
          <w:color w:val="auto"/>
          <w:szCs w:val="21"/>
          <w:highlight w:val="none"/>
        </w:rPr>
        <w:t>18.3投标文件中的材料应当在格式文本要求的相应位置签字和盖章，否则，投标文件作无效投标处理。</w:t>
      </w:r>
    </w:p>
    <w:p w14:paraId="72128155">
      <w:pPr>
        <w:pageBreakBefore w:val="0"/>
        <w:kinsoku/>
        <w:wordWrap/>
        <w:overflowPunct/>
        <w:topLinePunct w:val="0"/>
        <w:autoSpaceDE/>
        <w:autoSpaceDN/>
        <w:bidi w:val="0"/>
        <w:adjustRightInd/>
        <w:spacing w:line="500" w:lineRule="exact"/>
        <w:ind w:left="11" w:right="-94" w:rightChars="-45" w:firstLine="422" w:firstLineChars="2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19.投标文件的装订、密封和标记</w:t>
      </w:r>
    </w:p>
    <w:p w14:paraId="26EEB361">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19.1投标文件的装订要求</w:t>
      </w:r>
    </w:p>
    <w:p w14:paraId="27283C0B">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19.1.1投标文件应当密封装订，按招标文件规定的顺序装订在一起。</w:t>
      </w:r>
    </w:p>
    <w:p w14:paraId="5E232A5A">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19.2投标文件的密封</w:t>
      </w:r>
    </w:p>
    <w:p w14:paraId="1C8198F9">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19.2.1投标人应当将投标文件的正本、副本密封在一个投标文件袋内。</w:t>
      </w:r>
    </w:p>
    <w:p w14:paraId="5C7B6DD2">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19.3 投标文件密封袋的标记</w:t>
      </w:r>
    </w:p>
    <w:p w14:paraId="251BA180">
      <w:pPr>
        <w:pageBreakBefore w:val="0"/>
        <w:kinsoku/>
        <w:wordWrap/>
        <w:overflowPunct/>
        <w:topLinePunct w:val="0"/>
        <w:autoSpaceDE/>
        <w:autoSpaceDN/>
        <w:bidi w:val="0"/>
        <w:adjustRightInd/>
        <w:spacing w:line="500" w:lineRule="exact"/>
        <w:ind w:left="10"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19.3.1在投标文件密封袋上应写明投标人名称和地址、邮政编码。注明下列识别标志：招标项目名称。</w:t>
      </w:r>
    </w:p>
    <w:p w14:paraId="60CACEF7">
      <w:pPr>
        <w:pageBreakBefore w:val="0"/>
        <w:kinsoku/>
        <w:wordWrap/>
        <w:overflowPunct/>
        <w:topLinePunct w:val="0"/>
        <w:autoSpaceDE/>
        <w:autoSpaceDN/>
        <w:bidi w:val="0"/>
        <w:adjustRightInd/>
        <w:spacing w:line="500" w:lineRule="exact"/>
        <w:ind w:left="11"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19.3.2所有投标文件的密封袋应加盖投标人印章；否则，该投标文件将被拒绝。</w:t>
      </w:r>
    </w:p>
    <w:p w14:paraId="3C3C9E2E">
      <w:pPr>
        <w:pageBreakBefore w:val="0"/>
        <w:kinsoku/>
        <w:wordWrap/>
        <w:overflowPunct/>
        <w:topLinePunct w:val="0"/>
        <w:autoSpaceDE/>
        <w:autoSpaceDN/>
        <w:bidi w:val="0"/>
        <w:adjustRightInd/>
        <w:spacing w:line="500" w:lineRule="exact"/>
        <w:ind w:left="11" w:right="-94" w:rightChars="-45"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20.投标文件的提交</w:t>
      </w:r>
    </w:p>
    <w:p w14:paraId="5CFAAB5B">
      <w:pPr>
        <w:pageBreakBefore w:val="0"/>
        <w:kinsoku/>
        <w:wordWrap/>
        <w:overflowPunct/>
        <w:topLinePunct w:val="0"/>
        <w:autoSpaceDE/>
        <w:autoSpaceDN/>
        <w:bidi w:val="0"/>
        <w:adjustRightInd/>
        <w:spacing w:line="50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20.1投标文件提交的收件人、截止时间及地点：详见投标人须知前附表。</w:t>
      </w:r>
    </w:p>
    <w:p w14:paraId="7F897136">
      <w:pPr>
        <w:pStyle w:val="2"/>
        <w:keepNext/>
        <w:keepLines/>
        <w:pageBreakBefore w:val="0"/>
        <w:widowControl w:val="0"/>
        <w:kinsoku/>
        <w:wordWrap/>
        <w:overflowPunct/>
        <w:topLinePunct w:val="0"/>
        <w:autoSpaceDE/>
        <w:autoSpaceDN/>
        <w:bidi w:val="0"/>
        <w:adjustRightInd/>
        <w:snapToGrid/>
        <w:spacing w:before="157" w:beforeLines="50" w:after="157" w:afterLines="50" w:line="500" w:lineRule="exact"/>
        <w:ind w:right="-94" w:rightChars="-45"/>
        <w:jc w:val="center"/>
        <w:textAlignment w:val="auto"/>
        <w:rPr>
          <w:rFonts w:hint="eastAsia" w:ascii="宋体" w:hAnsi="宋体" w:eastAsia="宋体" w:cs="宋体"/>
          <w:b/>
          <w:bCs/>
          <w:color w:val="auto"/>
          <w:sz w:val="28"/>
          <w:szCs w:val="28"/>
          <w:highlight w:val="none"/>
        </w:rPr>
      </w:pPr>
      <w:bookmarkStart w:id="48" w:name="_Toc18996"/>
      <w:bookmarkStart w:id="49" w:name="_Toc23885"/>
      <w:r>
        <w:rPr>
          <w:rFonts w:hint="eastAsia" w:ascii="宋体" w:hAnsi="宋体" w:eastAsia="宋体" w:cs="宋体"/>
          <w:b/>
          <w:bCs/>
          <w:color w:val="auto"/>
          <w:sz w:val="28"/>
          <w:szCs w:val="28"/>
          <w:highlight w:val="none"/>
        </w:rPr>
        <w:t>五、开标、评标和定标</w:t>
      </w:r>
      <w:bookmarkEnd w:id="48"/>
      <w:bookmarkEnd w:id="49"/>
    </w:p>
    <w:p w14:paraId="01F5F3F8">
      <w:pPr>
        <w:pageBreakBefore w:val="0"/>
        <w:kinsoku/>
        <w:wordWrap/>
        <w:overflowPunct/>
        <w:topLinePunct w:val="0"/>
        <w:autoSpaceDE/>
        <w:autoSpaceDN/>
        <w:bidi w:val="0"/>
        <w:adjustRightInd/>
        <w:spacing w:line="5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21. 开标</w:t>
      </w:r>
    </w:p>
    <w:p w14:paraId="03A0CABF">
      <w:pPr>
        <w:pageBreakBefore w:val="0"/>
        <w:kinsoku/>
        <w:wordWrap/>
        <w:overflowPunct/>
        <w:topLinePunct w:val="0"/>
        <w:autoSpaceDE/>
        <w:autoSpaceDN/>
        <w:bidi w:val="0"/>
        <w:adjustRightInd/>
        <w:spacing w:line="500" w:lineRule="exact"/>
        <w:ind w:left="208" w:leftChars="99" w:right="-94" w:rightChars="-45" w:firstLine="197" w:firstLineChars="94"/>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21.1开标的时间和地点</w:t>
      </w:r>
    </w:p>
    <w:p w14:paraId="1305B6E3">
      <w:pPr>
        <w:pageBreakBefore w:val="0"/>
        <w:kinsoku/>
        <w:wordWrap/>
        <w:overflowPunct/>
        <w:topLinePunct w:val="0"/>
        <w:autoSpaceDE/>
        <w:autoSpaceDN/>
        <w:bidi w:val="0"/>
        <w:adjustRightInd/>
        <w:spacing w:line="500" w:lineRule="exact"/>
        <w:ind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21.1.1招标人按本须知第20.1条提交投标文件的截止时间和地点开标。</w:t>
      </w:r>
    </w:p>
    <w:p w14:paraId="3BCA925A">
      <w:pPr>
        <w:pageBreakBefore w:val="0"/>
        <w:kinsoku/>
        <w:wordWrap/>
        <w:overflowPunct/>
        <w:topLinePunct w:val="0"/>
        <w:autoSpaceDE/>
        <w:autoSpaceDN/>
        <w:bidi w:val="0"/>
        <w:adjustRightInd/>
        <w:spacing w:line="500" w:lineRule="exact"/>
        <w:ind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21.2参与开标的监督部门</w:t>
      </w:r>
    </w:p>
    <w:p w14:paraId="70E2323A">
      <w:pPr>
        <w:pageBreakBefore w:val="0"/>
        <w:kinsoku/>
        <w:wordWrap/>
        <w:overflowPunct/>
        <w:topLinePunct w:val="0"/>
        <w:autoSpaceDE/>
        <w:autoSpaceDN/>
        <w:bidi w:val="0"/>
        <w:adjustRightInd/>
        <w:spacing w:line="500" w:lineRule="exact"/>
        <w:ind w:left="208" w:leftChars="99" w:right="-94" w:rightChars="-45" w:firstLine="197" w:firstLineChars="94"/>
        <w:jc w:val="left"/>
        <w:textAlignment w:val="auto"/>
        <w:rPr>
          <w:rFonts w:hint="eastAsia" w:ascii="宋体" w:hAnsi="宋体" w:cs="宋体"/>
          <w:color w:val="auto"/>
          <w:spacing w:val="-8"/>
          <w:szCs w:val="21"/>
          <w:highlight w:val="none"/>
        </w:rPr>
      </w:pPr>
      <w:r>
        <w:rPr>
          <w:rFonts w:hint="eastAsia" w:ascii="宋体" w:hAnsi="宋体" w:cs="宋体"/>
          <w:color w:val="auto"/>
          <w:szCs w:val="21"/>
          <w:highlight w:val="none"/>
        </w:rPr>
        <w:t>21.2.1参与开标的监督部门包括：招标单位的相关部门。</w:t>
      </w:r>
    </w:p>
    <w:p w14:paraId="5E266893">
      <w:pPr>
        <w:pageBreakBefore w:val="0"/>
        <w:kinsoku/>
        <w:wordWrap/>
        <w:overflowPunct/>
        <w:topLinePunct w:val="0"/>
        <w:autoSpaceDE/>
        <w:autoSpaceDN/>
        <w:bidi w:val="0"/>
        <w:adjustRightInd/>
        <w:spacing w:line="500" w:lineRule="exact"/>
        <w:ind w:left="208" w:leftChars="99" w:right="-94" w:rightChars="-45" w:firstLine="197" w:firstLineChars="94"/>
        <w:jc w:val="left"/>
        <w:textAlignment w:val="auto"/>
        <w:rPr>
          <w:rFonts w:ascii="宋体" w:hAnsi="宋体" w:cs="宋体"/>
          <w:color w:val="auto"/>
          <w:szCs w:val="21"/>
          <w:highlight w:val="none"/>
        </w:rPr>
      </w:pPr>
      <w:r>
        <w:rPr>
          <w:rFonts w:hint="eastAsia" w:ascii="宋体" w:hAnsi="宋体" w:cs="宋体"/>
          <w:color w:val="auto"/>
          <w:szCs w:val="21"/>
          <w:highlight w:val="none"/>
        </w:rPr>
        <w:t>21.3 开标程序</w:t>
      </w:r>
    </w:p>
    <w:p w14:paraId="71C728E2">
      <w:pPr>
        <w:pageBreakBefore w:val="0"/>
        <w:kinsoku/>
        <w:wordWrap/>
        <w:overflowPunct/>
        <w:topLinePunct w:val="0"/>
        <w:autoSpaceDE/>
        <w:autoSpaceDN/>
        <w:bidi w:val="0"/>
        <w:adjustRightInd/>
        <w:spacing w:line="500" w:lineRule="exact"/>
        <w:ind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3ED06A3E">
      <w:pPr>
        <w:pageBreakBefore w:val="0"/>
        <w:kinsoku/>
        <w:wordWrap/>
        <w:overflowPunct/>
        <w:topLinePunct w:val="0"/>
        <w:autoSpaceDE/>
        <w:autoSpaceDN/>
        <w:bidi w:val="0"/>
        <w:adjustRightInd/>
        <w:spacing w:line="500" w:lineRule="exact"/>
        <w:ind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（2）宣布招标人、代理机构主持人等有关人员姓名；</w:t>
      </w:r>
    </w:p>
    <w:p w14:paraId="1963357E">
      <w:pPr>
        <w:pageBreakBefore w:val="0"/>
        <w:kinsoku/>
        <w:wordWrap/>
        <w:overflowPunct/>
        <w:topLinePunct w:val="0"/>
        <w:autoSpaceDE/>
        <w:autoSpaceDN/>
        <w:bidi w:val="0"/>
        <w:adjustRightInd/>
        <w:spacing w:line="500" w:lineRule="exact"/>
        <w:ind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（3）公布在投标截止时间前递交投标文件的投标人名称等；</w:t>
      </w:r>
    </w:p>
    <w:p w14:paraId="736C9D98">
      <w:pPr>
        <w:pageBreakBefore w:val="0"/>
        <w:kinsoku/>
        <w:wordWrap/>
        <w:overflowPunct/>
        <w:topLinePunct w:val="0"/>
        <w:autoSpaceDE/>
        <w:autoSpaceDN/>
        <w:bidi w:val="0"/>
        <w:adjustRightInd/>
        <w:spacing w:line="500" w:lineRule="exact"/>
        <w:ind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拆封标书</w:t>
      </w:r>
      <w:r>
        <w:rPr>
          <w:rFonts w:hint="eastAsia" w:ascii="宋体" w:hAnsi="宋体" w:cs="宋体"/>
          <w:color w:val="auto"/>
          <w:szCs w:val="21"/>
          <w:highlight w:val="none"/>
        </w:rPr>
        <w:t>，公布投标人投标报价、</w:t>
      </w:r>
      <w:r>
        <w:rPr>
          <w:rFonts w:hint="eastAsia" w:ascii="宋体" w:hAnsi="宋体" w:cs="宋体"/>
          <w:color w:val="auto"/>
          <w:szCs w:val="21"/>
          <w:highlight w:val="none"/>
          <w:lang w:val="en-US" w:eastAsia="zh-CN"/>
        </w:rPr>
        <w:t>供货期</w:t>
      </w:r>
      <w:r>
        <w:rPr>
          <w:rFonts w:hint="eastAsia" w:ascii="宋体" w:hAnsi="宋体" w:cs="宋体"/>
          <w:color w:val="auto"/>
          <w:szCs w:val="21"/>
          <w:highlight w:val="none"/>
        </w:rPr>
        <w:t>及其他内容，并记录在案；</w:t>
      </w:r>
    </w:p>
    <w:p w14:paraId="33DA190A">
      <w:pPr>
        <w:pageBreakBefore w:val="0"/>
        <w:kinsoku/>
        <w:wordWrap/>
        <w:overflowPunct/>
        <w:topLinePunct w:val="0"/>
        <w:autoSpaceDE/>
        <w:autoSpaceDN/>
        <w:bidi w:val="0"/>
        <w:adjustRightInd/>
        <w:spacing w:line="500" w:lineRule="exact"/>
        <w:ind w:right="-94" w:rightChars="-45"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59594843">
      <w:pPr>
        <w:spacing w:line="500" w:lineRule="exact"/>
        <w:ind w:right="-155" w:rightChars="-74"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21.4</w:t>
      </w:r>
      <w:r>
        <w:rPr>
          <w:rFonts w:hint="eastAsia" w:ascii="宋体" w:hAnsi="宋体" w:cs="宋体"/>
          <w:color w:val="auto"/>
          <w:szCs w:val="21"/>
        </w:rPr>
        <w:t>开标</w:t>
      </w:r>
      <w:r>
        <w:rPr>
          <w:rFonts w:hint="eastAsia" w:ascii="宋体"/>
          <w:color w:val="auto"/>
          <w:szCs w:val="21"/>
        </w:rPr>
        <w:t>异议</w:t>
      </w:r>
    </w:p>
    <w:p w14:paraId="234F150B">
      <w:pPr>
        <w:pageBreakBefore w:val="0"/>
        <w:kinsoku/>
        <w:wordWrap/>
        <w:overflowPunct/>
        <w:topLinePunct w:val="0"/>
        <w:autoSpaceDE/>
        <w:autoSpaceDN/>
        <w:bidi w:val="0"/>
        <w:adjustRightInd/>
        <w:spacing w:line="500" w:lineRule="exact"/>
        <w:ind w:firstLine="420" w:firstLineChars="200"/>
        <w:jc w:val="left"/>
        <w:textAlignment w:val="auto"/>
        <w:rPr>
          <w:rFonts w:hint="eastAsia" w:ascii="宋体" w:hAnsi="宋体" w:cs="宋体"/>
          <w:b/>
          <w:bCs/>
          <w:color w:val="auto"/>
          <w:szCs w:val="21"/>
          <w:highlight w:val="none"/>
        </w:rPr>
      </w:pPr>
      <w:r>
        <w:rPr>
          <w:rFonts w:hint="eastAsia" w:ascii="宋体" w:hAnsi="宋体" w:eastAsia="宋体" w:cs="宋体"/>
          <w:color w:val="auto"/>
          <w:szCs w:val="21"/>
        </w:rPr>
        <w:t>投标人对开标有异议的，应当在开标过程中提出，招标人在开标过程中作出答复，并制作记录。</w:t>
      </w:r>
    </w:p>
    <w:p w14:paraId="3F250974">
      <w:pPr>
        <w:spacing w:line="500" w:lineRule="exact"/>
        <w:ind w:firstLine="421"/>
        <w:jc w:val="left"/>
        <w:rPr>
          <w:rFonts w:hint="eastAsia" w:ascii="宋体" w:hAnsi="宋体" w:cs="宋体"/>
          <w:b/>
          <w:color w:val="auto"/>
          <w:szCs w:val="21"/>
        </w:rPr>
      </w:pPr>
      <w:r>
        <w:rPr>
          <w:rFonts w:hint="eastAsia" w:ascii="宋体" w:hAnsi="宋体" w:cs="宋体"/>
          <w:b/>
          <w:color w:val="auto"/>
          <w:szCs w:val="21"/>
        </w:rPr>
        <w:t>2</w:t>
      </w:r>
      <w:r>
        <w:rPr>
          <w:rFonts w:hint="eastAsia" w:ascii="宋体" w:hAnsi="宋体" w:cs="宋体"/>
          <w:b/>
          <w:color w:val="auto"/>
          <w:szCs w:val="21"/>
          <w:lang w:val="en-US" w:eastAsia="zh-CN"/>
        </w:rPr>
        <w:t>2</w:t>
      </w:r>
      <w:r>
        <w:rPr>
          <w:rFonts w:hint="eastAsia" w:ascii="宋体" w:hAnsi="宋体" w:cs="宋体"/>
          <w:b/>
          <w:color w:val="auto"/>
          <w:szCs w:val="21"/>
        </w:rPr>
        <w:t>.评标委员会</w:t>
      </w:r>
    </w:p>
    <w:p w14:paraId="19571674">
      <w:pPr>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2</w:t>
      </w:r>
      <w:r>
        <w:rPr>
          <w:rFonts w:hint="eastAsia" w:ascii="宋体" w:hAnsi="宋体" w:cs="宋体"/>
          <w:color w:val="auto"/>
          <w:szCs w:val="21"/>
        </w:rPr>
        <w:t>.1 评标由招标人组建的评标委员会负责。</w:t>
      </w:r>
    </w:p>
    <w:p w14:paraId="45D3668E">
      <w:pPr>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2</w:t>
      </w:r>
      <w:r>
        <w:rPr>
          <w:rFonts w:hint="eastAsia" w:ascii="宋体" w:hAnsi="宋体" w:cs="宋体"/>
          <w:color w:val="auto"/>
          <w:szCs w:val="21"/>
        </w:rPr>
        <w:t>.3评标过程中，评标委员会成员有回避事由、擅离职守或因健康等原因不能继续评标的，招标人有权更换。被更换的评标委员会成员作出的评审结论无效，由更换后的评标委员会成员重新进行评审。</w:t>
      </w:r>
    </w:p>
    <w:p w14:paraId="7642FB7D">
      <w:pPr>
        <w:widowControl/>
        <w:spacing w:line="500" w:lineRule="exact"/>
        <w:ind w:firstLine="420" w:firstLineChars="200"/>
        <w:rPr>
          <w:rFonts w:hint="eastAsia"/>
          <w:color w:val="auto"/>
        </w:rPr>
      </w:pPr>
      <w:r>
        <w:rPr>
          <w:rFonts w:hint="eastAsia" w:ascii="宋体" w:hAnsi="宋体" w:cs="宋体"/>
          <w:bCs/>
          <w:color w:val="auto"/>
          <w:kern w:val="0"/>
          <w:szCs w:val="21"/>
          <w:lang w:bidi="ar"/>
        </w:rPr>
        <w:t>2</w:t>
      </w:r>
      <w:r>
        <w:rPr>
          <w:rFonts w:hint="eastAsia" w:ascii="宋体" w:hAnsi="宋体" w:cs="宋体"/>
          <w:bCs/>
          <w:color w:val="auto"/>
          <w:kern w:val="0"/>
          <w:szCs w:val="21"/>
          <w:lang w:val="en-US" w:eastAsia="zh-CN" w:bidi="ar"/>
        </w:rPr>
        <w:t>2</w:t>
      </w:r>
      <w:r>
        <w:rPr>
          <w:rFonts w:hint="eastAsia" w:ascii="宋体" w:hAnsi="宋体" w:cs="宋体"/>
          <w:bCs/>
          <w:color w:val="auto"/>
          <w:kern w:val="0"/>
          <w:szCs w:val="21"/>
          <w:lang w:bidi="ar"/>
        </w:rPr>
        <w:t>.4</w:t>
      </w:r>
      <w:r>
        <w:rPr>
          <w:rFonts w:hint="eastAsia" w:ascii="宋体" w:hAnsi="宋体" w:cs="宋体"/>
          <w:b/>
          <w:bCs/>
          <w:color w:val="auto"/>
          <w:kern w:val="0"/>
          <w:szCs w:val="21"/>
          <w:lang w:bidi="ar"/>
        </w:rPr>
        <w:t>招标人授权评标委员会对投标人资格进行审查。</w:t>
      </w:r>
    </w:p>
    <w:p w14:paraId="3720BAC3">
      <w:pPr>
        <w:spacing w:line="500" w:lineRule="exact"/>
        <w:ind w:firstLine="421"/>
        <w:jc w:val="left"/>
        <w:rPr>
          <w:rFonts w:hint="eastAsia" w:ascii="宋体"/>
          <w:b/>
          <w:color w:val="auto"/>
          <w:szCs w:val="21"/>
        </w:rPr>
      </w:pPr>
      <w:r>
        <w:rPr>
          <w:rFonts w:hint="eastAsia" w:ascii="宋体"/>
          <w:b/>
          <w:color w:val="auto"/>
          <w:szCs w:val="21"/>
          <w:lang w:val="en-US" w:eastAsia="zh-CN"/>
        </w:rPr>
        <w:t>23</w:t>
      </w:r>
      <w:r>
        <w:rPr>
          <w:rFonts w:hint="eastAsia" w:ascii="宋体"/>
          <w:b/>
          <w:color w:val="auto"/>
          <w:szCs w:val="21"/>
        </w:rPr>
        <w:t>.评标原则</w:t>
      </w:r>
    </w:p>
    <w:p w14:paraId="4EAE7C9F">
      <w:pPr>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23</w:t>
      </w:r>
      <w:r>
        <w:rPr>
          <w:rFonts w:hint="eastAsia" w:ascii="宋体" w:hAnsi="宋体" w:cs="宋体"/>
          <w:color w:val="auto"/>
          <w:szCs w:val="21"/>
        </w:rPr>
        <w:t>.1评标活动遵循公平、公正、科学和择优的原则。</w:t>
      </w:r>
    </w:p>
    <w:p w14:paraId="07496A5B">
      <w:pPr>
        <w:pageBreakBefore w:val="0"/>
        <w:kinsoku/>
        <w:wordWrap/>
        <w:overflowPunct/>
        <w:topLinePunct w:val="0"/>
        <w:autoSpaceDE/>
        <w:autoSpaceDN/>
        <w:bidi w:val="0"/>
        <w:adjustRightInd/>
        <w:spacing w:line="5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.评标</w:t>
      </w:r>
    </w:p>
    <w:p w14:paraId="11DACCBE">
      <w:pPr>
        <w:pageBreakBefore w:val="0"/>
        <w:kinsoku/>
        <w:wordWrap/>
        <w:overflowPunct/>
        <w:topLinePunct w:val="0"/>
        <w:autoSpaceDE/>
        <w:autoSpaceDN/>
        <w:bidi w:val="0"/>
        <w:adjustRightInd/>
        <w:spacing w:line="500" w:lineRule="exact"/>
        <w:ind w:firstLine="404" w:firstLineChars="200"/>
        <w:jc w:val="left"/>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lang w:val="en-US" w:eastAsia="zh-CN"/>
        </w:rPr>
        <w:t>24</w:t>
      </w:r>
      <w:r>
        <w:rPr>
          <w:rFonts w:hint="eastAsia" w:ascii="宋体" w:hAnsi="宋体" w:cs="宋体"/>
          <w:color w:val="auto"/>
          <w:spacing w:val="-4"/>
          <w:szCs w:val="21"/>
          <w:highlight w:val="none"/>
        </w:rPr>
        <w:t>.1评标委员会按照第</w:t>
      </w:r>
      <w:r>
        <w:rPr>
          <w:rFonts w:hint="eastAsia" w:ascii="宋体" w:hAnsi="宋体" w:cs="宋体"/>
          <w:color w:val="auto"/>
          <w:spacing w:val="-4"/>
          <w:szCs w:val="21"/>
          <w:highlight w:val="none"/>
          <w:lang w:val="en-US" w:eastAsia="zh-CN"/>
        </w:rPr>
        <w:t>三</w:t>
      </w:r>
      <w:r>
        <w:rPr>
          <w:rFonts w:hint="eastAsia" w:ascii="宋体" w:hAnsi="宋体" w:cs="宋体"/>
          <w:color w:val="auto"/>
          <w:spacing w:val="-4"/>
          <w:szCs w:val="21"/>
          <w:highlight w:val="none"/>
        </w:rPr>
        <w:t>章“评标办法”规定的方法、评审因素、标准和程序对投标文件进行评审。第</w:t>
      </w:r>
      <w:r>
        <w:rPr>
          <w:rFonts w:hint="eastAsia" w:ascii="宋体" w:hAnsi="宋体" w:cs="宋体"/>
          <w:color w:val="auto"/>
          <w:spacing w:val="-4"/>
          <w:szCs w:val="21"/>
          <w:highlight w:val="none"/>
          <w:lang w:val="en-US" w:eastAsia="zh-CN"/>
        </w:rPr>
        <w:t>三</w:t>
      </w:r>
      <w:r>
        <w:rPr>
          <w:rFonts w:hint="eastAsia" w:ascii="宋体" w:hAnsi="宋体" w:cs="宋体"/>
          <w:color w:val="auto"/>
          <w:spacing w:val="-4"/>
          <w:szCs w:val="21"/>
          <w:highlight w:val="none"/>
        </w:rPr>
        <w:t>章“评标办法”没有规定的方法、评审因素和标准，不作为评标依据。</w:t>
      </w:r>
    </w:p>
    <w:p w14:paraId="4BDAAE13">
      <w:pPr>
        <w:pageBreakBefore w:val="0"/>
        <w:kinsoku/>
        <w:wordWrap/>
        <w:overflowPunct/>
        <w:topLinePunct w:val="0"/>
        <w:autoSpaceDE/>
        <w:autoSpaceDN/>
        <w:bidi w:val="0"/>
        <w:adjustRightInd/>
        <w:spacing w:line="500" w:lineRule="exact"/>
        <w:ind w:firstLine="404" w:firstLineChars="200"/>
        <w:jc w:val="left"/>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lang w:val="en-US" w:eastAsia="zh-CN"/>
        </w:rPr>
        <w:t>24</w:t>
      </w:r>
      <w:r>
        <w:rPr>
          <w:rFonts w:hint="eastAsia" w:ascii="宋体" w:hAnsi="宋体" w:cs="宋体"/>
          <w:color w:val="auto"/>
          <w:spacing w:val="-4"/>
          <w:szCs w:val="21"/>
          <w:highlight w:val="none"/>
        </w:rPr>
        <w:t>.2评标完成后，评标委员会应向招标人提交书面评标报告和中标候选人名单。评标委员会推荐中标候选人的人数见投标人须知前附表。</w:t>
      </w:r>
    </w:p>
    <w:p w14:paraId="34737A74">
      <w:pPr>
        <w:pageBreakBefore w:val="0"/>
        <w:kinsoku/>
        <w:wordWrap/>
        <w:overflowPunct/>
        <w:topLinePunct w:val="0"/>
        <w:autoSpaceDE/>
        <w:autoSpaceDN/>
        <w:bidi w:val="0"/>
        <w:adjustRightInd/>
        <w:spacing w:line="500" w:lineRule="exact"/>
        <w:ind w:firstLine="404" w:firstLineChars="200"/>
        <w:jc w:val="left"/>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lang w:val="en-US" w:eastAsia="zh-CN"/>
        </w:rPr>
        <w:t>24</w:t>
      </w:r>
      <w:r>
        <w:rPr>
          <w:rFonts w:hint="eastAsia" w:ascii="宋体" w:hAnsi="宋体" w:cs="宋体"/>
          <w:color w:val="auto"/>
          <w:spacing w:val="-4"/>
          <w:szCs w:val="21"/>
          <w:highlight w:val="none"/>
        </w:rPr>
        <w:t>.3报价合理性的判断</w:t>
      </w:r>
    </w:p>
    <w:p w14:paraId="3BF9E28A">
      <w:pPr>
        <w:pageBreakBefore w:val="0"/>
        <w:kinsoku/>
        <w:wordWrap/>
        <w:overflowPunct/>
        <w:topLinePunct w:val="0"/>
        <w:autoSpaceDE/>
        <w:autoSpaceDN/>
        <w:bidi w:val="0"/>
        <w:adjustRightInd/>
        <w:spacing w:line="500" w:lineRule="exact"/>
        <w:ind w:firstLine="404" w:firstLineChars="200"/>
        <w:jc w:val="left"/>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lang w:val="en-US" w:eastAsia="zh-CN"/>
        </w:rPr>
        <w:t>24</w:t>
      </w:r>
      <w:r>
        <w:rPr>
          <w:rFonts w:hint="eastAsia" w:ascii="宋体" w:hAnsi="宋体" w:cs="宋体"/>
          <w:color w:val="auto"/>
          <w:spacing w:val="-4"/>
          <w:szCs w:val="21"/>
          <w:highlight w:val="none"/>
        </w:rPr>
        <w:t>.3.1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1C51882">
      <w:pPr>
        <w:pageBreakBefore w:val="0"/>
        <w:kinsoku/>
        <w:wordWrap/>
        <w:overflowPunct/>
        <w:topLinePunct w:val="0"/>
        <w:autoSpaceDE/>
        <w:autoSpaceDN/>
        <w:bidi w:val="0"/>
        <w:adjustRightInd/>
        <w:spacing w:line="500" w:lineRule="exact"/>
        <w:ind w:firstLine="404" w:firstLineChars="200"/>
        <w:jc w:val="left"/>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lang w:val="en-US" w:eastAsia="zh-CN"/>
        </w:rPr>
        <w:t>24</w:t>
      </w:r>
      <w:r>
        <w:rPr>
          <w:rFonts w:hint="eastAsia" w:ascii="宋体" w:hAnsi="宋体" w:cs="宋体"/>
          <w:color w:val="auto"/>
          <w:spacing w:val="-4"/>
          <w:szCs w:val="21"/>
          <w:highlight w:val="none"/>
        </w:rPr>
        <w:t>.4评审意见分歧的处理办法</w:t>
      </w:r>
    </w:p>
    <w:p w14:paraId="5E1A9A2C">
      <w:pPr>
        <w:pageBreakBefore w:val="0"/>
        <w:kinsoku/>
        <w:wordWrap/>
        <w:overflowPunct/>
        <w:topLinePunct w:val="0"/>
        <w:autoSpaceDE/>
        <w:autoSpaceDN/>
        <w:bidi w:val="0"/>
        <w:adjustRightInd/>
        <w:spacing w:line="500" w:lineRule="exact"/>
        <w:ind w:firstLine="404" w:firstLineChars="200"/>
        <w:jc w:val="left"/>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（1）评标委员会应当对投标人提供的报告、证明材料及详细说明认真研究。对存在意见分歧的，可采用投票方式表决决定（按多数评委意见为准）；</w:t>
      </w:r>
    </w:p>
    <w:p w14:paraId="49861ECB">
      <w:pPr>
        <w:pageBreakBefore w:val="0"/>
        <w:kinsoku/>
        <w:wordWrap/>
        <w:overflowPunct/>
        <w:topLinePunct w:val="0"/>
        <w:autoSpaceDE/>
        <w:autoSpaceDN/>
        <w:bidi w:val="0"/>
        <w:adjustRightInd/>
        <w:spacing w:line="500" w:lineRule="exact"/>
        <w:ind w:firstLine="404" w:firstLineChars="200"/>
        <w:jc w:val="left"/>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rPr>
        <w:t>（2）招标投标当事人对评标结果提出异议或者投诉，公共资源交易监督机构认为需要重新进行评标的，评标委员会成员应当按照公共资源交易监督机构要求重新评标。</w:t>
      </w:r>
    </w:p>
    <w:p w14:paraId="2B44CEEC">
      <w:pPr>
        <w:pageBreakBefore w:val="0"/>
        <w:kinsoku/>
        <w:wordWrap/>
        <w:overflowPunct/>
        <w:topLinePunct w:val="0"/>
        <w:autoSpaceDE/>
        <w:autoSpaceDN/>
        <w:bidi w:val="0"/>
        <w:adjustRightInd/>
        <w:spacing w:line="500" w:lineRule="exact"/>
        <w:ind w:firstLine="404" w:firstLineChars="200"/>
        <w:jc w:val="left"/>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lang w:val="en-US" w:eastAsia="zh-CN"/>
        </w:rPr>
        <w:t>24</w:t>
      </w:r>
      <w:r>
        <w:rPr>
          <w:rFonts w:hint="eastAsia" w:ascii="宋体" w:hAnsi="宋体" w:cs="宋体"/>
          <w:color w:val="auto"/>
          <w:spacing w:val="-4"/>
          <w:szCs w:val="21"/>
          <w:highlight w:val="none"/>
        </w:rPr>
        <w:t>.5评标报告的签署</w:t>
      </w:r>
    </w:p>
    <w:p w14:paraId="7DC99D61">
      <w:pPr>
        <w:pageBreakBefore w:val="0"/>
        <w:kinsoku/>
        <w:wordWrap/>
        <w:overflowPunct/>
        <w:topLinePunct w:val="0"/>
        <w:autoSpaceDE/>
        <w:autoSpaceDN/>
        <w:bidi w:val="0"/>
        <w:adjustRightInd/>
        <w:spacing w:line="500" w:lineRule="exact"/>
        <w:ind w:firstLine="404" w:firstLineChars="200"/>
        <w:jc w:val="left"/>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lang w:val="en-US" w:eastAsia="zh-CN"/>
        </w:rPr>
        <w:t>24</w:t>
      </w:r>
      <w:r>
        <w:rPr>
          <w:rFonts w:hint="eastAsia" w:ascii="宋体" w:hAnsi="宋体" w:cs="宋体"/>
          <w:color w:val="auto"/>
          <w:spacing w:val="-4"/>
          <w:szCs w:val="21"/>
          <w:highlight w:val="none"/>
        </w:rPr>
        <w:t>.5.1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BD615D6">
      <w:pPr>
        <w:pageBreakBefore w:val="0"/>
        <w:kinsoku/>
        <w:wordWrap/>
        <w:overflowPunct/>
        <w:topLinePunct w:val="0"/>
        <w:autoSpaceDE/>
        <w:autoSpaceDN/>
        <w:bidi w:val="0"/>
        <w:adjustRightInd/>
        <w:spacing w:line="500" w:lineRule="exact"/>
        <w:ind w:firstLine="404" w:firstLineChars="200"/>
        <w:jc w:val="left"/>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lang w:val="en-US" w:eastAsia="zh-CN"/>
        </w:rPr>
        <w:t>24</w:t>
      </w:r>
      <w:r>
        <w:rPr>
          <w:rFonts w:hint="eastAsia" w:ascii="宋体" w:hAnsi="宋体" w:cs="宋体"/>
          <w:color w:val="auto"/>
          <w:spacing w:val="-4"/>
          <w:szCs w:val="21"/>
          <w:highlight w:val="none"/>
        </w:rPr>
        <w:t>.6评标过程的保密</w:t>
      </w:r>
    </w:p>
    <w:p w14:paraId="66274041">
      <w:pPr>
        <w:pageBreakBefore w:val="0"/>
        <w:kinsoku/>
        <w:wordWrap/>
        <w:overflowPunct/>
        <w:topLinePunct w:val="0"/>
        <w:autoSpaceDE/>
        <w:autoSpaceDN/>
        <w:bidi w:val="0"/>
        <w:adjustRightInd/>
        <w:spacing w:line="500" w:lineRule="exact"/>
        <w:ind w:firstLine="404" w:firstLineChars="200"/>
        <w:jc w:val="left"/>
        <w:textAlignment w:val="auto"/>
        <w:rPr>
          <w:rFonts w:hint="eastAsia" w:ascii="宋体" w:hAnsi="宋体" w:cs="宋体"/>
          <w:color w:val="auto"/>
          <w:spacing w:val="-4"/>
          <w:szCs w:val="21"/>
          <w:highlight w:val="none"/>
        </w:rPr>
      </w:pPr>
      <w:r>
        <w:rPr>
          <w:rFonts w:hint="eastAsia" w:ascii="宋体" w:hAnsi="宋体" w:cs="宋体"/>
          <w:color w:val="auto"/>
          <w:spacing w:val="-4"/>
          <w:szCs w:val="21"/>
          <w:highlight w:val="none"/>
          <w:lang w:val="en-US" w:eastAsia="zh-CN"/>
        </w:rPr>
        <w:t>24</w:t>
      </w:r>
      <w:r>
        <w:rPr>
          <w:rFonts w:hint="eastAsia" w:ascii="宋体" w:hAnsi="宋体" w:cs="宋体"/>
          <w:color w:val="auto"/>
          <w:spacing w:val="-4"/>
          <w:szCs w:val="21"/>
          <w:highlight w:val="none"/>
        </w:rPr>
        <w:t>.6.1评标委员会成员和与评标活动有关的工作人员不得透露对投标文件的评审和比较、中标人的推荐情况以及与评标有关的其他情况。</w:t>
      </w:r>
    </w:p>
    <w:p w14:paraId="253FBA2C">
      <w:pPr>
        <w:spacing w:line="500" w:lineRule="exact"/>
        <w:ind w:firstLine="421"/>
        <w:jc w:val="left"/>
        <w:rPr>
          <w:rFonts w:ascii="宋体"/>
          <w:b/>
          <w:color w:val="auto"/>
          <w:szCs w:val="21"/>
          <w:highlight w:val="none"/>
        </w:rPr>
      </w:pPr>
      <w:r>
        <w:rPr>
          <w:rFonts w:hint="eastAsia" w:ascii="宋体"/>
          <w:b/>
          <w:color w:val="auto"/>
          <w:szCs w:val="21"/>
          <w:highlight w:val="none"/>
          <w:lang w:val="en-US" w:eastAsia="zh-CN"/>
        </w:rPr>
        <w:t>25</w:t>
      </w:r>
      <w:r>
        <w:rPr>
          <w:rFonts w:hint="eastAsia" w:ascii="宋体"/>
          <w:b/>
          <w:color w:val="auto"/>
          <w:szCs w:val="21"/>
          <w:highlight w:val="none"/>
        </w:rPr>
        <w:t>.定标</w:t>
      </w:r>
    </w:p>
    <w:p w14:paraId="3FE9D0DD">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lang w:val="en-US" w:eastAsia="zh-CN"/>
        </w:rPr>
        <w:t>25</w:t>
      </w:r>
      <w:r>
        <w:rPr>
          <w:rFonts w:hint="eastAsia" w:ascii="宋体"/>
          <w:color w:val="auto"/>
          <w:szCs w:val="21"/>
          <w:highlight w:val="none"/>
        </w:rPr>
        <w:t>.1 中标人的确定</w:t>
      </w:r>
    </w:p>
    <w:p w14:paraId="51E70A7D">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lang w:val="en-US" w:eastAsia="zh-CN"/>
        </w:rPr>
        <w:t>25</w:t>
      </w:r>
      <w:r>
        <w:rPr>
          <w:rFonts w:hint="eastAsia" w:ascii="宋体"/>
          <w:color w:val="auto"/>
          <w:szCs w:val="21"/>
          <w:highlight w:val="none"/>
        </w:rPr>
        <w:t>.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24890FD">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lang w:val="en-US" w:eastAsia="zh-CN"/>
        </w:rPr>
        <w:t>25</w:t>
      </w:r>
      <w:r>
        <w:rPr>
          <w:rFonts w:hint="eastAsia" w:ascii="宋体"/>
          <w:color w:val="auto"/>
          <w:szCs w:val="21"/>
          <w:highlight w:val="none"/>
        </w:rPr>
        <w:t>.1.2中标人确定后，招标人应将中标信息在市扬子工业投资集团有限公司官网（https://czyzgtjt.com/）公告。</w:t>
      </w:r>
    </w:p>
    <w:p w14:paraId="07879959">
      <w:pPr>
        <w:tabs>
          <w:tab w:val="left" w:pos="720"/>
        </w:tabs>
        <w:spacing w:line="50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25</w:t>
      </w:r>
      <w:r>
        <w:rPr>
          <w:rFonts w:hint="eastAsia" w:ascii="宋体" w:hAnsi="Times New Roman" w:eastAsia="宋体" w:cs="Times New Roman"/>
          <w:color w:val="auto"/>
          <w:szCs w:val="21"/>
          <w:highlight w:val="none"/>
        </w:rPr>
        <w:t>.2 中标通知书</w:t>
      </w:r>
    </w:p>
    <w:p w14:paraId="4CB1BBF5">
      <w:pPr>
        <w:tabs>
          <w:tab w:val="left" w:pos="720"/>
        </w:tabs>
        <w:spacing w:line="50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25</w:t>
      </w:r>
      <w:r>
        <w:rPr>
          <w:rFonts w:hint="eastAsia" w:ascii="宋体" w:hAnsi="Times New Roman" w:eastAsia="宋体" w:cs="Times New Roman"/>
          <w:color w:val="auto"/>
          <w:szCs w:val="21"/>
          <w:highlight w:val="none"/>
        </w:rPr>
        <w:t>.2.1招标人或代理机构应在中标人确定之日起2个工作日内，在</w:t>
      </w:r>
      <w:r>
        <w:rPr>
          <w:rFonts w:hint="eastAsia" w:ascii="宋体" w:cs="Times New Roman"/>
          <w:color w:val="auto"/>
          <w:szCs w:val="21"/>
          <w:highlight w:val="none"/>
          <w:lang w:val="en-US" w:eastAsia="zh-CN"/>
        </w:rPr>
        <w:t>滁州</w:t>
      </w:r>
      <w:r>
        <w:rPr>
          <w:rFonts w:hint="eastAsia" w:ascii="宋体" w:hAnsi="Times New Roman" w:eastAsia="宋体" w:cs="Times New Roman"/>
          <w:color w:val="auto"/>
          <w:szCs w:val="21"/>
          <w:highlight w:val="none"/>
        </w:rPr>
        <w:t>市扬子工业投资集团有限公司官网（https://czyzgtjt.com/）公告中标结果并同时向中标人发出中标通知书。</w:t>
      </w:r>
    </w:p>
    <w:p w14:paraId="1332CB8B">
      <w:pPr>
        <w:tabs>
          <w:tab w:val="left" w:pos="720"/>
        </w:tabs>
        <w:spacing w:line="50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25</w:t>
      </w:r>
      <w:r>
        <w:rPr>
          <w:rFonts w:hint="eastAsia" w:ascii="宋体" w:hAnsi="Times New Roman" w:eastAsia="宋体" w:cs="Times New Roman"/>
          <w:color w:val="auto"/>
          <w:szCs w:val="21"/>
          <w:highlight w:val="none"/>
        </w:rPr>
        <w:t>.2.2中标通知书须加盖招标人、代理机构公章后，方可发出。</w:t>
      </w:r>
    </w:p>
    <w:p w14:paraId="16FA3485">
      <w:pPr>
        <w:pageBreakBefore w:val="0"/>
        <w:kinsoku/>
        <w:wordWrap/>
        <w:overflowPunct/>
        <w:topLinePunct w:val="0"/>
        <w:autoSpaceDE/>
        <w:autoSpaceDN/>
        <w:bidi w:val="0"/>
        <w:adjustRightInd/>
        <w:spacing w:line="5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开评标异常情况处理</w:t>
      </w:r>
    </w:p>
    <w:p w14:paraId="3E4B9E21">
      <w:pPr>
        <w:pageBreakBefore w:val="0"/>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.1重新招标 </w:t>
      </w:r>
    </w:p>
    <w:p w14:paraId="720FA5A8">
      <w:pPr>
        <w:pageBreakBefore w:val="0"/>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有下列情形之一的，招标人将重新招标：</w:t>
      </w:r>
    </w:p>
    <w:p w14:paraId="24E2CACD">
      <w:pPr>
        <w:pageBreakBefore w:val="0"/>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(1)经评标委员会评审后否决所有投标的；</w:t>
      </w:r>
    </w:p>
    <w:p w14:paraId="709131D4">
      <w:pPr>
        <w:pageBreakBefore w:val="0"/>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(2)出现影响招标公正的违法、违规行为的；</w:t>
      </w:r>
    </w:p>
    <w:p w14:paraId="7D255603">
      <w:pPr>
        <w:pageBreakBefore w:val="0"/>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(3)投标人的报价均脱离实际且无充分证据的；</w:t>
      </w:r>
    </w:p>
    <w:p w14:paraId="063651D8">
      <w:pPr>
        <w:pageBreakBefore w:val="0"/>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(4)因重大变故，招标任务取消的。</w:t>
      </w:r>
    </w:p>
    <w:p w14:paraId="00C1AF50">
      <w:pPr>
        <w:pStyle w:val="2"/>
        <w:keepNext/>
        <w:keepLines/>
        <w:pageBreakBefore w:val="0"/>
        <w:widowControl w:val="0"/>
        <w:kinsoku/>
        <w:wordWrap/>
        <w:overflowPunct/>
        <w:topLinePunct w:val="0"/>
        <w:autoSpaceDE/>
        <w:autoSpaceDN/>
        <w:bidi w:val="0"/>
        <w:adjustRightInd/>
        <w:snapToGrid/>
        <w:spacing w:before="157" w:beforeLines="50" w:after="157" w:afterLines="50" w:line="500" w:lineRule="exact"/>
        <w:ind w:right="-94" w:rightChars="-45"/>
        <w:jc w:val="center"/>
        <w:textAlignment w:val="auto"/>
        <w:rPr>
          <w:rFonts w:hint="eastAsia" w:ascii="宋体" w:hAnsi="宋体" w:eastAsia="宋体" w:cs="宋体"/>
          <w:b/>
          <w:bCs/>
          <w:color w:val="auto"/>
          <w:sz w:val="28"/>
          <w:szCs w:val="28"/>
          <w:highlight w:val="none"/>
        </w:rPr>
      </w:pPr>
      <w:bookmarkStart w:id="50" w:name="_Toc12012"/>
      <w:bookmarkStart w:id="51" w:name="_Toc31086"/>
      <w:r>
        <w:rPr>
          <w:rFonts w:hint="eastAsia" w:ascii="宋体" w:hAnsi="宋体" w:eastAsia="宋体" w:cs="宋体"/>
          <w:b/>
          <w:bCs/>
          <w:color w:val="auto"/>
          <w:sz w:val="28"/>
          <w:szCs w:val="28"/>
          <w:highlight w:val="none"/>
        </w:rPr>
        <w:t>六、合同的授予</w:t>
      </w:r>
      <w:bookmarkEnd w:id="50"/>
      <w:bookmarkEnd w:id="51"/>
    </w:p>
    <w:p w14:paraId="5F910BD2">
      <w:pPr>
        <w:pageBreakBefore w:val="0"/>
        <w:kinsoku/>
        <w:wordWrap/>
        <w:overflowPunct/>
        <w:topLinePunct w:val="0"/>
        <w:autoSpaceDE/>
        <w:autoSpaceDN/>
        <w:bidi w:val="0"/>
        <w:adjustRightInd/>
        <w:spacing w:line="5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.合同授予标准</w:t>
      </w:r>
    </w:p>
    <w:p w14:paraId="0160641C">
      <w:pPr>
        <w:pageBreakBefore w:val="0"/>
        <w:kinsoku/>
        <w:wordWrap/>
        <w:overflowPunct/>
        <w:topLinePunct w:val="0"/>
        <w:autoSpaceDE/>
        <w:autoSpaceDN/>
        <w:bidi w:val="0"/>
        <w:adjustRightIn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.1本招标项目的服务合同将授予按本须知第2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条规定所确定的中标人。</w:t>
      </w:r>
    </w:p>
    <w:p w14:paraId="6F1A77AF">
      <w:pPr>
        <w:pageBreakBefore w:val="0"/>
        <w:kinsoku/>
        <w:wordWrap/>
        <w:overflowPunct/>
        <w:topLinePunct w:val="0"/>
        <w:autoSpaceDE/>
        <w:autoSpaceDN/>
        <w:bidi w:val="0"/>
        <w:adjustRightInd/>
        <w:spacing w:line="5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.合同协议书的签订</w:t>
      </w:r>
    </w:p>
    <w:p w14:paraId="0751AA1F">
      <w:pPr>
        <w:pageBreakBefore w:val="0"/>
        <w:kinsoku/>
        <w:wordWrap/>
        <w:overflowPunct/>
        <w:topLinePunct w:val="0"/>
        <w:autoSpaceDE/>
        <w:autoSpaceDN/>
        <w:bidi w:val="0"/>
        <w:adjustRightIn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021A74BB">
      <w:pPr>
        <w:pageBreakBefore w:val="0"/>
        <w:kinsoku/>
        <w:wordWrap/>
        <w:overflowPunct/>
        <w:topLinePunct w:val="0"/>
        <w:autoSpaceDE/>
        <w:autoSpaceDN/>
        <w:bidi w:val="0"/>
        <w:adjustRightIn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.2招标人如不按本投标须知第2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.1条的规定与中标人订立合同，或者招标人、中标人订立背离合同实质性内容的协议，给投标人造成损失的，应当</w:t>
      </w:r>
      <w:r>
        <w:rPr>
          <w:rFonts w:hint="eastAsia" w:ascii="宋体" w:hAnsi="宋体" w:cs="宋体"/>
          <w:color w:val="auto"/>
          <w:szCs w:val="21"/>
          <w:highlight w:val="none"/>
          <w:lang w:val="en-US" w:eastAsia="zh-CN"/>
        </w:rPr>
        <w:t>予</w:t>
      </w:r>
      <w:r>
        <w:rPr>
          <w:rFonts w:hint="eastAsia" w:ascii="宋体" w:hAnsi="宋体" w:cs="宋体"/>
          <w:color w:val="auto"/>
          <w:szCs w:val="21"/>
          <w:highlight w:val="none"/>
        </w:rPr>
        <w:t>以赔偿，同时依法承担相应法律责任。</w:t>
      </w:r>
    </w:p>
    <w:p w14:paraId="0B9A532A">
      <w:pPr>
        <w:pageBreakBefore w:val="0"/>
        <w:kinsoku/>
        <w:wordWrap/>
        <w:overflowPunct/>
        <w:topLinePunct w:val="0"/>
        <w:autoSpaceDE/>
        <w:autoSpaceDN/>
        <w:bidi w:val="0"/>
        <w:adjustRightIn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.3中标人如不按本投标须知第2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.1条的规定与招标人订立合同，则招标人将废除授标，给招标人造成损失的，应当予以赔偿，同时依法承担相应法律责任。</w:t>
      </w:r>
    </w:p>
    <w:p w14:paraId="409E7989">
      <w:pPr>
        <w:pageBreakBefore w:val="0"/>
        <w:kinsoku/>
        <w:wordWrap/>
        <w:overflowPunct/>
        <w:topLinePunct w:val="0"/>
        <w:autoSpaceDE/>
        <w:autoSpaceDN/>
        <w:bidi w:val="0"/>
        <w:adjustRightIn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.4中标人应当按照合同约定履行义务，完成中标项目，不得将中标项目转让（转包）给他人。</w:t>
      </w: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6582FD26">
      <w:pPr>
        <w:pStyle w:val="3"/>
        <w:rPr>
          <w:rFonts w:hint="eastAsia" w:ascii="宋体" w:hAnsi="宋体" w:cs="宋体"/>
          <w:color w:val="auto"/>
          <w:sz w:val="32"/>
          <w:szCs w:val="32"/>
          <w:highlight w:val="none"/>
        </w:rPr>
      </w:pPr>
      <w:bookmarkStart w:id="52" w:name="_Toc506107317"/>
      <w:bookmarkStart w:id="53" w:name="_Toc324404864"/>
      <w:bookmarkStart w:id="54" w:name="_Toc35424939"/>
      <w:bookmarkStart w:id="55" w:name="_Toc35947222"/>
      <w:bookmarkStart w:id="56" w:name="_Toc15058902"/>
      <w:bookmarkStart w:id="57" w:name="_Toc1648"/>
      <w:bookmarkStart w:id="58" w:name="_Toc35425105"/>
      <w:r>
        <w:rPr>
          <w:rFonts w:hint="eastAsia" w:ascii="宋体" w:hAnsi="宋体" w:cs="宋体"/>
          <w:color w:val="auto"/>
          <w:sz w:val="32"/>
          <w:szCs w:val="32"/>
          <w:highlight w:val="none"/>
        </w:rPr>
        <w:br w:type="page"/>
      </w:r>
      <w:r>
        <w:rPr>
          <w:rFonts w:hint="eastAsia" w:ascii="宋体" w:hAnsi="宋体" w:cs="宋体"/>
          <w:color w:val="auto"/>
          <w:sz w:val="32"/>
          <w:szCs w:val="32"/>
          <w:highlight w:val="none"/>
        </w:rPr>
        <w:t xml:space="preserve">第二章  </w:t>
      </w:r>
      <w:bookmarkEnd w:id="52"/>
      <w:bookmarkEnd w:id="53"/>
      <w:bookmarkEnd w:id="54"/>
      <w:bookmarkEnd w:id="55"/>
      <w:bookmarkEnd w:id="56"/>
      <w:bookmarkEnd w:id="57"/>
      <w:bookmarkEnd w:id="58"/>
      <w:r>
        <w:rPr>
          <w:rFonts w:hint="eastAsia" w:ascii="宋体" w:hAnsi="宋体" w:cs="宋体"/>
          <w:color w:val="auto"/>
          <w:sz w:val="32"/>
          <w:szCs w:val="32"/>
          <w:highlight w:val="none"/>
        </w:rPr>
        <w:t>资格审查办法</w:t>
      </w:r>
    </w:p>
    <w:p w14:paraId="0EDA6556">
      <w:pPr>
        <w:pStyle w:val="3"/>
        <w:keepNext/>
        <w:keepLines/>
        <w:pageBreakBefore w:val="0"/>
        <w:widowControl w:val="0"/>
        <w:kinsoku/>
        <w:wordWrap/>
        <w:overflowPunct/>
        <w:topLinePunct w:val="0"/>
        <w:autoSpaceDE/>
        <w:autoSpaceDN/>
        <w:bidi w:val="0"/>
        <w:adjustRightInd/>
        <w:snapToGrid/>
        <w:spacing w:before="93" w:beforeLines="30" w:after="93" w:afterLines="30" w:line="500" w:lineRule="exact"/>
        <w:textAlignment w:val="auto"/>
        <w:rPr>
          <w:rFonts w:hint="eastAsia" w:ascii="宋体" w:hAnsi="宋体" w:cs="宋体"/>
          <w:color w:val="auto"/>
          <w:sz w:val="28"/>
          <w:szCs w:val="28"/>
          <w:highlight w:val="none"/>
        </w:rPr>
      </w:pPr>
      <w:bookmarkStart w:id="59" w:name="_Toc324404865"/>
      <w:bookmarkStart w:id="60" w:name="_Toc35424940"/>
      <w:bookmarkStart w:id="61" w:name="_Toc35947223"/>
      <w:bookmarkStart w:id="62" w:name="_Toc15058903"/>
      <w:bookmarkStart w:id="63" w:name="_Toc35425106"/>
      <w:bookmarkStart w:id="64" w:name="_Toc506107318"/>
      <w:bookmarkStart w:id="65" w:name="_Toc19012"/>
      <w:r>
        <w:rPr>
          <w:rFonts w:hint="eastAsia" w:ascii="宋体" w:hAnsi="宋体" w:cs="宋体"/>
          <w:color w:val="auto"/>
          <w:sz w:val="28"/>
          <w:szCs w:val="28"/>
          <w:highlight w:val="none"/>
        </w:rPr>
        <w:t>资格审查办法前附表</w:t>
      </w:r>
      <w:bookmarkEnd w:id="59"/>
      <w:bookmarkEnd w:id="60"/>
      <w:bookmarkEnd w:id="61"/>
      <w:bookmarkEnd w:id="62"/>
      <w:bookmarkEnd w:id="63"/>
      <w:bookmarkEnd w:id="64"/>
      <w:bookmarkEnd w:id="65"/>
    </w:p>
    <w:tbl>
      <w:tblPr>
        <w:tblStyle w:val="48"/>
        <w:tblW w:w="100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57"/>
        <w:gridCol w:w="4558"/>
        <w:gridCol w:w="3840"/>
      </w:tblGrid>
      <w:tr w14:paraId="00F2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61" w:type="dxa"/>
            <w:gridSpan w:val="2"/>
            <w:noWrap w:val="0"/>
            <w:vAlign w:val="center"/>
          </w:tcPr>
          <w:p w14:paraId="141342F3">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4558" w:type="dxa"/>
            <w:noWrap w:val="0"/>
            <w:vAlign w:val="center"/>
          </w:tcPr>
          <w:p w14:paraId="4E368E99">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3840" w:type="dxa"/>
            <w:noWrap w:val="0"/>
            <w:vAlign w:val="center"/>
          </w:tcPr>
          <w:p w14:paraId="4A34FD65">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109E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04" w:type="dxa"/>
            <w:vMerge w:val="restart"/>
            <w:noWrap w:val="0"/>
            <w:vAlign w:val="center"/>
          </w:tcPr>
          <w:p w14:paraId="259B2C85">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957" w:type="dxa"/>
            <w:vMerge w:val="restart"/>
            <w:noWrap w:val="0"/>
            <w:vAlign w:val="center"/>
          </w:tcPr>
          <w:p w14:paraId="0A6C76D4">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评审</w:t>
            </w:r>
          </w:p>
          <w:p w14:paraId="49304128">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标准</w:t>
            </w:r>
          </w:p>
        </w:tc>
        <w:tc>
          <w:tcPr>
            <w:tcW w:w="4558" w:type="dxa"/>
            <w:noWrap w:val="0"/>
            <w:vAlign w:val="center"/>
          </w:tcPr>
          <w:p w14:paraId="3E5EC479">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法定代表人证明文件和本人有效身份证(或法定代表人授权委托书原件和委托代理人身份证) </w:t>
            </w:r>
          </w:p>
        </w:tc>
        <w:tc>
          <w:tcPr>
            <w:tcW w:w="3840" w:type="dxa"/>
            <w:noWrap w:val="0"/>
            <w:vAlign w:val="center"/>
          </w:tcPr>
          <w:p w14:paraId="46749417">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原件</w:t>
            </w:r>
          </w:p>
        </w:tc>
      </w:tr>
      <w:tr w14:paraId="684D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4" w:type="dxa"/>
            <w:vMerge w:val="continue"/>
            <w:noWrap w:val="0"/>
            <w:vAlign w:val="center"/>
          </w:tcPr>
          <w:p w14:paraId="5EEBD280">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p>
        </w:tc>
        <w:tc>
          <w:tcPr>
            <w:tcW w:w="957" w:type="dxa"/>
            <w:vMerge w:val="continue"/>
            <w:noWrap w:val="0"/>
            <w:vAlign w:val="center"/>
          </w:tcPr>
          <w:p w14:paraId="72531FA0">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p>
        </w:tc>
        <w:tc>
          <w:tcPr>
            <w:tcW w:w="4558" w:type="dxa"/>
            <w:noWrap w:val="0"/>
            <w:vAlign w:val="center"/>
          </w:tcPr>
          <w:p w14:paraId="5CD14D8C">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诚信投标承诺书</w:t>
            </w:r>
          </w:p>
        </w:tc>
        <w:tc>
          <w:tcPr>
            <w:tcW w:w="3840" w:type="dxa"/>
            <w:noWrap w:val="0"/>
            <w:vAlign w:val="center"/>
          </w:tcPr>
          <w:p w14:paraId="403AB2D5">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格式见附件</w:t>
            </w:r>
          </w:p>
        </w:tc>
      </w:tr>
      <w:tr w14:paraId="6C8D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4" w:type="dxa"/>
            <w:vMerge w:val="continue"/>
            <w:noWrap w:val="0"/>
            <w:vAlign w:val="center"/>
          </w:tcPr>
          <w:p w14:paraId="46AFA2FC">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p>
        </w:tc>
        <w:tc>
          <w:tcPr>
            <w:tcW w:w="957" w:type="dxa"/>
            <w:vMerge w:val="continue"/>
            <w:noWrap w:val="0"/>
            <w:vAlign w:val="center"/>
          </w:tcPr>
          <w:p w14:paraId="25C12885">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p>
        </w:tc>
        <w:tc>
          <w:tcPr>
            <w:tcW w:w="4558" w:type="dxa"/>
            <w:noWrap w:val="0"/>
            <w:vAlign w:val="center"/>
          </w:tcPr>
          <w:p w14:paraId="2A48097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企业法人营业执照（或三证合一的有效证件）</w:t>
            </w:r>
          </w:p>
        </w:tc>
        <w:tc>
          <w:tcPr>
            <w:tcW w:w="3840" w:type="dxa"/>
            <w:noWrap w:val="0"/>
            <w:vAlign w:val="center"/>
          </w:tcPr>
          <w:p w14:paraId="08EDDAEF">
            <w:pPr>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原件或复印件加盖公章</w:t>
            </w:r>
          </w:p>
        </w:tc>
      </w:tr>
    </w:tbl>
    <w:p w14:paraId="7294B42E">
      <w:pPr>
        <w:pageBreakBefore w:val="0"/>
        <w:widowControl w:val="0"/>
        <w:kinsoku/>
        <w:wordWrap/>
        <w:overflowPunct/>
        <w:topLinePunct w:val="0"/>
        <w:autoSpaceDE/>
        <w:autoSpaceDN/>
        <w:bidi w:val="0"/>
        <w:adjustRightInd/>
        <w:snapToGrid/>
        <w:spacing w:before="93" w:beforeLines="30" w:after="93" w:afterLines="30" w:line="500" w:lineRule="exact"/>
        <w:ind w:firstLine="422" w:firstLineChars="200"/>
        <w:textAlignment w:val="auto"/>
        <w:outlineLvl w:val="1"/>
        <w:rPr>
          <w:rFonts w:hint="eastAsia" w:ascii="宋体" w:hAnsi="宋体" w:cs="宋体"/>
          <w:b/>
          <w:bCs/>
          <w:color w:val="auto"/>
          <w:szCs w:val="21"/>
          <w:highlight w:val="none"/>
        </w:rPr>
      </w:pPr>
      <w:bookmarkStart w:id="66" w:name="_Toc15058904"/>
      <w:bookmarkStart w:id="67" w:name="_Toc506107319"/>
      <w:bookmarkStart w:id="68" w:name="_Toc324404866"/>
      <w:bookmarkStart w:id="69" w:name="_Toc19818"/>
      <w:bookmarkStart w:id="70" w:name="_Toc35947224"/>
      <w:bookmarkStart w:id="71" w:name="_Toc35425107"/>
      <w:bookmarkStart w:id="72" w:name="_Toc35424941"/>
      <w:r>
        <w:rPr>
          <w:rFonts w:hint="eastAsia" w:ascii="宋体" w:hAnsi="宋体" w:cs="宋体"/>
          <w:b/>
          <w:bCs/>
          <w:color w:val="auto"/>
          <w:szCs w:val="21"/>
          <w:highlight w:val="none"/>
        </w:rPr>
        <w:t>1.审查资料</w:t>
      </w:r>
      <w:bookmarkEnd w:id="66"/>
      <w:bookmarkEnd w:id="67"/>
      <w:bookmarkEnd w:id="68"/>
      <w:bookmarkEnd w:id="69"/>
      <w:bookmarkEnd w:id="70"/>
      <w:bookmarkEnd w:id="71"/>
      <w:bookmarkEnd w:id="72"/>
    </w:p>
    <w:p w14:paraId="2E0D7556">
      <w:pPr>
        <w:pageBreakBefore w:val="0"/>
        <w:widowControl w:val="0"/>
        <w:kinsoku/>
        <w:wordWrap/>
        <w:overflowPunct/>
        <w:topLinePunct w:val="0"/>
        <w:autoSpaceDE/>
        <w:autoSpaceDN/>
        <w:bidi w:val="0"/>
        <w:adjustRightInd/>
        <w:snapToGrid/>
        <w:spacing w:line="500" w:lineRule="exact"/>
        <w:ind w:left="10" w:right="-94" w:rightChars="-45" w:firstLine="420" w:firstLineChars="200"/>
        <w:jc w:val="left"/>
        <w:textAlignment w:val="auto"/>
        <w:rPr>
          <w:rFonts w:hint="eastAsia" w:ascii="宋体" w:hAnsi="宋体" w:cs="宋体"/>
          <w:color w:val="auto"/>
          <w:szCs w:val="21"/>
          <w:highlight w:val="none"/>
        </w:rPr>
      </w:pPr>
      <w:bookmarkStart w:id="73" w:name="_Toc506107320"/>
      <w:bookmarkStart w:id="74" w:name="_Toc35424942"/>
      <w:bookmarkStart w:id="75" w:name="_Toc324404867"/>
      <w:bookmarkStart w:id="76" w:name="_Toc35425108"/>
      <w:bookmarkStart w:id="77" w:name="_Toc35947225"/>
      <w:bookmarkStart w:id="78" w:name="_Toc15058909"/>
      <w:bookmarkStart w:id="79" w:name="_Toc27268"/>
      <w:r>
        <w:rPr>
          <w:rFonts w:hint="eastAsia" w:ascii="宋体" w:hAnsi="宋体" w:cs="宋体"/>
          <w:color w:val="auto"/>
          <w:szCs w:val="21"/>
          <w:highlight w:val="none"/>
        </w:rPr>
        <w:t xml:space="preserve">①法定代表人身份证明文件和本人有效身份证(或法定代表人授权委托书原件和委托代理人有效身份证)； </w:t>
      </w:r>
    </w:p>
    <w:p w14:paraId="186F53DE">
      <w:pPr>
        <w:pageBreakBefore w:val="0"/>
        <w:widowControl w:val="0"/>
        <w:kinsoku/>
        <w:wordWrap/>
        <w:overflowPunct/>
        <w:topLinePunct w:val="0"/>
        <w:autoSpaceDE/>
        <w:autoSpaceDN/>
        <w:bidi w:val="0"/>
        <w:adjustRightInd/>
        <w:snapToGrid/>
        <w:spacing w:line="500" w:lineRule="exact"/>
        <w:ind w:left="10" w:right="-94" w:rightChars="-45"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②诚信投标承诺书</w:t>
      </w:r>
      <w:r>
        <w:rPr>
          <w:rFonts w:hint="eastAsia" w:ascii="宋体" w:hAnsi="宋体" w:cs="宋体"/>
          <w:color w:val="auto"/>
          <w:szCs w:val="21"/>
          <w:highlight w:val="none"/>
          <w:lang w:eastAsia="zh-CN"/>
        </w:rPr>
        <w:t>；</w:t>
      </w:r>
    </w:p>
    <w:p w14:paraId="041A0415">
      <w:pPr>
        <w:pageBreakBefore w:val="0"/>
        <w:widowControl w:val="0"/>
        <w:kinsoku/>
        <w:wordWrap/>
        <w:overflowPunct/>
        <w:topLinePunct w:val="0"/>
        <w:autoSpaceDE/>
        <w:autoSpaceDN/>
        <w:bidi w:val="0"/>
        <w:adjustRightInd/>
        <w:snapToGrid/>
        <w:spacing w:line="50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③企业法人营业执照（或三证合一的有效证件）；</w:t>
      </w:r>
    </w:p>
    <w:p w14:paraId="18C6BE23">
      <w:pPr>
        <w:pageBreakBefore w:val="0"/>
        <w:widowControl w:val="0"/>
        <w:kinsoku/>
        <w:wordWrap/>
        <w:overflowPunct/>
        <w:topLinePunct w:val="0"/>
        <w:autoSpaceDE/>
        <w:autoSpaceDN/>
        <w:bidi w:val="0"/>
        <w:adjustRightInd/>
        <w:snapToGrid/>
        <w:spacing w:before="93" w:beforeLines="30" w:after="93" w:afterLines="30" w:line="500" w:lineRule="exact"/>
        <w:ind w:firstLine="422" w:firstLineChars="200"/>
        <w:textAlignment w:val="auto"/>
        <w:outlineLvl w:val="1"/>
        <w:rPr>
          <w:rFonts w:hint="eastAsia" w:ascii="宋体" w:hAnsi="宋体" w:cs="宋体"/>
          <w:b/>
          <w:bCs/>
          <w:color w:val="auto"/>
          <w:szCs w:val="21"/>
          <w:highlight w:val="none"/>
        </w:rPr>
      </w:pPr>
      <w:r>
        <w:rPr>
          <w:rFonts w:hint="eastAsia" w:ascii="宋体" w:hAnsi="宋体" w:cs="宋体"/>
          <w:b/>
          <w:bCs/>
          <w:color w:val="auto"/>
          <w:szCs w:val="21"/>
          <w:highlight w:val="none"/>
        </w:rPr>
        <w:t>2.审查办法</w:t>
      </w:r>
      <w:bookmarkEnd w:id="73"/>
      <w:bookmarkEnd w:id="74"/>
      <w:bookmarkEnd w:id="75"/>
      <w:bookmarkEnd w:id="76"/>
      <w:bookmarkEnd w:id="77"/>
      <w:bookmarkEnd w:id="78"/>
      <w:bookmarkEnd w:id="79"/>
    </w:p>
    <w:p w14:paraId="6B24CAEB">
      <w:pPr>
        <w:pageBreakBefore w:val="0"/>
        <w:widowControl w:val="0"/>
        <w:kinsoku/>
        <w:wordWrap/>
        <w:overflowPunct/>
        <w:topLinePunct w:val="0"/>
        <w:autoSpaceDE/>
        <w:autoSpaceDN/>
        <w:bidi w:val="0"/>
        <w:adjustRightInd/>
        <w:snapToGrid/>
        <w:spacing w:line="50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2.1由资格审查委员会（评标委员会）按资格审查办法前附表中资格审查必要合格条件评审表要求对投标人审查资料进行核验。投标人有下列情形之一的，其资格审查为不合格：</w:t>
      </w:r>
      <w:bookmarkStart w:id="80" w:name="_Toc324404868"/>
      <w:bookmarkStart w:id="81" w:name="_Toc506107321"/>
      <w:bookmarkStart w:id="82" w:name="_Toc21611171"/>
    </w:p>
    <w:p w14:paraId="10C92959">
      <w:pPr>
        <w:pageBreakBefore w:val="0"/>
        <w:widowControl w:val="0"/>
        <w:kinsoku/>
        <w:wordWrap/>
        <w:overflowPunct/>
        <w:topLinePunct w:val="0"/>
        <w:autoSpaceDE/>
        <w:autoSpaceDN/>
        <w:bidi w:val="0"/>
        <w:adjustRightInd/>
        <w:snapToGrid/>
        <w:spacing w:line="50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）不能按要求提供证明材料或证明材料经审查不合格；</w:t>
      </w:r>
    </w:p>
    <w:p w14:paraId="3465BF43">
      <w:pPr>
        <w:pageBreakBefore w:val="0"/>
        <w:widowControl w:val="0"/>
        <w:kinsoku/>
        <w:wordWrap/>
        <w:overflowPunct/>
        <w:topLinePunct w:val="0"/>
        <w:autoSpaceDE/>
        <w:autoSpaceDN/>
        <w:bidi w:val="0"/>
        <w:adjustRightInd/>
        <w:snapToGrid/>
        <w:spacing w:line="500" w:lineRule="exact"/>
        <w:ind w:left="11" w:right="-94" w:rightChars="-45"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bookmarkEnd w:id="80"/>
    <w:bookmarkEnd w:id="81"/>
    <w:bookmarkEnd w:id="82"/>
    <w:p w14:paraId="33670DD1">
      <w:pPr>
        <w:pageBreakBefore w:val="0"/>
        <w:widowControl w:val="0"/>
        <w:kinsoku/>
        <w:wordWrap/>
        <w:overflowPunct/>
        <w:topLinePunct w:val="0"/>
        <w:autoSpaceDE/>
        <w:autoSpaceDN/>
        <w:bidi w:val="0"/>
        <w:adjustRightInd/>
        <w:snapToGrid/>
        <w:spacing w:line="500" w:lineRule="exact"/>
        <w:ind w:firstLine="422" w:firstLineChars="200"/>
        <w:textAlignment w:val="auto"/>
        <w:outlineLvl w:val="1"/>
        <w:rPr>
          <w:rFonts w:hint="eastAsia" w:ascii="宋体" w:hAnsi="宋体" w:cs="宋体"/>
          <w:b/>
          <w:bCs/>
          <w:color w:val="auto"/>
          <w:szCs w:val="21"/>
          <w:highlight w:val="none"/>
        </w:rPr>
      </w:pPr>
      <w:bookmarkStart w:id="83" w:name="_Toc506107322"/>
      <w:bookmarkStart w:id="84" w:name="_Toc324404869"/>
      <w:bookmarkStart w:id="85" w:name="_Toc21611172"/>
      <w:bookmarkStart w:id="86" w:name="_Toc21950"/>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.审查结果</w:t>
      </w:r>
      <w:bookmarkEnd w:id="83"/>
      <w:bookmarkEnd w:id="84"/>
      <w:bookmarkEnd w:id="85"/>
      <w:bookmarkEnd w:id="86"/>
    </w:p>
    <w:p w14:paraId="2F3897E4">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p w14:paraId="60125227">
      <w:pPr>
        <w:pStyle w:val="3"/>
        <w:keepNext/>
        <w:keepLines/>
        <w:pageBreakBefore w:val="0"/>
        <w:widowControl w:val="0"/>
        <w:kinsoku/>
        <w:wordWrap/>
        <w:overflowPunct/>
        <w:topLinePunct w:val="0"/>
        <w:autoSpaceDE/>
        <w:autoSpaceDN/>
        <w:bidi w:val="0"/>
        <w:adjustRightInd/>
        <w:snapToGrid/>
        <w:spacing w:before="93" w:beforeLines="30" w:after="93" w:afterLines="30" w:line="500" w:lineRule="exact"/>
        <w:textAlignment w:val="auto"/>
        <w:rPr>
          <w:rFonts w:hint="eastAsia" w:ascii="宋体" w:hAnsi="宋体" w:cs="宋体"/>
          <w:color w:val="auto"/>
          <w:sz w:val="28"/>
          <w:szCs w:val="28"/>
          <w:highlight w:val="none"/>
        </w:rPr>
      </w:pPr>
      <w:bookmarkStart w:id="87" w:name="_Toc26446"/>
      <w:bookmarkStart w:id="88" w:name="_Toc11688"/>
      <w:r>
        <w:rPr>
          <w:rFonts w:hint="eastAsia" w:ascii="宋体" w:hAnsi="宋体" w:cs="宋体"/>
          <w:color w:val="auto"/>
          <w:sz w:val="28"/>
          <w:szCs w:val="28"/>
          <w:highlight w:val="none"/>
        </w:rPr>
        <w:br w:type="page"/>
      </w:r>
      <w:r>
        <w:rPr>
          <w:rFonts w:hint="eastAsia" w:ascii="宋体" w:hAnsi="宋体" w:cs="宋体"/>
          <w:color w:val="auto"/>
          <w:sz w:val="28"/>
          <w:szCs w:val="28"/>
          <w:highlight w:val="none"/>
          <w:lang w:val="en-US" w:eastAsia="zh-CN"/>
        </w:rPr>
        <w:t xml:space="preserve">第三章 </w:t>
      </w:r>
      <w:r>
        <w:rPr>
          <w:rFonts w:hint="eastAsia" w:ascii="宋体" w:hAnsi="宋体" w:eastAsia="宋体" w:cs="宋体"/>
          <w:b/>
          <w:bCs/>
          <w:color w:val="auto"/>
          <w:sz w:val="28"/>
          <w:szCs w:val="28"/>
          <w:highlight w:val="none"/>
        </w:rPr>
        <w:t>评标办法</w:t>
      </w:r>
      <w:bookmarkEnd w:id="87"/>
      <w:bookmarkEnd w:id="88"/>
    </w:p>
    <w:bookmarkEnd w:id="41"/>
    <w:p w14:paraId="21EBF605">
      <w:pPr>
        <w:keepNext/>
        <w:keepLines/>
        <w:pageBreakBefore w:val="0"/>
        <w:widowControl/>
        <w:numPr>
          <w:ilvl w:val="0"/>
          <w:numId w:val="0"/>
        </w:numPr>
        <w:kinsoku/>
        <w:wordWrap/>
        <w:overflowPunct/>
        <w:topLinePunct w:val="0"/>
        <w:autoSpaceDE/>
        <w:autoSpaceDN/>
        <w:bidi w:val="0"/>
        <w:adjustRightInd/>
        <w:snapToGrid/>
        <w:spacing w:line="500" w:lineRule="exact"/>
        <w:jc w:val="center"/>
        <w:textAlignment w:val="auto"/>
        <w:outlineLvl w:val="2"/>
        <w:rPr>
          <w:rFonts w:hint="eastAsia" w:ascii="宋体" w:hAnsi="宋体"/>
          <w:b/>
          <w:bCs/>
          <w:color w:val="auto"/>
          <w:kern w:val="0"/>
          <w:sz w:val="21"/>
          <w:szCs w:val="21"/>
          <w:highlight w:val="none"/>
          <w:u w:val="none"/>
        </w:rPr>
      </w:pPr>
      <w:bookmarkStart w:id="89" w:name="_Toc22387"/>
      <w:bookmarkStart w:id="90" w:name="_Toc449028877"/>
      <w:bookmarkStart w:id="91" w:name="_Toc267320058"/>
      <w:bookmarkStart w:id="92" w:name="_Toc362983801"/>
      <w:bookmarkStart w:id="93" w:name="_Toc363135205"/>
      <w:bookmarkStart w:id="94" w:name="_Toc14365"/>
      <w:bookmarkStart w:id="95" w:name="_Toc13858"/>
      <w:bookmarkStart w:id="96" w:name="_Toc120136056"/>
      <w:bookmarkStart w:id="97" w:name="_Toc11685"/>
      <w:bookmarkStart w:id="98" w:name="_Toc9592"/>
      <w:bookmarkStart w:id="99" w:name="_Toc24057_WPSOffice_Level1"/>
      <w:r>
        <w:rPr>
          <w:rFonts w:hint="eastAsia" w:ascii="宋体" w:hAnsi="宋体"/>
          <w:b/>
          <w:bCs/>
          <w:color w:val="auto"/>
          <w:kern w:val="0"/>
          <w:sz w:val="21"/>
          <w:szCs w:val="21"/>
          <w:highlight w:val="none"/>
          <w:u w:val="none"/>
        </w:rPr>
        <w:t>一  总则</w:t>
      </w:r>
    </w:p>
    <w:p w14:paraId="6187C6F0">
      <w:pPr>
        <w:pageBreakBefore w:val="0"/>
        <w:kinsoku/>
        <w:wordWrap/>
        <w:overflowPunct/>
        <w:topLinePunct w:val="0"/>
        <w:autoSpaceDE/>
        <w:autoSpaceDN/>
        <w:bidi w:val="0"/>
        <w:adjustRightInd/>
        <w:spacing w:line="500" w:lineRule="exact"/>
        <w:ind w:left="0" w:right="0" w:firstLine="316"/>
        <w:jc w:val="left"/>
        <w:textAlignment w:val="auto"/>
        <w:rPr>
          <w:rFonts w:hint="default" w:ascii="宋体" w:hAnsi="宋体" w:eastAsia="宋体"/>
          <w:b/>
          <w:color w:val="auto"/>
          <w:sz w:val="21"/>
          <w:szCs w:val="21"/>
          <w:highlight w:val="none"/>
          <w:lang w:val="en-US"/>
        </w:rPr>
      </w:pPr>
      <w:r>
        <w:rPr>
          <w:rFonts w:hint="eastAsia" w:ascii="宋体" w:hAnsi="宋体" w:eastAsia="宋体"/>
          <w:b/>
          <w:color w:val="auto"/>
          <w:sz w:val="21"/>
          <w:szCs w:val="21"/>
          <w:highlight w:val="none"/>
        </w:rPr>
        <w:t xml:space="preserve">1. </w:t>
      </w:r>
      <w:r>
        <w:rPr>
          <w:rFonts w:hint="eastAsia" w:ascii="宋体" w:hAnsi="宋体"/>
          <w:b/>
          <w:color w:val="auto"/>
          <w:sz w:val="21"/>
          <w:szCs w:val="21"/>
          <w:highlight w:val="none"/>
        </w:rPr>
        <w:t>本次评标采用</w:t>
      </w:r>
      <w:r>
        <w:rPr>
          <w:rFonts w:hint="eastAsia" w:ascii="宋体" w:hAnsi="宋体"/>
          <w:b/>
          <w:color w:val="auto"/>
          <w:sz w:val="21"/>
          <w:szCs w:val="21"/>
          <w:highlight w:val="none"/>
          <w:lang w:val="en-US" w:eastAsia="zh-CN"/>
        </w:rPr>
        <w:t>最低评标价法</w:t>
      </w:r>
    </w:p>
    <w:p w14:paraId="67FD93C1">
      <w:pPr>
        <w:pageBreakBefore w:val="0"/>
        <w:kinsoku/>
        <w:wordWrap/>
        <w:overflowPunct/>
        <w:topLinePunct w:val="0"/>
        <w:autoSpaceDE/>
        <w:autoSpaceDN/>
        <w:bidi w:val="0"/>
        <w:adjustRightInd/>
        <w:spacing w:line="500" w:lineRule="exact"/>
        <w:ind w:left="0" w:right="0" w:firstLine="422"/>
        <w:jc w:val="left"/>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投标单位报价不得高于最高投标限价。否则，将按无效标处理。按有效报价最低的原则，推荐有效投标报价最低的为第一中标候选人，次低的为第二中标候选人，依次类推，推荐3名中标候选人，并标明排序，但投标报价低于其成本的除外。有效投标报价最低的有效投标人有两名或两名以上相同时，由招标人抽签确定第一中标候选人。</w:t>
      </w:r>
    </w:p>
    <w:p w14:paraId="5B30B3D0">
      <w:pPr>
        <w:pageBreakBefore w:val="0"/>
        <w:kinsoku/>
        <w:wordWrap/>
        <w:overflowPunct/>
        <w:topLinePunct w:val="0"/>
        <w:autoSpaceDE/>
        <w:autoSpaceDN/>
        <w:bidi w:val="0"/>
        <w:adjustRightInd/>
        <w:spacing w:line="500" w:lineRule="exact"/>
        <w:ind w:left="0" w:right="0" w:firstLine="422"/>
        <w:jc w:val="left"/>
        <w:textAlignment w:val="auto"/>
        <w:rPr>
          <w:rFonts w:hint="eastAsia" w:ascii="宋体" w:hAnsi="宋体" w:eastAsia="宋体"/>
          <w:color w:val="auto"/>
          <w:sz w:val="21"/>
          <w:szCs w:val="21"/>
          <w:highlight w:val="none"/>
          <w:lang w:val="en-US" w:eastAsia="zh-CN"/>
        </w:rPr>
      </w:pPr>
      <w:r>
        <w:rPr>
          <w:rFonts w:hint="eastAsia" w:ascii="宋体" w:hAnsi="宋体" w:eastAsia="宋体"/>
          <w:b/>
          <w:color w:val="auto"/>
          <w:sz w:val="21"/>
          <w:szCs w:val="21"/>
          <w:highlight w:val="none"/>
        </w:rPr>
        <w:t>2</w:t>
      </w:r>
      <w:r>
        <w:rPr>
          <w:rFonts w:hint="eastAsia" w:ascii="宋体" w:hAnsi="宋体"/>
          <w:b/>
          <w:color w:val="auto"/>
          <w:sz w:val="21"/>
          <w:szCs w:val="21"/>
          <w:highlight w:val="none"/>
        </w:rPr>
        <w:t>．评标程序</w:t>
      </w:r>
    </w:p>
    <w:p w14:paraId="4E23EE4F">
      <w:pPr>
        <w:pageBreakBefore w:val="0"/>
        <w:kinsoku/>
        <w:wordWrap/>
        <w:overflowPunct/>
        <w:topLinePunct w:val="0"/>
        <w:autoSpaceDE/>
        <w:autoSpaceDN/>
        <w:bidi w:val="0"/>
        <w:adjustRightInd/>
        <w:spacing w:line="500" w:lineRule="exact"/>
        <w:ind w:left="0" w:right="0" w:firstLine="42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2.1</w:t>
      </w:r>
      <w:r>
        <w:rPr>
          <w:rFonts w:hint="eastAsia" w:ascii="宋体" w:hAnsi="宋体"/>
          <w:color w:val="auto"/>
          <w:sz w:val="21"/>
          <w:szCs w:val="21"/>
          <w:highlight w:val="none"/>
        </w:rPr>
        <w:t>投标文件的初审</w:t>
      </w:r>
    </w:p>
    <w:p w14:paraId="72F5BC68">
      <w:pPr>
        <w:pageBreakBefore w:val="0"/>
        <w:kinsoku/>
        <w:wordWrap/>
        <w:overflowPunct/>
        <w:topLinePunct w:val="0"/>
        <w:autoSpaceDE/>
        <w:autoSpaceDN/>
        <w:bidi w:val="0"/>
        <w:adjustRightInd/>
        <w:spacing w:line="500" w:lineRule="exact"/>
        <w:ind w:left="0" w:right="0" w:firstLine="42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2.1.1</w:t>
      </w:r>
      <w:r>
        <w:rPr>
          <w:rFonts w:hint="eastAsia" w:ascii="宋体" w:hAnsi="宋体"/>
          <w:color w:val="auto"/>
          <w:sz w:val="21"/>
          <w:szCs w:val="21"/>
          <w:highlight w:val="none"/>
        </w:rPr>
        <w:t xml:space="preserve">资格性检查。依据法律法规和招标文件的规定，对投标文件中的资格证明等进行审查，以确定投标人是否具备投标资格。 </w:t>
      </w:r>
    </w:p>
    <w:p w14:paraId="75C441A8">
      <w:pPr>
        <w:pageBreakBefore w:val="0"/>
        <w:kinsoku/>
        <w:wordWrap/>
        <w:overflowPunct/>
        <w:topLinePunct w:val="0"/>
        <w:autoSpaceDE/>
        <w:autoSpaceDN/>
        <w:bidi w:val="0"/>
        <w:adjustRightInd/>
        <w:spacing w:line="500" w:lineRule="exact"/>
        <w:ind w:left="0" w:right="0" w:firstLine="42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2.1.2</w:t>
      </w:r>
      <w:r>
        <w:rPr>
          <w:rFonts w:hint="eastAsia" w:ascii="宋体" w:hAnsi="宋体"/>
          <w:color w:val="auto"/>
          <w:sz w:val="21"/>
          <w:szCs w:val="21"/>
          <w:highlight w:val="none"/>
        </w:rPr>
        <w:t>符合性检查。依据招标文件的规定，从投标文件的有效性、完整性和对招标文件的响应程度进行审查，以确定投标人是否对招标文件的实质性要求作出响应。</w:t>
      </w:r>
    </w:p>
    <w:p w14:paraId="1910F830">
      <w:pPr>
        <w:pageBreakBefore w:val="0"/>
        <w:kinsoku/>
        <w:wordWrap/>
        <w:overflowPunct/>
        <w:topLinePunct w:val="0"/>
        <w:autoSpaceDE/>
        <w:autoSpaceDN/>
        <w:bidi w:val="0"/>
        <w:adjustRightInd/>
        <w:spacing w:line="500" w:lineRule="exact"/>
        <w:ind w:left="0" w:right="0" w:firstLine="42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2.2</w:t>
      </w:r>
      <w:r>
        <w:rPr>
          <w:rFonts w:hint="eastAsia" w:ascii="宋体" w:hAnsi="宋体"/>
          <w:color w:val="auto"/>
          <w:sz w:val="21"/>
          <w:szCs w:val="21"/>
          <w:highlight w:val="none"/>
        </w:rPr>
        <w:t>投标文件的澄清</w:t>
      </w:r>
    </w:p>
    <w:p w14:paraId="527F5A55">
      <w:pPr>
        <w:pageBreakBefore w:val="0"/>
        <w:kinsoku/>
        <w:wordWrap/>
        <w:overflowPunct/>
        <w:topLinePunct w:val="0"/>
        <w:autoSpaceDE/>
        <w:autoSpaceDN/>
        <w:bidi w:val="0"/>
        <w:adjustRightInd/>
        <w:spacing w:line="500" w:lineRule="exact"/>
        <w:ind w:left="0" w:right="0" w:firstLine="42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2.2.1</w:t>
      </w:r>
      <w:r>
        <w:rPr>
          <w:rFonts w:hint="eastAsia" w:ascii="宋体" w:hAnsi="宋体"/>
          <w:color w:val="auto"/>
          <w:sz w:val="21"/>
          <w:szCs w:val="21"/>
          <w:highlight w:val="none"/>
        </w:rPr>
        <w:t>在评标过程中，评审小组认为需要，在</w:t>
      </w:r>
      <w:r>
        <w:rPr>
          <w:rFonts w:hint="eastAsia" w:ascii="宋体" w:hAnsi="宋体"/>
          <w:color w:val="auto"/>
          <w:sz w:val="21"/>
          <w:szCs w:val="21"/>
          <w:highlight w:val="none"/>
          <w:lang w:val="en-US" w:eastAsia="zh-CN"/>
        </w:rPr>
        <w:t>相关部门</w:t>
      </w:r>
      <w:r>
        <w:rPr>
          <w:rFonts w:hint="eastAsia" w:ascii="宋体" w:hAnsi="宋体"/>
          <w:color w:val="auto"/>
          <w:sz w:val="21"/>
          <w:szCs w:val="21"/>
          <w:highlight w:val="none"/>
        </w:rPr>
        <w:t xml:space="preserve">在场的情况下，可要求投标单位对投标文件中的有关问题进行澄清或提供补充说明及有关资料，投标单位应做出书面答复。书面答复中不得变更价格、服务期、自报质量标准等实质性内容。 </w:t>
      </w:r>
    </w:p>
    <w:p w14:paraId="4056FEA4">
      <w:pPr>
        <w:pageBreakBefore w:val="0"/>
        <w:kinsoku/>
        <w:wordWrap/>
        <w:overflowPunct/>
        <w:topLinePunct w:val="0"/>
        <w:autoSpaceDE/>
        <w:autoSpaceDN/>
        <w:bidi w:val="0"/>
        <w:adjustRightInd/>
        <w:spacing w:line="500" w:lineRule="exact"/>
        <w:ind w:left="0" w:right="0" w:firstLine="42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2.3</w:t>
      </w:r>
      <w:r>
        <w:rPr>
          <w:rFonts w:hint="eastAsia" w:ascii="宋体" w:hAnsi="宋体"/>
          <w:color w:val="auto"/>
          <w:sz w:val="21"/>
          <w:szCs w:val="21"/>
          <w:highlight w:val="none"/>
        </w:rPr>
        <w:t>比较与评价</w:t>
      </w:r>
    </w:p>
    <w:p w14:paraId="2D9CCD62">
      <w:pPr>
        <w:pageBreakBefore w:val="0"/>
        <w:kinsoku/>
        <w:wordWrap/>
        <w:overflowPunct/>
        <w:topLinePunct w:val="0"/>
        <w:autoSpaceDE/>
        <w:autoSpaceDN/>
        <w:bidi w:val="0"/>
        <w:adjustRightInd/>
        <w:spacing w:line="500" w:lineRule="exact"/>
        <w:ind w:left="0" w:right="0" w:firstLine="42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en-US" w:eastAsia="zh-CN"/>
        </w:rPr>
        <w:t>.3.1</w:t>
      </w:r>
      <w:r>
        <w:rPr>
          <w:rFonts w:hint="eastAsia" w:ascii="宋体" w:hAnsi="宋体"/>
          <w:color w:val="auto"/>
          <w:sz w:val="21"/>
          <w:szCs w:val="21"/>
          <w:highlight w:val="none"/>
        </w:rPr>
        <w:t xml:space="preserve">按招标文件中规定的评标方法和标准，对资格性检查和符合性检查合格的投标文件进行商务报价评审，综合比较与评价。 </w:t>
      </w:r>
      <w:r>
        <w:rPr>
          <w:rFonts w:hint="eastAsia" w:ascii="宋体" w:hAnsi="宋体" w:eastAsia="宋体"/>
          <w:color w:val="auto"/>
          <w:sz w:val="21"/>
          <w:szCs w:val="21"/>
          <w:highlight w:val="none"/>
        </w:rPr>
        <w:br w:type="textWrapping"/>
      </w:r>
      <w:r>
        <w:rPr>
          <w:rFonts w:hint="eastAsia" w:ascii="宋体" w:hAnsi="宋体" w:eastAsia="宋体"/>
          <w:color w:val="auto"/>
          <w:sz w:val="21"/>
          <w:szCs w:val="21"/>
          <w:highlight w:val="none"/>
        </w:rPr>
        <w:t xml:space="preserve">    2.4</w:t>
      </w:r>
      <w:r>
        <w:rPr>
          <w:rFonts w:hint="eastAsia" w:ascii="宋体" w:hAnsi="宋体"/>
          <w:color w:val="auto"/>
          <w:sz w:val="21"/>
          <w:szCs w:val="21"/>
          <w:highlight w:val="none"/>
        </w:rPr>
        <w:t>推荐中标候选人名单</w:t>
      </w:r>
    </w:p>
    <w:p w14:paraId="10E7755A">
      <w:pPr>
        <w:pageBreakBefore w:val="0"/>
        <w:kinsoku/>
        <w:wordWrap/>
        <w:overflowPunct/>
        <w:topLinePunct w:val="0"/>
        <w:autoSpaceDE/>
        <w:autoSpaceDN/>
        <w:bidi w:val="0"/>
        <w:adjustRightInd/>
        <w:spacing w:line="500" w:lineRule="exact"/>
        <w:ind w:left="0" w:right="0" w:firstLine="42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2.4.1</w:t>
      </w:r>
      <w:r>
        <w:rPr>
          <w:rFonts w:hint="eastAsia" w:ascii="宋体" w:hAnsi="宋体"/>
          <w:color w:val="auto"/>
          <w:sz w:val="21"/>
          <w:szCs w:val="21"/>
          <w:highlight w:val="none"/>
        </w:rPr>
        <w:t>中标候选人数量应当根据采购需要确定，但必须按顺序排列中标候选人。</w:t>
      </w:r>
    </w:p>
    <w:p w14:paraId="189CF070">
      <w:pPr>
        <w:pageBreakBefore w:val="0"/>
        <w:kinsoku/>
        <w:wordWrap/>
        <w:overflowPunct/>
        <w:topLinePunct w:val="0"/>
        <w:autoSpaceDE/>
        <w:autoSpaceDN/>
        <w:bidi w:val="0"/>
        <w:adjustRightInd/>
        <w:spacing w:line="500" w:lineRule="exact"/>
        <w:ind w:left="0" w:right="0" w:firstLine="42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2.5</w:t>
      </w:r>
      <w:r>
        <w:rPr>
          <w:rFonts w:hint="eastAsia" w:ascii="宋体" w:hAnsi="宋体"/>
          <w:color w:val="auto"/>
          <w:sz w:val="21"/>
          <w:szCs w:val="21"/>
          <w:highlight w:val="none"/>
        </w:rPr>
        <w:t>在投标文件的审查、澄清、评价和比较以及授予合同过程中，投标人对招标单位和评标委员会成员施加影响的任何行为，都将导致取消其中标资格。</w:t>
      </w:r>
    </w:p>
    <w:p w14:paraId="3E86823E">
      <w:pPr>
        <w:pageBreakBefore w:val="0"/>
        <w:kinsoku/>
        <w:wordWrap/>
        <w:overflowPunct/>
        <w:topLinePunct w:val="0"/>
        <w:autoSpaceDE/>
        <w:autoSpaceDN/>
        <w:bidi w:val="0"/>
        <w:adjustRightInd/>
        <w:spacing w:line="500" w:lineRule="exact"/>
        <w:ind w:left="0" w:right="0" w:firstLine="310"/>
        <w:textAlignment w:val="auto"/>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3</w:t>
      </w:r>
      <w:r>
        <w:rPr>
          <w:rFonts w:hint="eastAsia" w:ascii="宋体" w:hAnsi="宋体" w:eastAsia="宋体"/>
          <w:b/>
          <w:color w:val="auto"/>
          <w:sz w:val="21"/>
          <w:szCs w:val="21"/>
          <w:highlight w:val="none"/>
        </w:rPr>
        <w:t>.</w:t>
      </w:r>
      <w:r>
        <w:rPr>
          <w:rFonts w:hint="eastAsia" w:ascii="宋体" w:hAnsi="宋体"/>
          <w:b/>
          <w:color w:val="auto"/>
          <w:sz w:val="21"/>
          <w:szCs w:val="21"/>
          <w:highlight w:val="none"/>
        </w:rPr>
        <w:t>符合性审查</w:t>
      </w:r>
    </w:p>
    <w:p w14:paraId="2E478036">
      <w:pPr>
        <w:pageBreakBefore w:val="0"/>
        <w:kinsoku/>
        <w:wordWrap/>
        <w:overflowPunct/>
        <w:topLinePunct w:val="0"/>
        <w:autoSpaceDE/>
        <w:autoSpaceDN/>
        <w:bidi w:val="0"/>
        <w:adjustRightInd/>
        <w:spacing w:line="500" w:lineRule="exact"/>
        <w:ind w:left="0" w:right="0" w:firstLine="315"/>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w:t>
      </w:r>
      <w:r>
        <w:rPr>
          <w:rFonts w:hint="eastAsia" w:ascii="宋体" w:hAnsi="宋体"/>
          <w:color w:val="auto"/>
          <w:sz w:val="21"/>
          <w:szCs w:val="21"/>
          <w:highlight w:val="none"/>
        </w:rPr>
        <w:t>．</w:t>
      </w:r>
      <w:r>
        <w:rPr>
          <w:rFonts w:hint="eastAsia" w:ascii="宋体" w:hAnsi="宋体" w:eastAsia="宋体"/>
          <w:color w:val="auto"/>
          <w:sz w:val="21"/>
          <w:szCs w:val="21"/>
          <w:highlight w:val="none"/>
        </w:rPr>
        <w:t>1</w:t>
      </w:r>
      <w:r>
        <w:rPr>
          <w:rFonts w:hint="eastAsia" w:ascii="宋体" w:hAnsi="宋体"/>
          <w:color w:val="auto"/>
          <w:sz w:val="21"/>
          <w:szCs w:val="21"/>
          <w:highlight w:val="none"/>
        </w:rPr>
        <w:t>评审细则</w:t>
      </w:r>
    </w:p>
    <w:tbl>
      <w:tblPr>
        <w:tblStyle w:val="48"/>
        <w:tblW w:w="0" w:type="auto"/>
        <w:tblInd w:w="-108" w:type="dxa"/>
        <w:tblLayout w:type="fixed"/>
        <w:tblCellMar>
          <w:top w:w="0" w:type="dxa"/>
          <w:left w:w="108" w:type="dxa"/>
          <w:bottom w:w="0" w:type="dxa"/>
          <w:right w:w="108" w:type="dxa"/>
        </w:tblCellMar>
      </w:tblPr>
      <w:tblGrid>
        <w:gridCol w:w="731"/>
        <w:gridCol w:w="1204"/>
        <w:gridCol w:w="2931"/>
        <w:gridCol w:w="4173"/>
      </w:tblGrid>
      <w:tr w14:paraId="1F6C793A">
        <w:tblPrEx>
          <w:tblCellMar>
            <w:top w:w="0" w:type="dxa"/>
            <w:left w:w="108" w:type="dxa"/>
            <w:bottom w:w="0" w:type="dxa"/>
            <w:right w:w="108" w:type="dxa"/>
          </w:tblCellMar>
        </w:tblPrEx>
        <w:trPr>
          <w:trHeight w:val="410" w:hRule="atLeast"/>
        </w:trPr>
        <w:tc>
          <w:tcPr>
            <w:tcW w:w="731" w:type="dxa"/>
            <w:tcBorders>
              <w:top w:val="single" w:color="000000" w:sz="4" w:space="0"/>
              <w:left w:val="single" w:color="000000" w:sz="4" w:space="0"/>
              <w:bottom w:val="single" w:color="000000" w:sz="4" w:space="0"/>
              <w:right w:val="single" w:color="000000" w:sz="4" w:space="0"/>
            </w:tcBorders>
            <w:noWrap w:val="0"/>
            <w:vAlign w:val="center"/>
          </w:tcPr>
          <w:p w14:paraId="31D66112">
            <w:pPr>
              <w:pageBreakBefore w:val="0"/>
              <w:kinsoku/>
              <w:wordWrap/>
              <w:overflowPunct/>
              <w:topLinePunct w:val="0"/>
              <w:autoSpaceDE/>
              <w:autoSpaceDN/>
              <w:bidi w:val="0"/>
              <w:adjustRightInd/>
              <w:spacing w:line="500" w:lineRule="exact"/>
              <w:jc w:val="center"/>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序号</w:t>
            </w:r>
          </w:p>
        </w:tc>
        <w:tc>
          <w:tcPr>
            <w:tcW w:w="4135" w:type="dxa"/>
            <w:gridSpan w:val="2"/>
            <w:tcBorders>
              <w:top w:val="single" w:color="000000" w:sz="4" w:space="0"/>
              <w:left w:val="single" w:color="000000" w:sz="4" w:space="0"/>
              <w:bottom w:val="single" w:color="000000" w:sz="4" w:space="0"/>
              <w:right w:val="single" w:color="000000" w:sz="4" w:space="0"/>
            </w:tcBorders>
            <w:noWrap w:val="0"/>
            <w:vAlign w:val="center"/>
          </w:tcPr>
          <w:p w14:paraId="2200279B">
            <w:pPr>
              <w:pageBreakBefore w:val="0"/>
              <w:kinsoku/>
              <w:wordWrap/>
              <w:overflowPunct/>
              <w:topLinePunct w:val="0"/>
              <w:autoSpaceDE/>
              <w:autoSpaceDN/>
              <w:bidi w:val="0"/>
              <w:adjustRightInd/>
              <w:spacing w:line="500" w:lineRule="exact"/>
              <w:jc w:val="center"/>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审查因素</w:t>
            </w:r>
          </w:p>
        </w:tc>
        <w:tc>
          <w:tcPr>
            <w:tcW w:w="4173" w:type="dxa"/>
            <w:tcBorders>
              <w:top w:val="single" w:color="000000" w:sz="4" w:space="0"/>
              <w:left w:val="single" w:color="000000" w:sz="4" w:space="0"/>
              <w:bottom w:val="single" w:color="000000" w:sz="4" w:space="0"/>
              <w:right w:val="single" w:color="000000" w:sz="4" w:space="0"/>
            </w:tcBorders>
            <w:noWrap w:val="0"/>
            <w:vAlign w:val="center"/>
          </w:tcPr>
          <w:p w14:paraId="7013AD62">
            <w:pPr>
              <w:pageBreakBefore w:val="0"/>
              <w:kinsoku/>
              <w:wordWrap/>
              <w:overflowPunct/>
              <w:topLinePunct w:val="0"/>
              <w:autoSpaceDE/>
              <w:autoSpaceDN/>
              <w:bidi w:val="0"/>
              <w:adjustRightInd/>
              <w:spacing w:line="500" w:lineRule="exact"/>
              <w:jc w:val="center"/>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审查内容</w:t>
            </w:r>
          </w:p>
        </w:tc>
      </w:tr>
      <w:tr w14:paraId="3ACC395B">
        <w:tblPrEx>
          <w:tblCellMar>
            <w:top w:w="0" w:type="dxa"/>
            <w:left w:w="108" w:type="dxa"/>
            <w:bottom w:w="0" w:type="dxa"/>
            <w:right w:w="108" w:type="dxa"/>
          </w:tblCellMar>
        </w:tblPrEx>
        <w:trPr>
          <w:cantSplit/>
          <w:trHeight w:val="375" w:hRule="atLeast"/>
        </w:trPr>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7849C2">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3CBA18F3">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投标文件的有效性</w:t>
            </w:r>
          </w:p>
        </w:tc>
        <w:tc>
          <w:tcPr>
            <w:tcW w:w="2931" w:type="dxa"/>
            <w:tcBorders>
              <w:top w:val="single" w:color="000000" w:sz="4" w:space="0"/>
              <w:left w:val="single" w:color="000000" w:sz="4" w:space="0"/>
              <w:bottom w:val="single" w:color="000000" w:sz="4" w:space="0"/>
              <w:right w:val="single" w:color="000000" w:sz="4" w:space="0"/>
            </w:tcBorders>
            <w:noWrap w:val="0"/>
            <w:vAlign w:val="center"/>
          </w:tcPr>
          <w:p w14:paraId="0D66502A">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r>
              <w:rPr>
                <w:rFonts w:hint="eastAsia" w:ascii="宋体" w:hAnsi="宋体" w:eastAsia="宋体"/>
                <w:color w:val="auto"/>
                <w:sz w:val="21"/>
                <w:szCs w:val="21"/>
                <w:highlight w:val="none"/>
                <w:lang w:val="zh-CN"/>
              </w:rPr>
              <w:t>1</w:t>
            </w:r>
            <w:r>
              <w:rPr>
                <w:rFonts w:hint="eastAsia" w:ascii="宋体" w:hAnsi="宋体"/>
                <w:color w:val="auto"/>
                <w:sz w:val="21"/>
                <w:szCs w:val="21"/>
                <w:highlight w:val="none"/>
                <w:lang w:val="zh-CN"/>
              </w:rPr>
              <w:t>）投标文件签署</w:t>
            </w:r>
          </w:p>
        </w:tc>
        <w:tc>
          <w:tcPr>
            <w:tcW w:w="4173" w:type="dxa"/>
            <w:tcBorders>
              <w:top w:val="single" w:color="000000" w:sz="4" w:space="0"/>
              <w:left w:val="single" w:color="000000" w:sz="4" w:space="0"/>
              <w:bottom w:val="single" w:color="000000" w:sz="4" w:space="0"/>
              <w:right w:val="single" w:color="000000" w:sz="4" w:space="0"/>
            </w:tcBorders>
            <w:noWrap w:val="0"/>
            <w:vAlign w:val="center"/>
          </w:tcPr>
          <w:p w14:paraId="2F9E92BB">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签字、盖章符合要求。</w:t>
            </w:r>
          </w:p>
        </w:tc>
      </w:tr>
      <w:tr w14:paraId="495476B6">
        <w:tblPrEx>
          <w:tblCellMar>
            <w:top w:w="0" w:type="dxa"/>
            <w:left w:w="108" w:type="dxa"/>
            <w:bottom w:w="0" w:type="dxa"/>
            <w:right w:w="108" w:type="dxa"/>
          </w:tblCellMar>
        </w:tblPrEx>
        <w:trPr>
          <w:cantSplit/>
          <w:trHeight w:val="410"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52166">
            <w:pPr>
              <w:pageBreakBefore w:val="0"/>
              <w:kinsoku/>
              <w:wordWrap/>
              <w:overflowPunct/>
              <w:topLinePunct w:val="0"/>
              <w:autoSpaceDE/>
              <w:autoSpaceDN/>
              <w:bidi w:val="0"/>
              <w:adjustRightInd/>
              <w:snapToGrid w:val="0"/>
              <w:spacing w:line="500" w:lineRule="exact"/>
              <w:textAlignment w:val="auto"/>
              <w:rPr>
                <w:rFonts w:hint="eastAsia" w:ascii="宋体" w:hAnsi="宋体" w:eastAsia="宋体"/>
                <w:color w:val="auto"/>
                <w:sz w:val="21"/>
                <w:szCs w:val="21"/>
                <w:highlight w:val="none"/>
                <w:lang w:val="zh-CN"/>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0E024">
            <w:pPr>
              <w:pageBreakBefore w:val="0"/>
              <w:kinsoku/>
              <w:wordWrap/>
              <w:overflowPunct/>
              <w:topLinePunct w:val="0"/>
              <w:autoSpaceDE/>
              <w:autoSpaceDN/>
              <w:bidi w:val="0"/>
              <w:adjustRightInd/>
              <w:snapToGrid w:val="0"/>
              <w:spacing w:line="500" w:lineRule="exact"/>
              <w:textAlignment w:val="auto"/>
              <w:rPr>
                <w:rFonts w:hint="eastAsia" w:ascii="宋体" w:hAnsi="宋体" w:eastAsia="宋体"/>
                <w:color w:val="auto"/>
                <w:sz w:val="21"/>
                <w:szCs w:val="21"/>
                <w:highlight w:val="none"/>
              </w:rPr>
            </w:pPr>
          </w:p>
        </w:tc>
        <w:tc>
          <w:tcPr>
            <w:tcW w:w="2931" w:type="dxa"/>
            <w:tcBorders>
              <w:top w:val="single" w:color="000000" w:sz="4" w:space="0"/>
              <w:left w:val="single" w:color="000000" w:sz="4" w:space="0"/>
              <w:bottom w:val="single" w:color="000000" w:sz="4" w:space="0"/>
              <w:right w:val="single" w:color="000000" w:sz="4" w:space="0"/>
            </w:tcBorders>
            <w:noWrap w:val="0"/>
            <w:vAlign w:val="center"/>
          </w:tcPr>
          <w:p w14:paraId="7EAD3E18">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r>
              <w:rPr>
                <w:rFonts w:hint="eastAsia" w:ascii="宋体" w:hAnsi="宋体" w:eastAsia="宋体"/>
                <w:color w:val="auto"/>
                <w:sz w:val="21"/>
                <w:szCs w:val="21"/>
                <w:highlight w:val="none"/>
                <w:lang w:val="zh-CN"/>
              </w:rPr>
              <w:t>2</w:t>
            </w:r>
            <w:r>
              <w:rPr>
                <w:rFonts w:hint="eastAsia" w:ascii="宋体" w:hAnsi="宋体"/>
                <w:color w:val="auto"/>
                <w:sz w:val="21"/>
                <w:szCs w:val="21"/>
                <w:highlight w:val="none"/>
                <w:lang w:val="zh-CN"/>
              </w:rPr>
              <w:t>）投标方案</w:t>
            </w:r>
          </w:p>
        </w:tc>
        <w:tc>
          <w:tcPr>
            <w:tcW w:w="4173" w:type="dxa"/>
            <w:tcBorders>
              <w:top w:val="single" w:color="000000" w:sz="4" w:space="0"/>
              <w:left w:val="single" w:color="000000" w:sz="4" w:space="0"/>
              <w:bottom w:val="single" w:color="000000" w:sz="4" w:space="0"/>
              <w:right w:val="single" w:color="000000" w:sz="4" w:space="0"/>
            </w:tcBorders>
            <w:noWrap w:val="0"/>
            <w:vAlign w:val="center"/>
          </w:tcPr>
          <w:p w14:paraId="720B3397">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每个分包只能有一个方案投标。</w:t>
            </w:r>
          </w:p>
        </w:tc>
      </w:tr>
      <w:tr w14:paraId="1C56BB97">
        <w:tblPrEx>
          <w:tblCellMar>
            <w:top w:w="0" w:type="dxa"/>
            <w:left w:w="108" w:type="dxa"/>
            <w:bottom w:w="0" w:type="dxa"/>
            <w:right w:w="108" w:type="dxa"/>
          </w:tblCellMar>
        </w:tblPrEx>
        <w:trPr>
          <w:cantSplit/>
          <w:trHeight w:val="241"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48D70">
            <w:pPr>
              <w:pageBreakBefore w:val="0"/>
              <w:kinsoku/>
              <w:wordWrap/>
              <w:overflowPunct/>
              <w:topLinePunct w:val="0"/>
              <w:autoSpaceDE/>
              <w:autoSpaceDN/>
              <w:bidi w:val="0"/>
              <w:adjustRightInd/>
              <w:snapToGrid w:val="0"/>
              <w:spacing w:line="500" w:lineRule="exact"/>
              <w:textAlignment w:val="auto"/>
              <w:rPr>
                <w:rFonts w:hint="eastAsia" w:ascii="宋体" w:hAnsi="宋体" w:eastAsia="宋体"/>
                <w:color w:val="auto"/>
                <w:sz w:val="21"/>
                <w:szCs w:val="21"/>
                <w:highlight w:val="none"/>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DDE30">
            <w:pPr>
              <w:pageBreakBefore w:val="0"/>
              <w:kinsoku/>
              <w:wordWrap/>
              <w:overflowPunct/>
              <w:topLinePunct w:val="0"/>
              <w:autoSpaceDE/>
              <w:autoSpaceDN/>
              <w:bidi w:val="0"/>
              <w:adjustRightInd/>
              <w:snapToGrid w:val="0"/>
              <w:spacing w:line="500" w:lineRule="exact"/>
              <w:textAlignment w:val="auto"/>
              <w:rPr>
                <w:rFonts w:hint="eastAsia" w:ascii="宋体" w:hAnsi="宋体" w:eastAsia="宋体"/>
                <w:color w:val="auto"/>
                <w:sz w:val="21"/>
                <w:szCs w:val="21"/>
                <w:highlight w:val="none"/>
              </w:rPr>
            </w:pPr>
          </w:p>
        </w:tc>
        <w:tc>
          <w:tcPr>
            <w:tcW w:w="2931" w:type="dxa"/>
            <w:tcBorders>
              <w:top w:val="single" w:color="000000" w:sz="4" w:space="0"/>
              <w:left w:val="single" w:color="000000" w:sz="4" w:space="0"/>
              <w:bottom w:val="single" w:color="000000" w:sz="4" w:space="0"/>
              <w:right w:val="single" w:color="000000" w:sz="4" w:space="0"/>
            </w:tcBorders>
            <w:noWrap w:val="0"/>
            <w:vAlign w:val="center"/>
          </w:tcPr>
          <w:p w14:paraId="29438671">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eastAsia="宋体"/>
                <w:color w:val="auto"/>
                <w:sz w:val="21"/>
                <w:szCs w:val="21"/>
                <w:highlight w:val="none"/>
              </w:rPr>
              <w:t>3</w:t>
            </w:r>
            <w:r>
              <w:rPr>
                <w:rFonts w:hint="eastAsia" w:ascii="宋体" w:hAnsi="宋体"/>
                <w:color w:val="auto"/>
                <w:sz w:val="21"/>
                <w:szCs w:val="21"/>
                <w:highlight w:val="none"/>
              </w:rPr>
              <w:t>）报价唯一</w:t>
            </w:r>
          </w:p>
        </w:tc>
        <w:tc>
          <w:tcPr>
            <w:tcW w:w="4173" w:type="dxa"/>
            <w:tcBorders>
              <w:top w:val="single" w:color="000000" w:sz="4" w:space="0"/>
              <w:left w:val="single" w:color="000000" w:sz="4" w:space="0"/>
              <w:bottom w:val="single" w:color="000000" w:sz="4" w:space="0"/>
              <w:right w:val="single" w:color="000000" w:sz="4" w:space="0"/>
            </w:tcBorders>
            <w:noWrap w:val="0"/>
            <w:vAlign w:val="center"/>
          </w:tcPr>
          <w:p w14:paraId="23A1BE55">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只能在限价范围内报价，</w:t>
            </w:r>
            <w:r>
              <w:rPr>
                <w:rFonts w:hint="eastAsia" w:ascii="宋体" w:hAnsi="宋体"/>
                <w:color w:val="auto"/>
                <w:sz w:val="21"/>
                <w:szCs w:val="21"/>
                <w:highlight w:val="none"/>
              </w:rPr>
              <w:t>只能有一个有效报价，不得提交选择性报价。</w:t>
            </w:r>
          </w:p>
        </w:tc>
      </w:tr>
      <w:tr w14:paraId="44393DBB">
        <w:tblPrEx>
          <w:tblCellMar>
            <w:top w:w="0" w:type="dxa"/>
            <w:left w:w="108" w:type="dxa"/>
            <w:bottom w:w="0" w:type="dxa"/>
            <w:right w:w="108" w:type="dxa"/>
          </w:tblCellMar>
        </w:tblPrEx>
        <w:trPr>
          <w:cantSplit/>
          <w:trHeight w:val="434"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05987">
            <w:pPr>
              <w:pageBreakBefore w:val="0"/>
              <w:kinsoku/>
              <w:wordWrap/>
              <w:overflowPunct/>
              <w:topLinePunct w:val="0"/>
              <w:autoSpaceDE/>
              <w:autoSpaceDN/>
              <w:bidi w:val="0"/>
              <w:adjustRightInd/>
              <w:snapToGrid w:val="0"/>
              <w:spacing w:line="500" w:lineRule="exact"/>
              <w:textAlignment w:val="auto"/>
              <w:rPr>
                <w:rFonts w:hint="eastAsia" w:ascii="宋体" w:hAnsi="宋体" w:eastAsia="宋体"/>
                <w:color w:val="auto"/>
                <w:sz w:val="21"/>
                <w:szCs w:val="21"/>
                <w:highlight w:val="none"/>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072AF">
            <w:pPr>
              <w:pageBreakBefore w:val="0"/>
              <w:kinsoku/>
              <w:wordWrap/>
              <w:overflowPunct/>
              <w:topLinePunct w:val="0"/>
              <w:autoSpaceDE/>
              <w:autoSpaceDN/>
              <w:bidi w:val="0"/>
              <w:adjustRightInd/>
              <w:snapToGrid w:val="0"/>
              <w:spacing w:line="500" w:lineRule="exact"/>
              <w:textAlignment w:val="auto"/>
              <w:rPr>
                <w:rFonts w:hint="eastAsia" w:ascii="宋体" w:hAnsi="宋体" w:eastAsia="宋体"/>
                <w:color w:val="auto"/>
                <w:sz w:val="21"/>
                <w:szCs w:val="21"/>
                <w:highlight w:val="none"/>
              </w:rPr>
            </w:pPr>
          </w:p>
        </w:tc>
        <w:tc>
          <w:tcPr>
            <w:tcW w:w="2931" w:type="dxa"/>
            <w:tcBorders>
              <w:top w:val="single" w:color="000000" w:sz="4" w:space="0"/>
              <w:left w:val="single" w:color="000000" w:sz="4" w:space="0"/>
              <w:bottom w:val="single" w:color="000000" w:sz="4" w:space="0"/>
              <w:right w:val="single" w:color="000000" w:sz="4" w:space="0"/>
            </w:tcBorders>
            <w:noWrap w:val="0"/>
            <w:vAlign w:val="center"/>
          </w:tcPr>
          <w:p w14:paraId="3EB3C45E">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eastAsia="宋体"/>
                <w:color w:val="auto"/>
                <w:sz w:val="21"/>
                <w:szCs w:val="21"/>
                <w:highlight w:val="none"/>
              </w:rPr>
              <w:t xml:space="preserve">(4) </w:t>
            </w:r>
            <w:r>
              <w:rPr>
                <w:rFonts w:hint="eastAsia" w:ascii="宋体" w:hAnsi="宋体"/>
                <w:color w:val="auto"/>
                <w:sz w:val="21"/>
                <w:szCs w:val="21"/>
                <w:highlight w:val="none"/>
              </w:rPr>
              <w:t>投标文件的有效期</w:t>
            </w:r>
          </w:p>
        </w:tc>
        <w:tc>
          <w:tcPr>
            <w:tcW w:w="4173" w:type="dxa"/>
            <w:tcBorders>
              <w:top w:val="single" w:color="000000" w:sz="4" w:space="0"/>
              <w:left w:val="single" w:color="000000" w:sz="4" w:space="0"/>
              <w:bottom w:val="single" w:color="000000" w:sz="4" w:space="0"/>
              <w:right w:val="single" w:color="000000" w:sz="4" w:space="0"/>
            </w:tcBorders>
            <w:noWrap w:val="0"/>
            <w:vAlign w:val="center"/>
          </w:tcPr>
          <w:p w14:paraId="660A2198">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完全响应</w:t>
            </w:r>
          </w:p>
        </w:tc>
      </w:tr>
      <w:tr w14:paraId="1E4C86B6">
        <w:tblPrEx>
          <w:tblCellMar>
            <w:top w:w="0" w:type="dxa"/>
            <w:left w:w="108" w:type="dxa"/>
            <w:bottom w:w="0" w:type="dxa"/>
            <w:right w:w="108" w:type="dxa"/>
          </w:tblCellMar>
        </w:tblPrEx>
        <w:trPr>
          <w:cantSplit/>
          <w:trHeight w:val="479" w:hRule="atLeast"/>
        </w:trPr>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138D2D7B">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7E21CC4F">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投标文件的完整性</w:t>
            </w:r>
          </w:p>
        </w:tc>
        <w:tc>
          <w:tcPr>
            <w:tcW w:w="2931" w:type="dxa"/>
            <w:tcBorders>
              <w:top w:val="single" w:color="000000" w:sz="4" w:space="0"/>
              <w:left w:val="single" w:color="000000" w:sz="4" w:space="0"/>
              <w:bottom w:val="single" w:color="000000" w:sz="4" w:space="0"/>
              <w:right w:val="single" w:color="000000" w:sz="4" w:space="0"/>
            </w:tcBorders>
            <w:noWrap w:val="0"/>
            <w:vAlign w:val="center"/>
          </w:tcPr>
          <w:p w14:paraId="33A7010F">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r>
              <w:rPr>
                <w:rFonts w:hint="eastAsia" w:ascii="宋体" w:hAnsi="宋体" w:eastAsia="宋体"/>
                <w:color w:val="auto"/>
                <w:sz w:val="21"/>
                <w:szCs w:val="21"/>
                <w:highlight w:val="none"/>
                <w:lang w:val="zh-CN"/>
              </w:rPr>
              <w:t>5</w:t>
            </w:r>
            <w:r>
              <w:rPr>
                <w:rFonts w:hint="eastAsia" w:ascii="宋体" w:hAnsi="宋体"/>
                <w:color w:val="auto"/>
                <w:sz w:val="21"/>
                <w:szCs w:val="21"/>
                <w:highlight w:val="none"/>
                <w:lang w:val="zh-CN"/>
              </w:rPr>
              <w:t>）投标文件份数</w:t>
            </w:r>
          </w:p>
        </w:tc>
        <w:tc>
          <w:tcPr>
            <w:tcW w:w="4173" w:type="dxa"/>
            <w:tcBorders>
              <w:top w:val="single" w:color="000000" w:sz="4" w:space="0"/>
              <w:left w:val="single" w:color="000000" w:sz="4" w:space="0"/>
              <w:bottom w:val="single" w:color="000000" w:sz="4" w:space="0"/>
              <w:right w:val="single" w:color="000000" w:sz="4" w:space="0"/>
            </w:tcBorders>
            <w:noWrap w:val="0"/>
            <w:vAlign w:val="center"/>
          </w:tcPr>
          <w:p w14:paraId="47BB4C0E">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正本一份、副本一份</w:t>
            </w:r>
          </w:p>
        </w:tc>
      </w:tr>
      <w:tr w14:paraId="07898F60">
        <w:tblPrEx>
          <w:tblCellMar>
            <w:top w:w="0" w:type="dxa"/>
            <w:left w:w="108" w:type="dxa"/>
            <w:bottom w:w="0" w:type="dxa"/>
            <w:right w:w="108" w:type="dxa"/>
          </w:tblCellMar>
        </w:tblPrEx>
        <w:trPr>
          <w:cantSplit/>
          <w:trHeight w:val="427"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7352B">
            <w:pPr>
              <w:pageBreakBefore w:val="0"/>
              <w:kinsoku/>
              <w:wordWrap/>
              <w:overflowPunct/>
              <w:topLinePunct w:val="0"/>
              <w:autoSpaceDE/>
              <w:autoSpaceDN/>
              <w:bidi w:val="0"/>
              <w:adjustRightInd/>
              <w:snapToGrid w:val="0"/>
              <w:spacing w:line="500" w:lineRule="exact"/>
              <w:textAlignment w:val="auto"/>
              <w:rPr>
                <w:rFonts w:hint="eastAsia" w:ascii="宋体" w:hAnsi="宋体" w:eastAsia="宋体"/>
                <w:color w:val="auto"/>
                <w:sz w:val="21"/>
                <w:szCs w:val="21"/>
                <w:highlight w:val="none"/>
                <w:lang w:val="en-US" w:eastAsia="zh-CN"/>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7ED58">
            <w:pPr>
              <w:pageBreakBefore w:val="0"/>
              <w:kinsoku/>
              <w:wordWrap/>
              <w:overflowPunct/>
              <w:topLinePunct w:val="0"/>
              <w:autoSpaceDE/>
              <w:autoSpaceDN/>
              <w:bidi w:val="0"/>
              <w:adjustRightInd/>
              <w:snapToGrid w:val="0"/>
              <w:spacing w:line="500" w:lineRule="exact"/>
              <w:textAlignment w:val="auto"/>
              <w:rPr>
                <w:rFonts w:hint="eastAsia" w:ascii="宋体" w:hAnsi="宋体" w:eastAsia="宋体"/>
                <w:color w:val="auto"/>
                <w:sz w:val="21"/>
                <w:szCs w:val="21"/>
                <w:highlight w:val="none"/>
              </w:rPr>
            </w:pPr>
          </w:p>
        </w:tc>
        <w:tc>
          <w:tcPr>
            <w:tcW w:w="2931" w:type="dxa"/>
            <w:tcBorders>
              <w:top w:val="single" w:color="000000" w:sz="4" w:space="0"/>
              <w:left w:val="single" w:color="000000" w:sz="4" w:space="0"/>
              <w:bottom w:val="single" w:color="000000" w:sz="4" w:space="0"/>
              <w:right w:val="single" w:color="000000" w:sz="4" w:space="0"/>
            </w:tcBorders>
            <w:noWrap w:val="0"/>
            <w:vAlign w:val="center"/>
          </w:tcPr>
          <w:p w14:paraId="2C9F9F39">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r>
              <w:rPr>
                <w:rFonts w:hint="eastAsia" w:ascii="宋体" w:hAnsi="宋体" w:eastAsia="宋体"/>
                <w:color w:val="auto"/>
                <w:sz w:val="21"/>
                <w:szCs w:val="21"/>
                <w:highlight w:val="none"/>
                <w:lang w:val="zh-CN"/>
              </w:rPr>
              <w:t>6</w:t>
            </w:r>
            <w:r>
              <w:rPr>
                <w:rFonts w:hint="eastAsia" w:ascii="宋体" w:hAnsi="宋体"/>
                <w:color w:val="auto"/>
                <w:sz w:val="21"/>
                <w:szCs w:val="21"/>
                <w:highlight w:val="none"/>
                <w:lang w:val="zh-CN"/>
              </w:rPr>
              <w:t>）投标文件形式内容</w:t>
            </w:r>
          </w:p>
        </w:tc>
        <w:tc>
          <w:tcPr>
            <w:tcW w:w="4173" w:type="dxa"/>
            <w:tcBorders>
              <w:top w:val="single" w:color="000000" w:sz="4" w:space="0"/>
              <w:left w:val="single" w:color="000000" w:sz="4" w:space="0"/>
              <w:bottom w:val="single" w:color="000000" w:sz="4" w:space="0"/>
              <w:right w:val="single" w:color="000000" w:sz="4" w:space="0"/>
            </w:tcBorders>
            <w:noWrap w:val="0"/>
            <w:vAlign w:val="center"/>
          </w:tcPr>
          <w:p w14:paraId="7245AEA7">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投标文件内容清晰、齐全无遗漏。</w:t>
            </w:r>
          </w:p>
        </w:tc>
      </w:tr>
      <w:tr w14:paraId="0F3BBE67">
        <w:tblPrEx>
          <w:tblCellMar>
            <w:top w:w="0" w:type="dxa"/>
            <w:left w:w="108" w:type="dxa"/>
            <w:bottom w:w="0" w:type="dxa"/>
            <w:right w:w="108" w:type="dxa"/>
          </w:tblCellMar>
        </w:tblPrEx>
        <w:trPr>
          <w:cantSplit/>
          <w:trHeight w:val="577" w:hRule="atLeast"/>
        </w:trPr>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01F3FEAF">
            <w:pPr>
              <w:pageBreakBefore w:val="0"/>
              <w:kinsoku/>
              <w:wordWrap/>
              <w:overflowPunct/>
              <w:topLinePunct w:val="0"/>
              <w:autoSpaceDE/>
              <w:autoSpaceDN/>
              <w:bidi w:val="0"/>
              <w:adjustRightInd/>
              <w:spacing w:line="500" w:lineRule="exact"/>
              <w:jc w:val="center"/>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w:t>
            </w:r>
          </w:p>
        </w:tc>
        <w:tc>
          <w:tcPr>
            <w:tcW w:w="1204" w:type="dxa"/>
            <w:vMerge w:val="restart"/>
            <w:tcBorders>
              <w:top w:val="single" w:color="000000" w:sz="4" w:space="0"/>
              <w:left w:val="single" w:color="000000" w:sz="4" w:space="0"/>
              <w:bottom w:val="single" w:color="000000" w:sz="4" w:space="0"/>
              <w:right w:val="single" w:color="000000" w:sz="4" w:space="0"/>
            </w:tcBorders>
            <w:noWrap w:val="0"/>
            <w:vAlign w:val="center"/>
          </w:tcPr>
          <w:p w14:paraId="51CD3AEC">
            <w:pPr>
              <w:pageBreakBefore w:val="0"/>
              <w:kinsoku/>
              <w:wordWrap/>
              <w:overflowPunct/>
              <w:topLinePunct w:val="0"/>
              <w:autoSpaceDE/>
              <w:autoSpaceDN/>
              <w:bidi w:val="0"/>
              <w:adjustRightInd/>
              <w:spacing w:line="500" w:lineRule="exact"/>
              <w:jc w:val="center"/>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投标文件的响应程度</w:t>
            </w:r>
          </w:p>
        </w:tc>
        <w:tc>
          <w:tcPr>
            <w:tcW w:w="2931" w:type="dxa"/>
            <w:tcBorders>
              <w:top w:val="single" w:color="000000" w:sz="4" w:space="0"/>
              <w:left w:val="single" w:color="000000" w:sz="4" w:space="0"/>
              <w:bottom w:val="single" w:color="000000" w:sz="4" w:space="0"/>
              <w:right w:val="single" w:color="000000" w:sz="4" w:space="0"/>
            </w:tcBorders>
            <w:noWrap w:val="0"/>
            <w:vAlign w:val="center"/>
          </w:tcPr>
          <w:p w14:paraId="6639B85A">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r>
              <w:rPr>
                <w:rFonts w:hint="eastAsia" w:ascii="宋体" w:hAnsi="宋体" w:eastAsia="宋体"/>
                <w:color w:val="auto"/>
                <w:sz w:val="21"/>
                <w:szCs w:val="21"/>
                <w:highlight w:val="none"/>
                <w:lang w:val="zh-CN"/>
              </w:rPr>
              <w:t>7</w:t>
            </w:r>
            <w:r>
              <w:rPr>
                <w:rFonts w:hint="eastAsia" w:ascii="宋体" w:hAnsi="宋体"/>
                <w:color w:val="auto"/>
                <w:sz w:val="21"/>
                <w:szCs w:val="21"/>
                <w:highlight w:val="none"/>
                <w:lang w:val="zh-CN"/>
              </w:rPr>
              <w:t>）采购需求响应程度</w:t>
            </w:r>
          </w:p>
        </w:tc>
        <w:tc>
          <w:tcPr>
            <w:tcW w:w="4173" w:type="dxa"/>
            <w:tcBorders>
              <w:top w:val="single" w:color="000000" w:sz="4" w:space="0"/>
              <w:left w:val="single" w:color="000000" w:sz="4" w:space="0"/>
              <w:bottom w:val="single" w:color="000000" w:sz="4" w:space="0"/>
              <w:right w:val="single" w:color="000000" w:sz="4" w:space="0"/>
            </w:tcBorders>
            <w:noWrap w:val="0"/>
            <w:vAlign w:val="center"/>
          </w:tcPr>
          <w:p w14:paraId="2ED88CE6">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响应</w:t>
            </w:r>
            <w:r>
              <w:rPr>
                <w:rFonts w:hint="eastAsia" w:ascii="宋体" w:hAnsi="宋体"/>
                <w:color w:val="auto"/>
                <w:sz w:val="21"/>
                <w:szCs w:val="21"/>
                <w:highlight w:val="none"/>
                <w:lang w:val="en-US" w:eastAsia="zh-CN"/>
              </w:rPr>
              <w:t>或优于</w:t>
            </w:r>
            <w:r>
              <w:rPr>
                <w:rFonts w:hint="eastAsia" w:ascii="宋体" w:hAnsi="宋体"/>
                <w:color w:val="auto"/>
                <w:sz w:val="21"/>
                <w:szCs w:val="21"/>
                <w:highlight w:val="none"/>
                <w:lang w:val="zh-CN"/>
              </w:rPr>
              <w:t>招标文件要求</w:t>
            </w:r>
          </w:p>
        </w:tc>
      </w:tr>
      <w:tr w14:paraId="56BFDA6A">
        <w:tblPrEx>
          <w:tblCellMar>
            <w:top w:w="0" w:type="dxa"/>
            <w:left w:w="108" w:type="dxa"/>
            <w:bottom w:w="0" w:type="dxa"/>
            <w:right w:w="108" w:type="dxa"/>
          </w:tblCellMar>
        </w:tblPrEx>
        <w:trPr>
          <w:cantSplit/>
          <w:trHeight w:val="846" w:hRule="atLeast"/>
        </w:trPr>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1A05A">
            <w:pPr>
              <w:pageBreakBefore w:val="0"/>
              <w:kinsoku/>
              <w:wordWrap/>
              <w:overflowPunct/>
              <w:topLinePunct w:val="0"/>
              <w:autoSpaceDE/>
              <w:autoSpaceDN/>
              <w:bidi w:val="0"/>
              <w:adjustRightInd/>
              <w:snapToGrid w:val="0"/>
              <w:spacing w:line="500" w:lineRule="exact"/>
              <w:textAlignment w:val="auto"/>
              <w:rPr>
                <w:rFonts w:hint="eastAsia" w:ascii="宋体" w:hAnsi="宋体" w:eastAsia="宋体"/>
                <w:color w:val="auto"/>
                <w:sz w:val="21"/>
                <w:szCs w:val="21"/>
                <w:highlight w:val="none"/>
                <w:lang w:val="zh-CN"/>
              </w:rPr>
            </w:pPr>
          </w:p>
        </w:tc>
        <w:tc>
          <w:tcPr>
            <w:tcW w:w="12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20F71">
            <w:pPr>
              <w:pageBreakBefore w:val="0"/>
              <w:kinsoku/>
              <w:wordWrap/>
              <w:overflowPunct/>
              <w:topLinePunct w:val="0"/>
              <w:autoSpaceDE/>
              <w:autoSpaceDN/>
              <w:bidi w:val="0"/>
              <w:adjustRightInd/>
              <w:snapToGrid w:val="0"/>
              <w:spacing w:line="500" w:lineRule="exact"/>
              <w:textAlignment w:val="auto"/>
              <w:rPr>
                <w:rFonts w:hint="eastAsia" w:ascii="宋体" w:hAnsi="宋体" w:eastAsia="宋体"/>
                <w:color w:val="auto"/>
                <w:sz w:val="21"/>
                <w:szCs w:val="21"/>
                <w:highlight w:val="none"/>
              </w:rPr>
            </w:pPr>
          </w:p>
        </w:tc>
        <w:tc>
          <w:tcPr>
            <w:tcW w:w="2931" w:type="dxa"/>
            <w:tcBorders>
              <w:top w:val="single" w:color="000000" w:sz="4" w:space="0"/>
              <w:left w:val="single" w:color="000000" w:sz="4" w:space="0"/>
              <w:bottom w:val="single" w:color="000000" w:sz="4" w:space="0"/>
              <w:right w:val="single" w:color="000000" w:sz="4" w:space="0"/>
            </w:tcBorders>
            <w:noWrap w:val="0"/>
            <w:vAlign w:val="center"/>
          </w:tcPr>
          <w:p w14:paraId="2BBB7FD9">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r>
              <w:rPr>
                <w:rFonts w:hint="eastAsia" w:ascii="宋体" w:hAnsi="宋体" w:eastAsia="宋体"/>
                <w:color w:val="auto"/>
                <w:sz w:val="21"/>
                <w:szCs w:val="21"/>
                <w:highlight w:val="none"/>
                <w:lang w:val="zh-CN"/>
              </w:rPr>
              <w:t>8</w:t>
            </w:r>
            <w:r>
              <w:rPr>
                <w:rFonts w:hint="eastAsia" w:ascii="宋体" w:hAnsi="宋体"/>
                <w:color w:val="auto"/>
                <w:sz w:val="21"/>
                <w:szCs w:val="21"/>
                <w:highlight w:val="none"/>
                <w:lang w:val="zh-CN"/>
              </w:rPr>
              <w:t>）商务条款响应程度（包括供货期、售后服务、技术培训等）</w:t>
            </w:r>
          </w:p>
        </w:tc>
        <w:tc>
          <w:tcPr>
            <w:tcW w:w="4173" w:type="dxa"/>
            <w:tcBorders>
              <w:top w:val="single" w:color="000000" w:sz="4" w:space="0"/>
              <w:left w:val="single" w:color="000000" w:sz="4" w:space="0"/>
              <w:bottom w:val="single" w:color="000000" w:sz="4" w:space="0"/>
              <w:right w:val="single" w:color="000000" w:sz="4" w:space="0"/>
            </w:tcBorders>
            <w:noWrap w:val="0"/>
            <w:vAlign w:val="center"/>
          </w:tcPr>
          <w:p w14:paraId="5DE959B2">
            <w:pPr>
              <w:pageBreakBefore w:val="0"/>
              <w:kinsoku/>
              <w:wordWrap/>
              <w:overflowPunct/>
              <w:topLinePunct w:val="0"/>
              <w:autoSpaceDE/>
              <w:autoSpaceDN/>
              <w:bidi w:val="0"/>
              <w:adjustRightInd/>
              <w:spacing w:line="500" w:lineRule="exact"/>
              <w:textAlignment w:val="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响应</w:t>
            </w:r>
            <w:r>
              <w:rPr>
                <w:rFonts w:hint="eastAsia" w:ascii="宋体" w:hAnsi="宋体"/>
                <w:color w:val="auto"/>
                <w:sz w:val="21"/>
                <w:szCs w:val="21"/>
                <w:highlight w:val="none"/>
                <w:lang w:val="en-US" w:eastAsia="zh-CN"/>
              </w:rPr>
              <w:t>或优于</w:t>
            </w:r>
            <w:r>
              <w:rPr>
                <w:rFonts w:hint="eastAsia" w:ascii="宋体" w:hAnsi="宋体"/>
                <w:color w:val="auto"/>
                <w:sz w:val="21"/>
                <w:szCs w:val="21"/>
                <w:highlight w:val="none"/>
                <w:lang w:val="zh-CN"/>
              </w:rPr>
              <w:t>招标文件要求</w:t>
            </w:r>
          </w:p>
        </w:tc>
      </w:tr>
    </w:tbl>
    <w:p w14:paraId="604E401D">
      <w:pPr>
        <w:pageBreakBefore w:val="0"/>
        <w:kinsoku/>
        <w:wordWrap/>
        <w:overflowPunct/>
        <w:topLinePunct w:val="0"/>
        <w:autoSpaceDE/>
        <w:autoSpaceDN/>
        <w:bidi w:val="0"/>
        <w:adjustRightInd/>
        <w:spacing w:line="500" w:lineRule="exact"/>
        <w:ind w:left="0" w:right="0" w:firstLine="506"/>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.2</w:t>
      </w:r>
      <w:r>
        <w:rPr>
          <w:rFonts w:hint="eastAsia" w:ascii="宋体" w:hAnsi="宋体"/>
          <w:color w:val="auto"/>
          <w:sz w:val="21"/>
          <w:szCs w:val="21"/>
          <w:highlight w:val="none"/>
        </w:rPr>
        <w:t>资格审查及评</w:t>
      </w:r>
      <w:r>
        <w:rPr>
          <w:rFonts w:hint="eastAsia" w:ascii="宋体" w:hAnsi="宋体"/>
          <w:color w:val="auto"/>
          <w:sz w:val="21"/>
          <w:szCs w:val="21"/>
          <w:highlight w:val="none"/>
          <w:lang w:val="en-US" w:eastAsia="zh-CN"/>
        </w:rPr>
        <w:t>审</w:t>
      </w:r>
      <w:r>
        <w:rPr>
          <w:rFonts w:hint="eastAsia" w:ascii="宋体" w:hAnsi="宋体"/>
          <w:color w:val="auto"/>
          <w:sz w:val="21"/>
          <w:szCs w:val="21"/>
          <w:highlight w:val="none"/>
        </w:rPr>
        <w:t>细则中涉及的有关证明材料及相关证书，投标文件中须按招标文件要求</w:t>
      </w:r>
      <w:r>
        <w:rPr>
          <w:rFonts w:hint="eastAsia" w:ascii="宋体" w:hAnsi="宋体"/>
          <w:color w:val="auto"/>
          <w:sz w:val="21"/>
          <w:szCs w:val="21"/>
          <w:highlight w:val="none"/>
          <w:lang w:val="en-US" w:eastAsia="zh-CN"/>
        </w:rPr>
        <w:t>提供</w:t>
      </w:r>
      <w:r>
        <w:rPr>
          <w:rFonts w:hint="eastAsia" w:ascii="宋体" w:hAnsi="宋体"/>
          <w:color w:val="auto"/>
          <w:sz w:val="21"/>
          <w:szCs w:val="21"/>
          <w:highlight w:val="none"/>
        </w:rPr>
        <w:t>。</w:t>
      </w:r>
    </w:p>
    <w:p w14:paraId="6416B6CA">
      <w:pPr>
        <w:pageBreakBefore w:val="0"/>
        <w:kinsoku/>
        <w:wordWrap/>
        <w:overflowPunct/>
        <w:topLinePunct w:val="0"/>
        <w:autoSpaceDE/>
        <w:autoSpaceDN/>
        <w:bidi w:val="0"/>
        <w:adjustRightInd/>
        <w:spacing w:line="500" w:lineRule="exact"/>
        <w:ind w:left="0" w:right="0" w:firstLine="506"/>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.3</w:t>
      </w:r>
      <w:r>
        <w:rPr>
          <w:rFonts w:hint="eastAsia" w:ascii="宋体" w:hAnsi="宋体"/>
          <w:color w:val="auto"/>
          <w:sz w:val="21"/>
          <w:szCs w:val="21"/>
          <w:highlight w:val="none"/>
        </w:rPr>
        <w:t>评标委员会判定投标文件的响应性只根据投标文件本身的内容，而不寻求外部的证据，但投标有不真实不正确的内容时除外。</w:t>
      </w:r>
    </w:p>
    <w:p w14:paraId="2D6D3613">
      <w:pPr>
        <w:pageBreakBefore w:val="0"/>
        <w:kinsoku/>
        <w:wordWrap/>
        <w:overflowPunct/>
        <w:topLinePunct w:val="0"/>
        <w:autoSpaceDE/>
        <w:autoSpaceDN/>
        <w:bidi w:val="0"/>
        <w:adjustRightInd/>
        <w:spacing w:line="500" w:lineRule="exact"/>
        <w:ind w:left="0" w:right="0" w:firstLine="506"/>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.4</w:t>
      </w:r>
      <w:r>
        <w:rPr>
          <w:rFonts w:hint="eastAsia" w:ascii="宋体" w:hAnsi="宋体"/>
          <w:color w:val="auto"/>
          <w:sz w:val="21"/>
          <w:szCs w:val="21"/>
          <w:highlight w:val="none"/>
        </w:rPr>
        <w:t>如果投标文件实质上没有响应招标文件的要求，评标委员会将予以拒绝，投标人不得通过修正或撤销不符合要求的偏离或保留，而使其投标成为实质上响应的投标。</w:t>
      </w:r>
    </w:p>
    <w:p w14:paraId="3C29DF95">
      <w:pPr>
        <w:pageBreakBefore w:val="0"/>
        <w:kinsoku/>
        <w:wordWrap/>
        <w:overflowPunct/>
        <w:topLinePunct w:val="0"/>
        <w:autoSpaceDE/>
        <w:autoSpaceDN/>
        <w:bidi w:val="0"/>
        <w:adjustRightInd/>
        <w:spacing w:line="500" w:lineRule="exact"/>
        <w:ind w:left="0" w:right="0" w:firstLine="525"/>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.5</w:t>
      </w:r>
      <w:r>
        <w:rPr>
          <w:rFonts w:hint="eastAsia" w:ascii="宋体" w:hAnsi="宋体"/>
          <w:color w:val="auto"/>
          <w:sz w:val="21"/>
          <w:szCs w:val="21"/>
          <w:highlight w:val="none"/>
        </w:rPr>
        <w:t>只有通过初审的投标人才能进入下一步程序。</w:t>
      </w:r>
    </w:p>
    <w:p w14:paraId="05F395DA">
      <w:pPr>
        <w:pageBreakBefore w:val="0"/>
        <w:numPr>
          <w:ilvl w:val="0"/>
          <w:numId w:val="0"/>
        </w:numPr>
        <w:kinsoku/>
        <w:wordWrap/>
        <w:overflowPunct/>
        <w:topLinePunct w:val="0"/>
        <w:autoSpaceDE/>
        <w:autoSpaceDN/>
        <w:bidi w:val="0"/>
        <w:adjustRightInd/>
        <w:spacing w:line="500" w:lineRule="exact"/>
        <w:jc w:val="center"/>
        <w:textAlignment w:val="auto"/>
        <w:outlineLvl w:val="1"/>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二</w:t>
      </w:r>
      <w:r>
        <w:rPr>
          <w:rFonts w:hint="eastAsia" w:ascii="宋体" w:hAnsi="宋体"/>
          <w:b/>
          <w:color w:val="auto"/>
          <w:sz w:val="21"/>
          <w:szCs w:val="21"/>
          <w:highlight w:val="none"/>
        </w:rPr>
        <w:t>、投标文件的澄清和补正</w:t>
      </w:r>
    </w:p>
    <w:p w14:paraId="1FF650CF">
      <w:pPr>
        <w:pageBreakBefore w:val="0"/>
        <w:kinsoku/>
        <w:wordWrap/>
        <w:overflowPunct/>
        <w:topLinePunct w:val="0"/>
        <w:autoSpaceDE/>
        <w:autoSpaceDN/>
        <w:bidi w:val="0"/>
        <w:adjustRightInd/>
        <w:spacing w:line="500" w:lineRule="exact"/>
        <w:ind w:left="0" w:right="0" w:firstLine="525"/>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.1</w:t>
      </w:r>
      <w:r>
        <w:rPr>
          <w:rFonts w:hint="eastAsia" w:ascii="宋体" w:hAnsi="宋体"/>
          <w:color w:val="auto"/>
          <w:sz w:val="21"/>
          <w:szCs w:val="21"/>
          <w:highlight w:val="none"/>
        </w:rPr>
        <w:t>评审阶段，评委可能会要求有关投标人就其投标文件中含义不明确、同类问题表述不一致或者有明显文字和计算错误的内容进行澄清。投标人必须在规定时间内进行回复，如因投标人未参加开标导致开评标过程中无法澄清、说明或补正的，视同投标人放弃该权利。</w:t>
      </w:r>
    </w:p>
    <w:p w14:paraId="10CBB772">
      <w:pPr>
        <w:pageBreakBefore w:val="0"/>
        <w:kinsoku/>
        <w:wordWrap/>
        <w:overflowPunct/>
        <w:topLinePunct w:val="0"/>
        <w:autoSpaceDE/>
        <w:autoSpaceDN/>
        <w:bidi w:val="0"/>
        <w:adjustRightInd/>
        <w:spacing w:line="500" w:lineRule="exact"/>
        <w:ind w:left="0" w:right="0" w:firstLine="525"/>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.2</w:t>
      </w:r>
      <w:r>
        <w:rPr>
          <w:rFonts w:hint="eastAsia" w:ascii="宋体" w:hAnsi="宋体"/>
          <w:color w:val="auto"/>
          <w:sz w:val="21"/>
          <w:szCs w:val="21"/>
          <w:highlight w:val="none"/>
        </w:rPr>
        <w:t>投标人的澄清、说明或者补正应当在系统进行，但不得超出投标文件的范围或者改变投标文件的实质性内容。</w:t>
      </w:r>
    </w:p>
    <w:p w14:paraId="76C5B991">
      <w:pPr>
        <w:pageBreakBefore w:val="0"/>
        <w:kinsoku/>
        <w:wordWrap/>
        <w:overflowPunct/>
        <w:topLinePunct w:val="0"/>
        <w:autoSpaceDE/>
        <w:autoSpaceDN/>
        <w:bidi w:val="0"/>
        <w:adjustRightInd/>
        <w:spacing w:line="500" w:lineRule="exact"/>
        <w:ind w:left="0" w:right="0" w:firstLine="525"/>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.3</w:t>
      </w:r>
      <w:r>
        <w:rPr>
          <w:rFonts w:hint="eastAsia" w:ascii="宋体" w:hAnsi="宋体"/>
          <w:color w:val="auto"/>
          <w:sz w:val="21"/>
          <w:szCs w:val="21"/>
          <w:highlight w:val="none"/>
        </w:rPr>
        <w:t>评委会修正错误的原则：</w:t>
      </w:r>
    </w:p>
    <w:p w14:paraId="4921EA4F">
      <w:pPr>
        <w:pageBreakBefore w:val="0"/>
        <w:kinsoku/>
        <w:wordWrap/>
        <w:overflowPunct/>
        <w:topLinePunct w:val="0"/>
        <w:autoSpaceDE/>
        <w:autoSpaceDN/>
        <w:bidi w:val="0"/>
        <w:adjustRightInd/>
        <w:spacing w:line="500" w:lineRule="exact"/>
        <w:ind w:left="0" w:right="0" w:firstLine="525"/>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.3.1</w:t>
      </w:r>
      <w:r>
        <w:rPr>
          <w:rFonts w:hint="eastAsia" w:ascii="宋体" w:hAnsi="宋体"/>
          <w:color w:val="auto"/>
          <w:sz w:val="21"/>
          <w:szCs w:val="21"/>
          <w:highlight w:val="none"/>
        </w:rPr>
        <w:t>如果数字表示的金额和用文字表示的金额不一致时，以文字表示的金额为准；当投标数量与招标数量不一致时，以招标数量为准；当分项报价清单、投标函的投标报价与开标一览表不一致时，以开标一览表为准。</w:t>
      </w:r>
    </w:p>
    <w:p w14:paraId="4E862305">
      <w:pPr>
        <w:pageBreakBefore w:val="0"/>
        <w:kinsoku/>
        <w:wordWrap/>
        <w:overflowPunct/>
        <w:topLinePunct w:val="0"/>
        <w:autoSpaceDE/>
        <w:autoSpaceDN/>
        <w:bidi w:val="0"/>
        <w:adjustRightInd/>
        <w:spacing w:line="500" w:lineRule="exact"/>
        <w:ind w:left="0" w:right="0" w:firstLine="525"/>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.3.2</w:t>
      </w:r>
      <w:r>
        <w:rPr>
          <w:rFonts w:hint="eastAsia" w:ascii="宋体" w:hAnsi="宋体"/>
          <w:color w:val="auto"/>
          <w:sz w:val="21"/>
          <w:szCs w:val="21"/>
          <w:highlight w:val="none"/>
        </w:rPr>
        <w:t>如果单价与数量的乘积和总价不一致，以单价为准，修正总价及开标一览表；当单价小数点有明显的错位时，评委会将以总价为准，并修正其单价。</w:t>
      </w:r>
    </w:p>
    <w:p w14:paraId="06AEEC9E">
      <w:pPr>
        <w:pageBreakBefore w:val="0"/>
        <w:kinsoku/>
        <w:wordWrap/>
        <w:overflowPunct/>
        <w:topLinePunct w:val="0"/>
        <w:autoSpaceDE/>
        <w:autoSpaceDN/>
        <w:bidi w:val="0"/>
        <w:adjustRightInd/>
        <w:spacing w:line="500" w:lineRule="exact"/>
        <w:ind w:left="0" w:right="0" w:firstLine="403"/>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.4</w:t>
      </w:r>
      <w:r>
        <w:rPr>
          <w:rFonts w:hint="eastAsia" w:ascii="宋体" w:hAnsi="宋体"/>
          <w:color w:val="auto"/>
          <w:sz w:val="21"/>
          <w:szCs w:val="21"/>
          <w:highlight w:val="none"/>
        </w:rPr>
        <w:t>评委会将按上述修正错误的方法调整投标文件中的投标报价，调整后的价格应对投标人具有约束力。无论投标人是接受或是拒绝调整后的价格，都应当由投标人确认。投标人拒绝对投标文件出现的错漏按上述原则进行修正、澄清、说明，评标委员会应当否决其投标。</w:t>
      </w:r>
    </w:p>
    <w:p w14:paraId="3B640315">
      <w:pPr>
        <w:pageBreakBefore w:val="0"/>
        <w:numPr>
          <w:ilvl w:val="0"/>
          <w:numId w:val="0"/>
        </w:numPr>
        <w:kinsoku/>
        <w:wordWrap/>
        <w:overflowPunct/>
        <w:topLinePunct w:val="0"/>
        <w:autoSpaceDE/>
        <w:autoSpaceDN/>
        <w:bidi w:val="0"/>
        <w:adjustRightInd/>
        <w:spacing w:line="500" w:lineRule="exact"/>
        <w:jc w:val="center"/>
        <w:textAlignment w:val="auto"/>
        <w:outlineLvl w:val="1"/>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三</w:t>
      </w:r>
      <w:r>
        <w:rPr>
          <w:rFonts w:hint="eastAsia" w:ascii="宋体" w:hAnsi="宋体"/>
          <w:b/>
          <w:color w:val="auto"/>
          <w:sz w:val="21"/>
          <w:szCs w:val="21"/>
          <w:highlight w:val="none"/>
        </w:rPr>
        <w:t>、比较与评价</w:t>
      </w:r>
    </w:p>
    <w:p w14:paraId="0022EBFE">
      <w:pPr>
        <w:pageBreakBefore w:val="0"/>
        <w:kinsoku/>
        <w:wordWrap/>
        <w:overflowPunct/>
        <w:topLinePunct w:val="0"/>
        <w:autoSpaceDE/>
        <w:autoSpaceDN/>
        <w:bidi w:val="0"/>
        <w:adjustRightInd/>
        <w:spacing w:line="500" w:lineRule="exact"/>
        <w:ind w:left="0" w:right="0" w:firstLine="525"/>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w:t>
      </w:r>
      <w:r>
        <w:rPr>
          <w:rFonts w:hint="eastAsia" w:ascii="宋体" w:hAnsi="宋体"/>
          <w:color w:val="auto"/>
          <w:sz w:val="21"/>
          <w:szCs w:val="21"/>
          <w:highlight w:val="none"/>
        </w:rPr>
        <w:t>详细评审即按招标文件中规定的评标方法和标准，评标委员会将对通过初审的投标文件，进行综合比较与评价。</w:t>
      </w:r>
    </w:p>
    <w:p w14:paraId="43E1A06B">
      <w:pPr>
        <w:pageBreakBefore w:val="0"/>
        <w:kinsoku/>
        <w:wordWrap/>
        <w:overflowPunct/>
        <w:topLinePunct w:val="0"/>
        <w:autoSpaceDE/>
        <w:autoSpaceDN/>
        <w:bidi w:val="0"/>
        <w:adjustRightInd/>
        <w:spacing w:line="500" w:lineRule="exact"/>
        <w:ind w:left="0" w:right="0" w:firstLine="525"/>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1</w:t>
      </w:r>
      <w:r>
        <w:rPr>
          <w:rFonts w:hint="eastAsia" w:ascii="宋体" w:hAnsi="宋体"/>
          <w:color w:val="auto"/>
          <w:sz w:val="21"/>
          <w:szCs w:val="21"/>
          <w:highlight w:val="none"/>
          <w:lang w:val="en-US" w:eastAsia="zh-CN"/>
        </w:rPr>
        <w:t>报价</w:t>
      </w:r>
      <w:r>
        <w:rPr>
          <w:rFonts w:hint="eastAsia" w:ascii="宋体" w:hAnsi="宋体"/>
          <w:color w:val="auto"/>
          <w:sz w:val="21"/>
          <w:szCs w:val="21"/>
          <w:highlight w:val="none"/>
        </w:rPr>
        <w:t>评审</w:t>
      </w:r>
    </w:p>
    <w:p w14:paraId="75D47720">
      <w:pPr>
        <w:pageBreakBefore w:val="0"/>
        <w:kinsoku/>
        <w:wordWrap/>
        <w:overflowPunct/>
        <w:topLinePunct w:val="0"/>
        <w:autoSpaceDE/>
        <w:autoSpaceDN/>
        <w:bidi w:val="0"/>
        <w:adjustRightInd/>
        <w:spacing w:line="500" w:lineRule="exact"/>
        <w:ind w:left="0" w:right="0" w:firstLine="525"/>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5.1.1</w:t>
      </w:r>
      <w:r>
        <w:rPr>
          <w:rFonts w:hint="eastAsia" w:ascii="宋体" w:hAnsi="宋体"/>
          <w:color w:val="auto"/>
          <w:sz w:val="21"/>
          <w:szCs w:val="21"/>
          <w:highlight w:val="none"/>
          <w:lang w:val="en-US" w:eastAsia="zh-CN"/>
        </w:rPr>
        <w:t>评标委员会对满足招标文件实质性要求的投标文件，按有效报价最低原则，推荐有效投标报价最低的为第一中标候选人，次低的为第二中标候选人，依次类推，推荐3名中标候选人，并标明排序，但投标报价低于其成本的除外。有效投标报价最低的有效投标人有两名或两名以上相同时，由招标人抽签确定第一中标候选人。</w:t>
      </w:r>
    </w:p>
    <w:p w14:paraId="28400D76">
      <w:pPr>
        <w:pageBreakBefore w:val="0"/>
        <w:numPr>
          <w:ilvl w:val="0"/>
          <w:numId w:val="0"/>
        </w:numPr>
        <w:kinsoku/>
        <w:wordWrap/>
        <w:overflowPunct/>
        <w:topLinePunct w:val="0"/>
        <w:autoSpaceDE/>
        <w:autoSpaceDN/>
        <w:bidi w:val="0"/>
        <w:adjustRightInd/>
        <w:spacing w:line="500" w:lineRule="exact"/>
        <w:jc w:val="center"/>
        <w:textAlignment w:val="auto"/>
        <w:outlineLvl w:val="1"/>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四</w:t>
      </w:r>
      <w:r>
        <w:rPr>
          <w:rFonts w:hint="eastAsia" w:ascii="宋体" w:hAnsi="宋体"/>
          <w:b/>
          <w:color w:val="auto"/>
          <w:sz w:val="21"/>
          <w:szCs w:val="21"/>
          <w:highlight w:val="none"/>
        </w:rPr>
        <w:t>、推荐中标候选人</w:t>
      </w:r>
    </w:p>
    <w:p w14:paraId="600C771D">
      <w:pPr>
        <w:pageBreakBefore w:val="0"/>
        <w:kinsoku/>
        <w:wordWrap/>
        <w:overflowPunct/>
        <w:topLinePunct w:val="0"/>
        <w:autoSpaceDE/>
        <w:autoSpaceDN/>
        <w:bidi w:val="0"/>
        <w:adjustRightInd/>
        <w:spacing w:line="500" w:lineRule="exact"/>
        <w:ind w:left="0" w:right="36" w:firstLine="525"/>
        <w:jc w:val="left"/>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w:t>
      </w:r>
      <w:r>
        <w:rPr>
          <w:rFonts w:hint="eastAsia" w:ascii="宋体" w:hAnsi="宋体"/>
          <w:color w:val="auto"/>
          <w:sz w:val="21"/>
          <w:szCs w:val="21"/>
          <w:highlight w:val="none"/>
        </w:rPr>
        <w:t>评标委员会推荐</w:t>
      </w:r>
      <w:r>
        <w:rPr>
          <w:rFonts w:hint="eastAsia" w:ascii="宋体" w:hAnsi="宋体" w:eastAsia="宋体"/>
          <w:color w:val="auto"/>
          <w:sz w:val="21"/>
          <w:szCs w:val="21"/>
          <w:highlight w:val="none"/>
          <w:lang w:val="en-US" w:eastAsia="zh-CN"/>
        </w:rPr>
        <w:t>3</w:t>
      </w:r>
      <w:r>
        <w:rPr>
          <w:rFonts w:hint="eastAsia" w:ascii="宋体" w:hAnsi="宋体"/>
          <w:color w:val="auto"/>
          <w:sz w:val="21"/>
          <w:szCs w:val="21"/>
          <w:highlight w:val="none"/>
          <w:lang w:val="en-US" w:eastAsia="zh-CN"/>
        </w:rPr>
        <w:t>名</w:t>
      </w:r>
      <w:r>
        <w:rPr>
          <w:rFonts w:hint="eastAsia" w:ascii="宋体" w:hAnsi="宋体"/>
          <w:color w:val="auto"/>
          <w:sz w:val="21"/>
          <w:szCs w:val="21"/>
          <w:highlight w:val="none"/>
        </w:rPr>
        <w:t xml:space="preserve">中标候选人，并标明排序。 </w:t>
      </w:r>
    </w:p>
    <w:p w14:paraId="7E9521C8">
      <w:pPr>
        <w:pageBreakBefore w:val="0"/>
        <w:kinsoku/>
        <w:wordWrap/>
        <w:overflowPunct/>
        <w:topLinePunct w:val="0"/>
        <w:autoSpaceDE/>
        <w:autoSpaceDN/>
        <w:bidi w:val="0"/>
        <w:adjustRightInd/>
        <w:spacing w:line="500" w:lineRule="exact"/>
        <w:ind w:left="0" w:right="36" w:firstLine="420"/>
        <w:jc w:val="left"/>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.1</w:t>
      </w:r>
      <w:r>
        <w:rPr>
          <w:rFonts w:hint="eastAsia" w:ascii="宋体" w:hAnsi="宋体"/>
          <w:color w:val="auto"/>
          <w:sz w:val="21"/>
          <w:szCs w:val="21"/>
          <w:highlight w:val="none"/>
        </w:rPr>
        <w:t>如</w:t>
      </w:r>
      <w:r>
        <w:rPr>
          <w:rFonts w:hint="eastAsia" w:ascii="宋体" w:hAnsi="宋体" w:eastAsia="宋体"/>
          <w:color w:val="auto"/>
          <w:sz w:val="21"/>
          <w:szCs w:val="21"/>
          <w:highlight w:val="none"/>
          <w:lang w:val="en-US" w:eastAsia="zh-CN"/>
        </w:rPr>
        <w:t>投标报价最低的有效投标人有两名或两名以上相同时，由招标人抽签确定第一中标候选人</w:t>
      </w:r>
      <w:r>
        <w:rPr>
          <w:rFonts w:hint="eastAsia" w:ascii="宋体" w:hAnsi="宋体" w:eastAsia="宋体"/>
          <w:color w:val="auto"/>
          <w:sz w:val="21"/>
          <w:szCs w:val="21"/>
          <w:highlight w:val="none"/>
        </w:rPr>
        <w:t>。</w:t>
      </w:r>
    </w:p>
    <w:p w14:paraId="673271D4">
      <w:pPr>
        <w:pageBreakBefore w:val="0"/>
        <w:kinsoku/>
        <w:wordWrap/>
        <w:overflowPunct/>
        <w:topLinePunct w:val="0"/>
        <w:autoSpaceDE/>
        <w:autoSpaceDN/>
        <w:bidi w:val="0"/>
        <w:adjustRightInd/>
        <w:snapToGrid w:val="0"/>
        <w:spacing w:line="500" w:lineRule="exact"/>
        <w:ind w:left="0" w:right="0" w:firstLine="422"/>
        <w:jc w:val="left"/>
        <w:textAlignment w:val="auto"/>
        <w:rPr>
          <w:rFonts w:hint="default" w:ascii="宋体" w:hAnsi="宋体" w:eastAsia="宋体"/>
          <w:b/>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6.2招</w:t>
      </w:r>
      <w:r>
        <w:rPr>
          <w:rFonts w:hint="eastAsia" w:ascii="宋体" w:hAnsi="宋体" w:cs="宋体"/>
          <w:color w:val="auto"/>
          <w:szCs w:val="21"/>
          <w:highlight w:val="none"/>
        </w:rPr>
        <w:t>标人应当确定排名第一的中标候选人为中标人。排名第一的中标候选人放弃中标、因不可抗力不能履行合同、不按照招标文件要求提交履约保证金，或者被查实存在影响中标结果的违法行为等情形，不符合中标条件的，</w:t>
      </w:r>
      <w:r>
        <w:rPr>
          <w:rFonts w:hint="eastAsia" w:ascii="宋体" w:hAnsi="宋体" w:cs="宋体"/>
          <w:color w:val="auto"/>
          <w:szCs w:val="21"/>
          <w:highlight w:val="none"/>
          <w:lang w:val="en-US" w:eastAsia="zh-CN"/>
        </w:rPr>
        <w:t>招</w:t>
      </w:r>
      <w:r>
        <w:rPr>
          <w:rFonts w:hint="eastAsia" w:ascii="宋体" w:hAnsi="宋体" w:cs="宋体"/>
          <w:color w:val="auto"/>
          <w:szCs w:val="21"/>
          <w:highlight w:val="none"/>
        </w:rPr>
        <w:t>标人可以按照评标委员会提出的中标候选人名单排序依次确定其他中标候选人为中标人，也可以重新招标。</w:t>
      </w:r>
    </w:p>
    <w:p w14:paraId="01A18B28">
      <w:pPr>
        <w:pageBreakBefore w:val="0"/>
        <w:kinsoku/>
        <w:wordWrap/>
        <w:overflowPunct/>
        <w:topLinePunct w:val="0"/>
        <w:autoSpaceDE/>
        <w:autoSpaceDN/>
        <w:bidi w:val="0"/>
        <w:adjustRightInd/>
        <w:snapToGrid w:val="0"/>
        <w:spacing w:line="500" w:lineRule="exact"/>
        <w:ind w:left="0" w:right="0" w:firstLine="422"/>
        <w:jc w:val="left"/>
        <w:textAlignment w:val="auto"/>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7</w:t>
      </w:r>
      <w:r>
        <w:rPr>
          <w:rFonts w:hint="eastAsia" w:ascii="宋体" w:hAnsi="宋体" w:eastAsia="宋体"/>
          <w:b/>
          <w:color w:val="auto"/>
          <w:sz w:val="21"/>
          <w:szCs w:val="21"/>
          <w:highlight w:val="none"/>
        </w:rPr>
        <w:t xml:space="preserve">. </w:t>
      </w:r>
      <w:r>
        <w:rPr>
          <w:rFonts w:hint="eastAsia" w:ascii="宋体" w:hAnsi="宋体"/>
          <w:b/>
          <w:color w:val="auto"/>
          <w:sz w:val="21"/>
          <w:szCs w:val="21"/>
          <w:highlight w:val="none"/>
        </w:rPr>
        <w:t>无效投标条款</w:t>
      </w:r>
    </w:p>
    <w:p w14:paraId="7C3EEA90">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.1</w:t>
      </w:r>
      <w:r>
        <w:rPr>
          <w:rFonts w:hint="eastAsia" w:ascii="宋体" w:hAnsi="宋体"/>
          <w:color w:val="auto"/>
          <w:sz w:val="21"/>
          <w:szCs w:val="21"/>
          <w:highlight w:val="none"/>
        </w:rPr>
        <w:t>投标文件有下列情形之一的</w:t>
      </w:r>
      <w:r>
        <w:rPr>
          <w:rFonts w:hint="eastAsia" w:ascii="宋体" w:hAnsi="宋体"/>
          <w:color w:val="auto"/>
          <w:sz w:val="21"/>
          <w:szCs w:val="21"/>
          <w:highlight w:val="none"/>
          <w:lang w:eastAsia="zh-CN"/>
        </w:rPr>
        <w:t>，</w:t>
      </w:r>
      <w:r>
        <w:rPr>
          <w:rFonts w:hint="eastAsia" w:ascii="宋体" w:hAnsi="宋体"/>
          <w:color w:val="auto"/>
          <w:sz w:val="21"/>
          <w:szCs w:val="21"/>
          <w:highlight w:val="none"/>
        </w:rPr>
        <w:t>其投标文件拒收</w:t>
      </w:r>
      <w:r>
        <w:rPr>
          <w:rFonts w:hint="eastAsia" w:ascii="宋体" w:hAnsi="宋体"/>
          <w:color w:val="auto"/>
          <w:sz w:val="21"/>
          <w:szCs w:val="21"/>
          <w:highlight w:val="none"/>
          <w:lang w:eastAsia="zh-CN"/>
        </w:rPr>
        <w:t>：</w:t>
      </w:r>
    </w:p>
    <w:p w14:paraId="1B108B12">
      <w:pPr>
        <w:pageBreakBefore w:val="0"/>
        <w:kinsoku/>
        <w:wordWrap/>
        <w:overflowPunct/>
        <w:topLinePunct w:val="0"/>
        <w:autoSpaceDE/>
        <w:autoSpaceDN/>
        <w:bidi w:val="0"/>
        <w:adjustRightInd/>
        <w:snapToGrid w:val="0"/>
        <w:spacing w:line="500" w:lineRule="exact"/>
        <w:ind w:left="0" w:right="0" w:firstLine="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eastAsia="宋体"/>
          <w:color w:val="auto"/>
          <w:sz w:val="21"/>
          <w:szCs w:val="21"/>
          <w:highlight w:val="none"/>
        </w:rPr>
        <w:t xml:space="preserve">(1) </w:t>
      </w:r>
      <w:r>
        <w:rPr>
          <w:rFonts w:hint="eastAsia" w:ascii="宋体" w:hAnsi="宋体"/>
          <w:color w:val="auto"/>
          <w:sz w:val="21"/>
          <w:szCs w:val="21"/>
          <w:highlight w:val="none"/>
        </w:rPr>
        <w:t>未在开标截止时间前递交有效投标文件的，投标将被拒绝。</w:t>
      </w:r>
    </w:p>
    <w:p w14:paraId="226BCD3C">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.2</w:t>
      </w:r>
      <w:r>
        <w:rPr>
          <w:rFonts w:hint="eastAsia" w:ascii="宋体" w:hAnsi="宋体"/>
          <w:color w:val="auto"/>
          <w:sz w:val="21"/>
          <w:szCs w:val="21"/>
          <w:highlight w:val="none"/>
        </w:rPr>
        <w:t>投标人有下列情形之一的</w:t>
      </w:r>
      <w:r>
        <w:rPr>
          <w:rFonts w:hint="eastAsia" w:ascii="宋体" w:hAnsi="宋体"/>
          <w:color w:val="auto"/>
          <w:sz w:val="21"/>
          <w:szCs w:val="21"/>
          <w:highlight w:val="none"/>
          <w:lang w:eastAsia="zh-CN"/>
        </w:rPr>
        <w:t>，</w:t>
      </w:r>
      <w:r>
        <w:rPr>
          <w:rFonts w:hint="eastAsia" w:ascii="宋体" w:hAnsi="宋体"/>
          <w:color w:val="auto"/>
          <w:sz w:val="21"/>
          <w:szCs w:val="21"/>
          <w:highlight w:val="none"/>
        </w:rPr>
        <w:t>资格审查后其投标作无效投标处理：</w:t>
      </w:r>
    </w:p>
    <w:p w14:paraId="4311C5A2">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投标人为本项目提供招标代理服务的；</w:t>
      </w:r>
    </w:p>
    <w:p w14:paraId="34245A93">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投标人与在本项目代理机构存在相互任职或工作的；</w:t>
      </w:r>
    </w:p>
    <w:p w14:paraId="11BF1E7E">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 xml:space="preserve">) </w:t>
      </w:r>
      <w:r>
        <w:rPr>
          <w:rFonts w:hint="eastAsia" w:ascii="宋体" w:hAnsi="宋体"/>
          <w:color w:val="auto"/>
          <w:sz w:val="21"/>
          <w:szCs w:val="21"/>
          <w:highlight w:val="none"/>
        </w:rPr>
        <w:t>评标专家无法查看并检验投标文件中相关资料的；</w:t>
      </w:r>
    </w:p>
    <w:p w14:paraId="2FB5ECE2">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lang w:val="en-US" w:eastAsia="zh-CN"/>
        </w:rPr>
        <w:t>4</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被暂停营业的；</w:t>
      </w:r>
    </w:p>
    <w:p w14:paraId="1D1ACA96">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lang w:val="en-US" w:eastAsia="zh-CN"/>
        </w:rPr>
        <w:t>5</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被暂停或取消投标资格的；</w:t>
      </w:r>
    </w:p>
    <w:p w14:paraId="0C443366">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lang w:val="en-US" w:eastAsia="zh-CN"/>
        </w:rPr>
        <w:t>6</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投标人单位负责人为同一人或者存在</w:t>
      </w:r>
      <w:r>
        <w:rPr>
          <w:rFonts w:hint="eastAsia" w:ascii="宋体" w:hAnsi="宋体"/>
          <w:color w:val="auto"/>
          <w:sz w:val="21"/>
          <w:szCs w:val="21"/>
          <w:highlight w:val="none"/>
          <w:lang w:val="en-US" w:eastAsia="zh-CN"/>
        </w:rPr>
        <w:t>直接</w:t>
      </w:r>
      <w:r>
        <w:rPr>
          <w:rFonts w:hint="eastAsia" w:ascii="宋体" w:hAnsi="宋体"/>
          <w:color w:val="auto"/>
          <w:sz w:val="21"/>
          <w:szCs w:val="21"/>
          <w:highlight w:val="none"/>
        </w:rPr>
        <w:t>控股、管理关系的不同单位的；</w:t>
      </w:r>
    </w:p>
    <w:p w14:paraId="148EC598">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lang w:val="en-US" w:eastAsia="zh-CN"/>
        </w:rPr>
        <w:t>7</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投标人基本资格条件和特定资格条件中有一项及以上不符合要求的；</w:t>
      </w:r>
    </w:p>
    <w:p w14:paraId="3A586E0C">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lang w:val="en-US" w:eastAsia="zh-CN"/>
        </w:rPr>
        <w:t>8</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其它情形，经评标委员会委提出按无效投标处理的；</w:t>
      </w:r>
    </w:p>
    <w:p w14:paraId="492B0DC9">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w:t>
      </w:r>
      <w:r>
        <w:rPr>
          <w:rFonts w:hint="eastAsia" w:ascii="宋体" w:hAnsi="宋体" w:eastAsia="宋体"/>
          <w:color w:val="auto"/>
          <w:sz w:val="21"/>
          <w:szCs w:val="21"/>
          <w:highlight w:val="none"/>
          <w:lang w:val="en-US" w:eastAsia="zh-CN"/>
        </w:rPr>
        <w:t>9</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招标文件规定的其它无效投标情形。</w:t>
      </w:r>
    </w:p>
    <w:p w14:paraId="142B5955">
      <w:pPr>
        <w:pageBreakBefore w:val="0"/>
        <w:kinsoku/>
        <w:wordWrap/>
        <w:overflowPunct/>
        <w:topLinePunct w:val="0"/>
        <w:autoSpaceDE/>
        <w:autoSpaceDN/>
        <w:bidi w:val="0"/>
        <w:adjustRightInd/>
        <w:snapToGrid w:val="0"/>
        <w:spacing w:line="500" w:lineRule="exact"/>
        <w:ind w:left="0" w:right="0" w:firstLine="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 xml:space="preserve">.3 </w:t>
      </w:r>
      <w:r>
        <w:rPr>
          <w:rFonts w:hint="eastAsia" w:ascii="宋体" w:hAnsi="宋体"/>
          <w:color w:val="auto"/>
          <w:sz w:val="21"/>
          <w:szCs w:val="21"/>
          <w:highlight w:val="none"/>
        </w:rPr>
        <w:t>投标人有下列情形之一的</w:t>
      </w:r>
      <w:r>
        <w:rPr>
          <w:rFonts w:hint="eastAsia" w:ascii="宋体" w:hAnsi="宋体"/>
          <w:color w:val="auto"/>
          <w:sz w:val="21"/>
          <w:szCs w:val="21"/>
          <w:highlight w:val="none"/>
          <w:lang w:eastAsia="zh-CN"/>
        </w:rPr>
        <w:t>，</w:t>
      </w:r>
      <w:r>
        <w:rPr>
          <w:rFonts w:hint="eastAsia" w:ascii="宋体" w:hAnsi="宋体"/>
          <w:color w:val="auto"/>
          <w:sz w:val="21"/>
          <w:szCs w:val="21"/>
          <w:highlight w:val="none"/>
        </w:rPr>
        <w:t>符合性审查后其投标按无效投标处理：</w:t>
      </w:r>
    </w:p>
    <w:p w14:paraId="72ACBAD9">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投标文件签字、盖章不全，经评标委员会一致认定对开评标内容有实质性影响的；</w:t>
      </w:r>
    </w:p>
    <w:p w14:paraId="61C8256B">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未按规定的格式填写导致实质性内容不全以及实质上不响应，或者关键字迹模糊、无法辨认；</w:t>
      </w:r>
    </w:p>
    <w:p w14:paraId="61806B93">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3</w:t>
      </w:r>
      <w:r>
        <w:rPr>
          <w:rFonts w:hint="eastAsia" w:ascii="宋体" w:hAnsi="宋体"/>
          <w:color w:val="auto"/>
          <w:sz w:val="21"/>
          <w:szCs w:val="21"/>
          <w:highlight w:val="none"/>
          <w:lang w:eastAsia="zh-CN"/>
        </w:rPr>
        <w:t>）</w:t>
      </w:r>
      <w:r>
        <w:rPr>
          <w:rFonts w:hint="eastAsia" w:ascii="宋体" w:hAnsi="宋体"/>
          <w:color w:val="auto"/>
          <w:sz w:val="21"/>
          <w:szCs w:val="21"/>
          <w:highlight w:val="none"/>
        </w:rPr>
        <w:t>同一投标人提交两个以上不同的投标文件或者投标报价，但招标文件规定提交备选方案的除外；</w:t>
      </w:r>
    </w:p>
    <w:p w14:paraId="09C8640D">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4</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投标文件没有对招标文件的实质性要求和条件作出响应</w:t>
      </w:r>
      <w:r>
        <w:rPr>
          <w:rFonts w:hint="eastAsia" w:ascii="宋体" w:hAnsi="宋体"/>
          <w:color w:val="auto"/>
          <w:sz w:val="21"/>
          <w:szCs w:val="21"/>
          <w:highlight w:val="none"/>
          <w:lang w:eastAsia="zh-CN"/>
        </w:rPr>
        <w:t>；</w:t>
      </w:r>
    </w:p>
    <w:p w14:paraId="42D9E8C9">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投标报价超出规定的投标限价或公布的采购预算的；</w:t>
      </w:r>
    </w:p>
    <w:p w14:paraId="464B7729">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6</w:t>
      </w:r>
      <w:r>
        <w:rPr>
          <w:rFonts w:hint="eastAsia" w:ascii="宋体" w:hAnsi="宋体"/>
          <w:color w:val="auto"/>
          <w:sz w:val="21"/>
          <w:szCs w:val="21"/>
          <w:highlight w:val="none"/>
          <w:lang w:eastAsia="zh-CN"/>
        </w:rPr>
        <w:t>）</w:t>
      </w:r>
      <w:r>
        <w:rPr>
          <w:rFonts w:hint="eastAsia" w:ascii="宋体" w:hAnsi="宋体"/>
          <w:color w:val="auto"/>
          <w:sz w:val="21"/>
          <w:szCs w:val="21"/>
          <w:highlight w:val="none"/>
        </w:rPr>
        <w:t>不按评标委员会要求澄清、说明或补正的，或者评标委员会根据招标文件的规定对招标文件的计算错误进行修正后，投标人不接受修正的投标报价的。</w:t>
      </w:r>
    </w:p>
    <w:p w14:paraId="6A2C5B9B">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7</w:t>
      </w:r>
      <w:r>
        <w:rPr>
          <w:rFonts w:hint="eastAsia" w:ascii="宋体" w:hAnsi="宋体"/>
          <w:color w:val="auto"/>
          <w:sz w:val="21"/>
          <w:szCs w:val="21"/>
          <w:highlight w:val="none"/>
          <w:lang w:eastAsia="zh-CN"/>
        </w:rPr>
        <w:t>）</w:t>
      </w:r>
      <w:r>
        <w:rPr>
          <w:rFonts w:hint="eastAsia" w:ascii="宋体" w:hAnsi="宋体"/>
          <w:color w:val="auto"/>
          <w:sz w:val="21"/>
          <w:szCs w:val="21"/>
          <w:highlight w:val="none"/>
        </w:rPr>
        <w:t>其它情形，经评标委员会委提出按无效投标处理的；</w:t>
      </w:r>
    </w:p>
    <w:p w14:paraId="7F9EED35">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8</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投标文件含有</w:t>
      </w:r>
      <w:r>
        <w:rPr>
          <w:rFonts w:hint="eastAsia" w:ascii="宋体" w:hAnsi="宋体"/>
          <w:color w:val="auto"/>
          <w:sz w:val="21"/>
          <w:szCs w:val="21"/>
          <w:highlight w:val="none"/>
          <w:lang w:eastAsia="zh-CN"/>
        </w:rPr>
        <w:t>招标人</w:t>
      </w:r>
      <w:r>
        <w:rPr>
          <w:rFonts w:hint="eastAsia" w:ascii="宋体" w:hAnsi="宋体"/>
          <w:color w:val="auto"/>
          <w:sz w:val="21"/>
          <w:szCs w:val="21"/>
          <w:highlight w:val="none"/>
        </w:rPr>
        <w:t>不能接受的附加条件的；</w:t>
      </w:r>
    </w:p>
    <w:p w14:paraId="7F66ACE6">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9</w:t>
      </w:r>
      <w:r>
        <w:rPr>
          <w:rFonts w:hint="eastAsia" w:ascii="宋体" w:hAnsi="宋体"/>
          <w:color w:val="auto"/>
          <w:sz w:val="21"/>
          <w:szCs w:val="21"/>
          <w:highlight w:val="none"/>
          <w:lang w:eastAsia="zh-CN"/>
        </w:rPr>
        <w:t>）</w:t>
      </w:r>
      <w:r>
        <w:rPr>
          <w:rFonts w:hint="eastAsia" w:ascii="宋体" w:hAnsi="宋体"/>
          <w:color w:val="auto"/>
          <w:sz w:val="21"/>
          <w:szCs w:val="21"/>
          <w:highlight w:val="none"/>
        </w:rPr>
        <w:t>招标文件规定的其它无效投标情形。</w:t>
      </w:r>
    </w:p>
    <w:p w14:paraId="2333D47C">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8.4 </w:t>
      </w:r>
      <w:r>
        <w:rPr>
          <w:rFonts w:hint="eastAsia" w:ascii="宋体" w:hAnsi="宋体"/>
          <w:color w:val="auto"/>
          <w:sz w:val="21"/>
          <w:szCs w:val="21"/>
          <w:highlight w:val="none"/>
        </w:rPr>
        <w:t>投标人有下列情形之一的</w:t>
      </w:r>
      <w:r>
        <w:rPr>
          <w:rFonts w:hint="eastAsia" w:ascii="宋体" w:hAnsi="宋体"/>
          <w:color w:val="auto"/>
          <w:sz w:val="21"/>
          <w:szCs w:val="21"/>
          <w:highlight w:val="none"/>
          <w:lang w:eastAsia="zh-CN"/>
        </w:rPr>
        <w:t>，</w:t>
      </w:r>
      <w:r>
        <w:rPr>
          <w:rFonts w:hint="eastAsia" w:ascii="宋体" w:hAnsi="宋体"/>
          <w:color w:val="auto"/>
          <w:sz w:val="21"/>
          <w:szCs w:val="21"/>
          <w:highlight w:val="none"/>
        </w:rPr>
        <w:t xml:space="preserve"> 详细评审后其投标按无效投标处理：</w:t>
      </w:r>
    </w:p>
    <w:p w14:paraId="4B4CB7AC">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投标产品不符合必须强制执行的国家标准的；</w:t>
      </w:r>
    </w:p>
    <w:p w14:paraId="363BB153">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投标人有串通投标、弄虚作假、行贿等违法行为；</w:t>
      </w:r>
    </w:p>
    <w:p w14:paraId="5AD22ADC">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3</w:t>
      </w:r>
      <w:r>
        <w:rPr>
          <w:rFonts w:hint="eastAsia" w:ascii="宋体" w:hAnsi="宋体"/>
          <w:color w:val="auto"/>
          <w:sz w:val="21"/>
          <w:szCs w:val="21"/>
          <w:highlight w:val="none"/>
          <w:lang w:eastAsia="zh-CN"/>
        </w:rPr>
        <w:t>）</w:t>
      </w:r>
      <w:r>
        <w:rPr>
          <w:rFonts w:hint="eastAsia" w:ascii="宋体" w:hAnsi="宋体"/>
          <w:color w:val="auto"/>
          <w:sz w:val="21"/>
          <w:szCs w:val="21"/>
          <w:highlight w:val="none"/>
        </w:rPr>
        <w:t>投标文件含有违反国家法律、法规的内容，或附有</w:t>
      </w:r>
      <w:r>
        <w:rPr>
          <w:rFonts w:hint="eastAsia" w:ascii="宋体" w:hAnsi="宋体"/>
          <w:color w:val="auto"/>
          <w:sz w:val="21"/>
          <w:szCs w:val="21"/>
          <w:highlight w:val="none"/>
          <w:lang w:eastAsia="zh-CN"/>
        </w:rPr>
        <w:t>招标人</w:t>
      </w:r>
      <w:r>
        <w:rPr>
          <w:rFonts w:hint="eastAsia" w:ascii="宋体" w:hAnsi="宋体"/>
          <w:color w:val="auto"/>
          <w:sz w:val="21"/>
          <w:szCs w:val="21"/>
          <w:highlight w:val="none"/>
        </w:rPr>
        <w:t>不能接受的条件的；</w:t>
      </w:r>
    </w:p>
    <w:p w14:paraId="3707F14B">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lang w:val="en-US" w:eastAsia="zh-CN"/>
        </w:rPr>
        <w:t>4</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报价明显低于其他投标人，且不能证明报价合理性的投标无效；</w:t>
      </w:r>
    </w:p>
    <w:p w14:paraId="62AA848C">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lang w:val="en-US" w:eastAsia="zh-CN"/>
        </w:rPr>
        <w:t>5</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拒不确认评标委员会评审修正的投标无效；</w:t>
      </w:r>
    </w:p>
    <w:p w14:paraId="3F989F75">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lang w:val="en-US" w:eastAsia="zh-CN"/>
        </w:rPr>
        <w:t>6</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其它情形，经评标委员会委提出按无效投标处理的；</w:t>
      </w:r>
    </w:p>
    <w:p w14:paraId="4F100265">
      <w:pPr>
        <w:pageBreakBefore w:val="0"/>
        <w:kinsoku/>
        <w:wordWrap/>
        <w:overflowPunct/>
        <w:topLinePunct w:val="0"/>
        <w:autoSpaceDE/>
        <w:autoSpaceDN/>
        <w:bidi w:val="0"/>
        <w:adjustRightInd/>
        <w:snapToGrid w:val="0"/>
        <w:spacing w:line="500" w:lineRule="exact"/>
        <w:ind w:left="0" w:right="0" w:firstLine="420"/>
        <w:jc w:val="left"/>
        <w:textAlignment w:val="auto"/>
        <w:rPr>
          <w:rFonts w:hint="eastAsia" w:ascii="宋体" w:hAnsi="宋体" w:eastAsia="宋体"/>
          <w:color w:val="auto"/>
          <w:sz w:val="21"/>
          <w:szCs w:val="21"/>
          <w:highlight w:val="none"/>
          <w:lang w:eastAsia="zh-CN"/>
        </w:rPr>
        <w:sectPr>
          <w:headerReference r:id="rId10" w:type="first"/>
          <w:footerReference r:id="rId13" w:type="first"/>
          <w:headerReference r:id="rId8" w:type="default"/>
          <w:footerReference r:id="rId11" w:type="default"/>
          <w:headerReference r:id="rId9" w:type="even"/>
          <w:footerReference r:id="rId12" w:type="even"/>
          <w:footnotePr>
            <w:numFmt w:val="decimal"/>
          </w:footnotePr>
          <w:pgSz w:w="11906" w:h="16838"/>
          <w:pgMar w:top="1440" w:right="1247" w:bottom="1440" w:left="1247" w:header="851" w:footer="992" w:gutter="0"/>
          <w:pgNumType w:fmt="numberInDash"/>
          <w:cols w:space="720" w:num="1"/>
          <w:docGrid w:type="lines" w:linePitch="312" w:charSpace="0"/>
        </w:sectPr>
      </w:pP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lang w:val="en-US" w:eastAsia="zh-CN"/>
        </w:rPr>
        <w:t>7</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招标文件规定的其它无效投标情形</w:t>
      </w:r>
      <w:r>
        <w:rPr>
          <w:rFonts w:hint="eastAsia" w:ascii="宋体" w:hAnsi="宋体"/>
          <w:color w:val="auto"/>
          <w:sz w:val="21"/>
          <w:szCs w:val="21"/>
          <w:highlight w:val="none"/>
          <w:lang w:eastAsia="zh-CN"/>
        </w:rPr>
        <w:t>。</w:t>
      </w:r>
    </w:p>
    <w:bookmarkEnd w:id="89"/>
    <w:bookmarkEnd w:id="90"/>
    <w:bookmarkEnd w:id="91"/>
    <w:bookmarkEnd w:id="92"/>
    <w:bookmarkEnd w:id="93"/>
    <w:bookmarkEnd w:id="94"/>
    <w:bookmarkEnd w:id="95"/>
    <w:p w14:paraId="470364F1">
      <w:pPr>
        <w:pStyle w:val="2"/>
        <w:keepNext/>
        <w:keepLines/>
        <w:pageBreakBefore w:val="0"/>
        <w:widowControl w:val="0"/>
        <w:kinsoku/>
        <w:wordWrap/>
        <w:overflowPunct/>
        <w:topLinePunct w:val="0"/>
        <w:autoSpaceDE/>
        <w:autoSpaceDN/>
        <w:bidi w:val="0"/>
        <w:adjustRightInd/>
        <w:snapToGrid/>
        <w:spacing w:before="95" w:beforeLines="30" w:after="95" w:afterLines="30" w:line="520" w:lineRule="exact"/>
        <w:jc w:val="center"/>
        <w:textAlignment w:val="auto"/>
        <w:rPr>
          <w:rFonts w:hint="eastAsia" w:ascii="宋体" w:hAnsi="宋体" w:eastAsia="宋体" w:cs="宋体"/>
          <w:b/>
          <w:bCs/>
          <w:color w:val="auto"/>
          <w:sz w:val="24"/>
          <w:szCs w:val="24"/>
          <w:highlight w:val="none"/>
          <w:u w:val="none"/>
        </w:rPr>
      </w:pPr>
      <w:bookmarkStart w:id="100" w:name="_Toc3077"/>
      <w:r>
        <w:rPr>
          <w:rFonts w:hint="eastAsia" w:ascii="宋体" w:hAnsi="宋体" w:cs="宋体"/>
          <w:b/>
          <w:bCs/>
          <w:color w:val="auto"/>
          <w:sz w:val="32"/>
          <w:szCs w:val="32"/>
          <w:highlight w:val="none"/>
        </w:rPr>
        <w:t>第</w:t>
      </w: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 xml:space="preserve">章 </w:t>
      </w:r>
      <w:bookmarkEnd w:id="100"/>
      <w:r>
        <w:rPr>
          <w:rFonts w:hint="eastAsia" w:ascii="宋体" w:hAnsi="宋体" w:cs="宋体"/>
          <w:b/>
          <w:bCs/>
          <w:color w:val="auto"/>
          <w:kern w:val="0"/>
          <w:sz w:val="32"/>
          <w:szCs w:val="32"/>
          <w:highlight w:val="none"/>
          <w:lang w:val="en-US" w:eastAsia="zh-CN"/>
        </w:rPr>
        <w:t>采购需求</w:t>
      </w:r>
    </w:p>
    <w:bookmarkEnd w:id="96"/>
    <w:p w14:paraId="28509FE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rPr>
          <w:rFonts w:hint="eastAsia" w:ascii="宋体" w:hAnsi="宋体" w:eastAsia="宋体" w:cs="宋体"/>
          <w:b/>
          <w:bCs/>
          <w:color w:val="auto"/>
          <w:kern w:val="2"/>
          <w:sz w:val="24"/>
          <w:szCs w:val="24"/>
          <w:highlight w:val="none"/>
          <w:u w:val="none"/>
          <w:lang w:val="en-US" w:eastAsia="zh-CN" w:bidi="ar-SA"/>
        </w:rPr>
      </w:pPr>
      <w:r>
        <w:rPr>
          <w:rFonts w:hint="eastAsia" w:ascii="宋体" w:hAnsi="宋体" w:eastAsia="宋体" w:cs="宋体"/>
          <w:b/>
          <w:bCs/>
          <w:color w:val="auto"/>
          <w:kern w:val="2"/>
          <w:sz w:val="24"/>
          <w:szCs w:val="24"/>
          <w:highlight w:val="none"/>
          <w:u w:val="none"/>
          <w:lang w:val="en-US" w:eastAsia="zh-CN" w:bidi="ar-SA"/>
        </w:rPr>
        <w:t>一、技术参数</w:t>
      </w:r>
    </w:p>
    <w:tbl>
      <w:tblPr>
        <w:tblStyle w:val="49"/>
        <w:tblW w:w="9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930"/>
        <w:gridCol w:w="6945"/>
        <w:gridCol w:w="705"/>
        <w:gridCol w:w="705"/>
      </w:tblGrid>
      <w:tr w14:paraId="605B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 w:type="dxa"/>
            <w:noWrap w:val="0"/>
            <w:vAlign w:val="top"/>
          </w:tcPr>
          <w:p w14:paraId="519FF4A1">
            <w:pPr>
              <w:pStyle w:val="2"/>
              <w:keepNext w:val="0"/>
              <w:keepLines/>
              <w:pageBreakBefore w:val="0"/>
              <w:widowControl/>
              <w:kinsoku/>
              <w:wordWrap/>
              <w:overflowPunct/>
              <w:topLinePunct w:val="0"/>
              <w:autoSpaceDE/>
              <w:autoSpaceDN/>
              <w:bidi w:val="0"/>
              <w:adjustRightInd/>
              <w:snapToGrid/>
              <w:spacing w:before="0" w:beforeLines="0" w:after="0" w:afterLines="0" w:line="500" w:lineRule="exact"/>
              <w:jc w:val="center"/>
              <w:textAlignment w:val="auto"/>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宋体" w:hAnsi="宋体" w:eastAsia="宋体" w:cs="宋体"/>
                <w:b/>
                <w:bCs/>
                <w:color w:val="auto"/>
                <w:kern w:val="2"/>
                <w:sz w:val="21"/>
                <w:szCs w:val="21"/>
                <w:highlight w:val="none"/>
                <w:u w:val="none"/>
                <w:vertAlign w:val="baseline"/>
                <w:lang w:val="en-US" w:eastAsia="zh-CN" w:bidi="ar-SA"/>
              </w:rPr>
              <w:t>序号</w:t>
            </w:r>
          </w:p>
        </w:tc>
        <w:tc>
          <w:tcPr>
            <w:tcW w:w="930" w:type="dxa"/>
            <w:noWrap w:val="0"/>
            <w:vAlign w:val="top"/>
          </w:tcPr>
          <w:p w14:paraId="2861CFFE">
            <w:pPr>
              <w:pStyle w:val="2"/>
              <w:keepNext w:val="0"/>
              <w:keepLines/>
              <w:pageBreakBefore w:val="0"/>
              <w:widowControl/>
              <w:kinsoku/>
              <w:wordWrap/>
              <w:overflowPunct/>
              <w:topLinePunct w:val="0"/>
              <w:autoSpaceDE/>
              <w:autoSpaceDN/>
              <w:bidi w:val="0"/>
              <w:adjustRightInd/>
              <w:snapToGrid/>
              <w:spacing w:before="0" w:beforeLines="0" w:after="0" w:afterLines="0" w:line="500" w:lineRule="exact"/>
              <w:jc w:val="center"/>
              <w:textAlignment w:val="auto"/>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宋体" w:hAnsi="宋体" w:eastAsia="宋体" w:cs="宋体"/>
                <w:b/>
                <w:bCs/>
                <w:color w:val="auto"/>
                <w:kern w:val="2"/>
                <w:sz w:val="21"/>
                <w:szCs w:val="21"/>
                <w:highlight w:val="none"/>
                <w:u w:val="none"/>
                <w:vertAlign w:val="baseline"/>
                <w:lang w:val="en-US" w:eastAsia="zh-CN" w:bidi="ar-SA"/>
              </w:rPr>
              <w:t>名称</w:t>
            </w:r>
          </w:p>
        </w:tc>
        <w:tc>
          <w:tcPr>
            <w:tcW w:w="6945" w:type="dxa"/>
            <w:noWrap w:val="0"/>
            <w:vAlign w:val="top"/>
          </w:tcPr>
          <w:p w14:paraId="372FF88A">
            <w:pPr>
              <w:pStyle w:val="2"/>
              <w:keepNext w:val="0"/>
              <w:keepLines/>
              <w:pageBreakBefore w:val="0"/>
              <w:widowControl/>
              <w:kinsoku/>
              <w:wordWrap/>
              <w:overflowPunct/>
              <w:topLinePunct w:val="0"/>
              <w:autoSpaceDE/>
              <w:autoSpaceDN/>
              <w:bidi w:val="0"/>
              <w:adjustRightInd/>
              <w:snapToGrid/>
              <w:spacing w:before="0" w:beforeLines="0" w:after="0" w:afterLines="0" w:line="500" w:lineRule="exact"/>
              <w:jc w:val="center"/>
              <w:textAlignment w:val="auto"/>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宋体" w:hAnsi="宋体" w:eastAsia="宋体" w:cs="宋体"/>
                <w:b/>
                <w:bCs/>
                <w:color w:val="auto"/>
                <w:kern w:val="2"/>
                <w:sz w:val="21"/>
                <w:szCs w:val="21"/>
                <w:highlight w:val="none"/>
                <w:u w:val="none"/>
                <w:vertAlign w:val="baseline"/>
                <w:lang w:val="en-US" w:eastAsia="zh-CN" w:bidi="ar-SA"/>
              </w:rPr>
              <w:t>技术参数</w:t>
            </w:r>
          </w:p>
        </w:tc>
        <w:tc>
          <w:tcPr>
            <w:tcW w:w="705" w:type="dxa"/>
            <w:noWrap w:val="0"/>
            <w:vAlign w:val="top"/>
          </w:tcPr>
          <w:p w14:paraId="255177E7">
            <w:pPr>
              <w:pStyle w:val="2"/>
              <w:keepNext w:val="0"/>
              <w:keepLines/>
              <w:pageBreakBefore w:val="0"/>
              <w:widowControl/>
              <w:kinsoku/>
              <w:wordWrap/>
              <w:overflowPunct/>
              <w:topLinePunct w:val="0"/>
              <w:autoSpaceDE/>
              <w:autoSpaceDN/>
              <w:bidi w:val="0"/>
              <w:adjustRightInd/>
              <w:snapToGrid/>
              <w:spacing w:before="0" w:beforeLines="0" w:after="0" w:afterLines="0" w:line="500" w:lineRule="exact"/>
              <w:jc w:val="center"/>
              <w:textAlignment w:val="auto"/>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宋体" w:hAnsi="宋体" w:eastAsia="宋体" w:cs="宋体"/>
                <w:b/>
                <w:bCs/>
                <w:color w:val="auto"/>
                <w:kern w:val="2"/>
                <w:sz w:val="21"/>
                <w:szCs w:val="21"/>
                <w:highlight w:val="none"/>
                <w:u w:val="none"/>
                <w:vertAlign w:val="baseline"/>
                <w:lang w:val="en-US" w:eastAsia="zh-CN" w:bidi="ar-SA"/>
              </w:rPr>
              <w:t>单位</w:t>
            </w:r>
          </w:p>
        </w:tc>
        <w:tc>
          <w:tcPr>
            <w:tcW w:w="705" w:type="dxa"/>
            <w:noWrap w:val="0"/>
            <w:vAlign w:val="top"/>
          </w:tcPr>
          <w:p w14:paraId="23A54507">
            <w:pPr>
              <w:pStyle w:val="2"/>
              <w:keepNext w:val="0"/>
              <w:keepLines/>
              <w:pageBreakBefore w:val="0"/>
              <w:widowControl/>
              <w:kinsoku/>
              <w:wordWrap/>
              <w:overflowPunct/>
              <w:topLinePunct w:val="0"/>
              <w:autoSpaceDE/>
              <w:autoSpaceDN/>
              <w:bidi w:val="0"/>
              <w:adjustRightInd/>
              <w:snapToGrid/>
              <w:spacing w:before="0" w:beforeLines="0" w:after="0" w:afterLines="0" w:line="500" w:lineRule="exact"/>
              <w:jc w:val="center"/>
              <w:textAlignment w:val="auto"/>
              <w:rPr>
                <w:rFonts w:hint="eastAsia" w:ascii="宋体" w:hAnsi="宋体" w:eastAsia="宋体" w:cs="宋体"/>
                <w:b/>
                <w:bCs/>
                <w:color w:val="auto"/>
                <w:kern w:val="2"/>
                <w:sz w:val="21"/>
                <w:szCs w:val="21"/>
                <w:highlight w:val="none"/>
                <w:u w:val="none"/>
                <w:vertAlign w:val="baseline"/>
                <w:lang w:val="en-US" w:eastAsia="zh-CN" w:bidi="ar-SA"/>
              </w:rPr>
            </w:pPr>
            <w:r>
              <w:rPr>
                <w:rFonts w:hint="eastAsia" w:ascii="宋体" w:hAnsi="宋体" w:eastAsia="宋体" w:cs="宋体"/>
                <w:b/>
                <w:bCs/>
                <w:color w:val="auto"/>
                <w:kern w:val="2"/>
                <w:sz w:val="21"/>
                <w:szCs w:val="21"/>
                <w:highlight w:val="none"/>
                <w:u w:val="none"/>
                <w:vertAlign w:val="baseline"/>
                <w:lang w:val="en-US" w:eastAsia="zh-CN" w:bidi="ar-SA"/>
              </w:rPr>
              <w:t>数量</w:t>
            </w:r>
          </w:p>
        </w:tc>
      </w:tr>
      <w:tr w14:paraId="01D4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58" w:type="dxa"/>
            <w:noWrap w:val="0"/>
            <w:vAlign w:val="center"/>
          </w:tcPr>
          <w:p w14:paraId="7905EEC3">
            <w:pPr>
              <w:pStyle w:val="2"/>
              <w:keepNext w:val="0"/>
              <w:keepLines/>
              <w:pageBreakBefore w:val="0"/>
              <w:widowControl/>
              <w:kinsoku/>
              <w:wordWrap/>
              <w:overflowPunct/>
              <w:topLinePunct w:val="0"/>
              <w:autoSpaceDE/>
              <w:autoSpaceDN/>
              <w:bidi w:val="0"/>
              <w:adjustRightInd/>
              <w:snapToGrid/>
              <w:spacing w:before="0" w:beforeLines="0" w:after="0" w:afterLines="0" w:line="500" w:lineRule="exact"/>
              <w:jc w:val="center"/>
              <w:textAlignment w:val="auto"/>
              <w:rPr>
                <w:rFonts w:hint="eastAsia" w:ascii="宋体" w:hAnsi="宋体" w:eastAsia="宋体" w:cs="宋体"/>
                <w:b w:val="0"/>
                <w:bCs w:val="0"/>
                <w:color w:val="auto"/>
                <w:kern w:val="2"/>
                <w:sz w:val="21"/>
                <w:szCs w:val="21"/>
                <w:highlight w:val="none"/>
                <w:u w:val="none"/>
                <w:vertAlign w:val="baseline"/>
                <w:lang w:val="en-US" w:eastAsia="zh-CN" w:bidi="ar-SA"/>
              </w:rPr>
            </w:pPr>
            <w:r>
              <w:rPr>
                <w:rFonts w:hint="eastAsia" w:ascii="宋体" w:hAnsi="宋体" w:eastAsia="宋体" w:cs="宋体"/>
                <w:b w:val="0"/>
                <w:bCs w:val="0"/>
                <w:color w:val="auto"/>
                <w:kern w:val="2"/>
                <w:sz w:val="21"/>
                <w:szCs w:val="21"/>
                <w:highlight w:val="none"/>
                <w:u w:val="none"/>
                <w:vertAlign w:val="baseline"/>
                <w:lang w:val="en-US" w:eastAsia="zh-CN" w:bidi="ar-SA"/>
              </w:rPr>
              <w:t>1</w:t>
            </w:r>
          </w:p>
        </w:tc>
        <w:tc>
          <w:tcPr>
            <w:tcW w:w="930" w:type="dxa"/>
            <w:noWrap w:val="0"/>
            <w:vAlign w:val="center"/>
          </w:tcPr>
          <w:p w14:paraId="78F5CECB">
            <w:pPr>
              <w:pStyle w:val="2"/>
              <w:keepNext w:val="0"/>
              <w:keepLines/>
              <w:pageBreakBefore w:val="0"/>
              <w:widowControl/>
              <w:kinsoku/>
              <w:wordWrap/>
              <w:overflowPunct/>
              <w:topLinePunct w:val="0"/>
              <w:autoSpaceDE/>
              <w:autoSpaceDN/>
              <w:bidi w:val="0"/>
              <w:adjustRightInd/>
              <w:snapToGrid/>
              <w:spacing w:before="0" w:beforeLines="0" w:after="0" w:afterLines="0" w:line="500" w:lineRule="exact"/>
              <w:jc w:val="center"/>
              <w:textAlignment w:val="auto"/>
              <w:rPr>
                <w:rFonts w:hint="eastAsia" w:ascii="宋体" w:hAnsi="宋体" w:eastAsia="宋体" w:cs="宋体"/>
                <w:b w:val="0"/>
                <w:bCs w:val="0"/>
                <w:color w:val="auto"/>
                <w:kern w:val="2"/>
                <w:sz w:val="21"/>
                <w:szCs w:val="21"/>
                <w:highlight w:val="none"/>
                <w:u w:val="none"/>
                <w:vertAlign w:val="baseline"/>
                <w:lang w:val="en-US" w:eastAsia="zh-CN" w:bidi="ar-SA"/>
              </w:rPr>
            </w:pPr>
            <w:r>
              <w:rPr>
                <w:rFonts w:hint="eastAsia" w:ascii="宋体" w:hAnsi="宋体" w:eastAsia="宋体" w:cs="宋体"/>
                <w:b w:val="0"/>
                <w:bCs w:val="0"/>
                <w:color w:val="auto"/>
                <w:kern w:val="2"/>
                <w:sz w:val="21"/>
                <w:szCs w:val="21"/>
                <w:highlight w:val="none"/>
                <w:u w:val="none"/>
                <w:vertAlign w:val="baseline"/>
                <w:lang w:val="en-US" w:eastAsia="zh-CN" w:bidi="ar-SA"/>
              </w:rPr>
              <w:t>冷链车</w:t>
            </w:r>
          </w:p>
        </w:tc>
        <w:tc>
          <w:tcPr>
            <w:tcW w:w="6945" w:type="dxa"/>
            <w:noWrap w:val="0"/>
            <w:vAlign w:val="top"/>
          </w:tcPr>
          <w:p w14:paraId="66E5D290">
            <w:pPr>
              <w:keepNext w:val="0"/>
              <w:keepLines/>
              <w:pageBreakBefore w:val="0"/>
              <w:widowControl/>
              <w:numPr>
                <w:ilvl w:val="0"/>
                <w:numId w:val="0"/>
              </w:numPr>
              <w:kinsoku/>
              <w:wordWrap/>
              <w:overflowPunct/>
              <w:topLinePunct w:val="0"/>
              <w:autoSpaceDE/>
              <w:autoSpaceDN/>
              <w:bidi w:val="0"/>
              <w:snapToGrid/>
              <w:spacing w:line="44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一、</w:t>
            </w:r>
            <w:r>
              <w:rPr>
                <w:rFonts w:hint="eastAsia" w:ascii="宋体" w:hAnsi="宋体" w:eastAsia="宋体" w:cs="宋体"/>
                <w:b/>
                <w:color w:val="auto"/>
                <w:sz w:val="21"/>
                <w:szCs w:val="21"/>
              </w:rPr>
              <w:t>基础车型参数</w:t>
            </w:r>
          </w:p>
          <w:p w14:paraId="0B7BDCC3">
            <w:pPr>
              <w:keepNext w:val="0"/>
              <w:keepLines/>
              <w:pageBreakBefore w:val="0"/>
              <w:widowControl/>
              <w:numPr>
                <w:ilvl w:val="0"/>
                <w:numId w:val="0"/>
              </w:numPr>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1、车体尺寸（长宽高mm）：</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5995×2260×3255</w:t>
            </w:r>
          </w:p>
          <w:p w14:paraId="2A39E035">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2、货厢尺寸（长宽高mm）：</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4100×2100×2100</w:t>
            </w:r>
          </w:p>
          <w:p w14:paraId="227C8B93">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3、轴距（mm）: </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3360</w:t>
            </w:r>
          </w:p>
          <w:p w14:paraId="60909763">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4、整备质量（kg）：</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3200</w:t>
            </w:r>
          </w:p>
          <w:p w14:paraId="26E78880">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5、总质量（kg）：</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4495</w:t>
            </w:r>
          </w:p>
          <w:p w14:paraId="3075EA9E">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6、轴荷：</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1840/2655</w:t>
            </w:r>
          </w:p>
          <w:p w14:paraId="31FB951F">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7、前悬/后悬（mm）： </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1115/1520</w:t>
            </w:r>
          </w:p>
          <w:p w14:paraId="5703871B">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8、燃油类别：柴油</w:t>
            </w:r>
          </w:p>
          <w:p w14:paraId="35086410">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9、排放标准：国六</w:t>
            </w:r>
          </w:p>
          <w:p w14:paraId="65DA4A1E">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10、发动机排量：</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2.5T</w:t>
            </w:r>
          </w:p>
          <w:p w14:paraId="205548C8">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11、功率（Kw）：120≤参数≤128</w:t>
            </w:r>
          </w:p>
          <w:p w14:paraId="595F9EE4">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12、马力（ps）：≥174</w:t>
            </w:r>
          </w:p>
          <w:p w14:paraId="6E2C0491">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、标定最高车速（kw/h）：</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110</w:t>
            </w:r>
          </w:p>
          <w:p w14:paraId="2C8FD1E0">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、核载（人/kg）：</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3/1100</w:t>
            </w:r>
          </w:p>
          <w:p w14:paraId="7B079D1A">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、油箱容积：</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120L</w:t>
            </w:r>
          </w:p>
          <w:p w14:paraId="46F49A3D">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、变速器：6速手动挡</w:t>
            </w:r>
          </w:p>
          <w:p w14:paraId="38D3FD55">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 xml:space="preserve">、轮胎型号：7.00R16RT </w:t>
            </w:r>
          </w:p>
          <w:p w14:paraId="6CD5FB5A">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、转向系统：液压助力转向系统</w:t>
            </w:r>
          </w:p>
          <w:p w14:paraId="34EDA766">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、大梁材质：超高强钢材宝钢QSTE650TM车架</w:t>
            </w:r>
          </w:p>
          <w:p w14:paraId="5FD2B784">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、车架参数mm（外宽*幅高*断面宽*料厚）：</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900*214*65*5</w:t>
            </w:r>
          </w:p>
          <w:p w14:paraId="7C229B2E">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、其他配置：</w:t>
            </w:r>
            <w:r>
              <w:rPr>
                <w:rFonts w:hint="eastAsia" w:ascii="宋体" w:hAnsi="宋体" w:eastAsia="宋体" w:cs="宋体"/>
                <w:color w:val="auto"/>
                <w:sz w:val="21"/>
                <w:szCs w:val="21"/>
                <w:highlight w:val="none"/>
              </w:rPr>
              <w:t>气囊减震座椅、定速巡航、电加热后视镜、智能节油开关（EPB）、气刹、中控大屏带倒车影像、倒车雷达、发动机变速箱终身质保。</w:t>
            </w:r>
          </w:p>
          <w:p w14:paraId="5C9B572F">
            <w:pPr>
              <w:keepNext w:val="0"/>
              <w:keepLines/>
              <w:pageBreakBefore w:val="0"/>
              <w:widowControl/>
              <w:kinsoku/>
              <w:wordWrap/>
              <w:overflowPunct/>
              <w:topLinePunct w:val="0"/>
              <w:autoSpaceDE/>
              <w:autoSpaceDN/>
              <w:bidi w:val="0"/>
              <w:snapToGrid/>
              <w:spacing w:line="44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、冷藏车必须是底盘生产厂家原厂原改装</w:t>
            </w:r>
            <w:r>
              <w:rPr>
                <w:rFonts w:hint="eastAsia" w:ascii="宋体" w:hAnsi="宋体" w:eastAsia="宋体" w:cs="宋体"/>
                <w:color w:val="auto"/>
                <w:sz w:val="21"/>
                <w:szCs w:val="21"/>
                <w:lang w:eastAsia="zh-CN"/>
              </w:rPr>
              <w:t>。</w:t>
            </w:r>
          </w:p>
          <w:p w14:paraId="1C884DA2">
            <w:pPr>
              <w:pStyle w:val="47"/>
              <w:keepNext w:val="0"/>
              <w:keepLines/>
              <w:pageBreakBefore w:val="0"/>
              <w:widowControl/>
              <w:kinsoku/>
              <w:wordWrap/>
              <w:overflowPunct/>
              <w:topLinePunct w:val="0"/>
              <w:autoSpaceDE/>
              <w:autoSpaceDN/>
              <w:bidi w:val="0"/>
              <w:snapToGrid/>
              <w:spacing w:after="0" w:line="44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23、车辆发生故障时0.5小时内电话解决，电话解决不了的1小时内到达现场解决。</w:t>
            </w:r>
          </w:p>
          <w:p w14:paraId="5BC01F88">
            <w:pPr>
              <w:keepNext w:val="0"/>
              <w:keepLines/>
              <w:pageBreakBefore w:val="0"/>
              <w:widowControl/>
              <w:kinsoku/>
              <w:wordWrap/>
              <w:overflowPunct/>
              <w:topLinePunct w:val="0"/>
              <w:autoSpaceDE/>
              <w:autoSpaceDN/>
              <w:bidi w:val="0"/>
              <w:adjustRightInd w:val="0"/>
              <w:snapToGrid/>
              <w:spacing w:line="440" w:lineRule="exact"/>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二、</w:t>
            </w:r>
            <w:r>
              <w:rPr>
                <w:rFonts w:hint="eastAsia" w:ascii="宋体" w:hAnsi="宋体" w:eastAsia="宋体" w:cs="宋体"/>
                <w:b/>
                <w:bCs/>
                <w:color w:val="auto"/>
                <w:sz w:val="21"/>
                <w:szCs w:val="21"/>
              </w:rPr>
              <w:t>冷藏机组技术参数</w:t>
            </w:r>
          </w:p>
          <w:p w14:paraId="69D7F581">
            <w:pPr>
              <w:keepNext w:val="0"/>
              <w:keepLines/>
              <w:pageBreakBefore w:val="0"/>
              <w:widowControl/>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1、产品外形：冷凝器，风机数量2；蒸发器，风机数量3。</w:t>
            </w:r>
          </w:p>
          <w:p w14:paraId="224013E0">
            <w:pPr>
              <w:keepNext w:val="0"/>
              <w:keepLines/>
              <w:pageBreakBefore w:val="0"/>
              <w:widowControl/>
              <w:numPr>
                <w:ilvl w:val="0"/>
                <w:numId w:val="0"/>
              </w:numPr>
              <w:tabs>
                <w:tab w:val="left" w:pos="866"/>
              </w:tabs>
              <w:kinsoku/>
              <w:wordWrap/>
              <w:overflowPunct/>
              <w:topLinePunct w:val="0"/>
              <w:autoSpaceDE/>
              <w:autoSpaceDN/>
              <w:bidi w:val="0"/>
              <w:adjustRightInd/>
              <w:snapToGrid/>
              <w:spacing w:line="440" w:lineRule="exact"/>
              <w:jc w:val="both"/>
              <w:textAlignment w:val="auto"/>
              <w:rPr>
                <w:rFonts w:hint="default" w:ascii="宋体" w:hAnsi="宋体" w:eastAsia="宋体" w:cs="宋体"/>
                <w:b w:val="0"/>
                <w:bCs w:val="0"/>
                <w:color w:val="auto"/>
                <w:kern w:val="2"/>
                <w:sz w:val="21"/>
                <w:szCs w:val="21"/>
                <w:highlight w:val="none"/>
                <w:u w:val="none"/>
                <w:vertAlign w:val="baseline"/>
                <w:lang w:val="en-US" w:eastAsia="zh-CN" w:bidi="ar-SA"/>
              </w:rPr>
            </w:pPr>
            <w:r>
              <w:rPr>
                <w:rFonts w:hint="eastAsia" w:ascii="宋体" w:hAnsi="宋体" w:eastAsia="宋体" w:cs="宋体"/>
                <w:color w:val="auto"/>
                <w:sz w:val="21"/>
                <w:szCs w:val="21"/>
              </w:rPr>
              <w:t>2、技术参数：厢体最低温度</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-20℃，压缩机排量</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138cc，蒸发风量</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2800立方米/时，带自动除霜（热气融霜）和手动强制除霜。</w:t>
            </w:r>
          </w:p>
        </w:tc>
        <w:tc>
          <w:tcPr>
            <w:tcW w:w="705" w:type="dxa"/>
            <w:noWrap w:val="0"/>
            <w:vAlign w:val="center"/>
          </w:tcPr>
          <w:p w14:paraId="011A62F8">
            <w:pPr>
              <w:pStyle w:val="2"/>
              <w:keepNext w:val="0"/>
              <w:keepLines/>
              <w:pageBreakBefore w:val="0"/>
              <w:widowControl/>
              <w:kinsoku/>
              <w:wordWrap/>
              <w:overflowPunct/>
              <w:topLinePunct w:val="0"/>
              <w:autoSpaceDE/>
              <w:autoSpaceDN/>
              <w:bidi w:val="0"/>
              <w:adjustRightInd/>
              <w:snapToGrid/>
              <w:spacing w:before="0" w:beforeLines="0" w:after="0" w:afterLines="0" w:line="500" w:lineRule="exact"/>
              <w:jc w:val="center"/>
              <w:textAlignment w:val="auto"/>
              <w:rPr>
                <w:rFonts w:hint="eastAsia" w:ascii="宋体" w:hAnsi="宋体" w:eastAsia="宋体" w:cs="宋体"/>
                <w:b w:val="0"/>
                <w:bCs w:val="0"/>
                <w:color w:val="auto"/>
                <w:kern w:val="2"/>
                <w:sz w:val="21"/>
                <w:szCs w:val="21"/>
                <w:highlight w:val="none"/>
                <w:u w:val="none"/>
                <w:vertAlign w:val="baseline"/>
                <w:lang w:val="en-US" w:eastAsia="zh-CN" w:bidi="ar-SA"/>
              </w:rPr>
            </w:pPr>
            <w:r>
              <w:rPr>
                <w:rFonts w:hint="eastAsia" w:ascii="宋体" w:hAnsi="宋体" w:cs="宋体"/>
                <w:b w:val="0"/>
                <w:bCs w:val="0"/>
                <w:color w:val="auto"/>
                <w:kern w:val="2"/>
                <w:sz w:val="21"/>
                <w:szCs w:val="21"/>
                <w:highlight w:val="none"/>
                <w:u w:val="none"/>
                <w:vertAlign w:val="baseline"/>
                <w:lang w:val="en-US" w:eastAsia="zh-CN" w:bidi="ar-SA"/>
              </w:rPr>
              <w:t>台</w:t>
            </w:r>
          </w:p>
        </w:tc>
        <w:tc>
          <w:tcPr>
            <w:tcW w:w="705" w:type="dxa"/>
            <w:noWrap w:val="0"/>
            <w:vAlign w:val="center"/>
          </w:tcPr>
          <w:p w14:paraId="47EB5C49">
            <w:pPr>
              <w:pStyle w:val="2"/>
              <w:keepNext w:val="0"/>
              <w:keepLines/>
              <w:pageBreakBefore w:val="0"/>
              <w:widowControl/>
              <w:kinsoku/>
              <w:wordWrap/>
              <w:overflowPunct/>
              <w:topLinePunct w:val="0"/>
              <w:autoSpaceDE/>
              <w:autoSpaceDN/>
              <w:bidi w:val="0"/>
              <w:adjustRightInd/>
              <w:snapToGrid/>
              <w:spacing w:before="0" w:beforeLines="0" w:after="0" w:afterLines="0" w:line="500" w:lineRule="exact"/>
              <w:jc w:val="center"/>
              <w:textAlignment w:val="auto"/>
              <w:rPr>
                <w:rFonts w:hint="default" w:ascii="宋体" w:hAnsi="宋体" w:eastAsia="宋体" w:cs="宋体"/>
                <w:b w:val="0"/>
                <w:bCs w:val="0"/>
                <w:color w:val="auto"/>
                <w:kern w:val="2"/>
                <w:sz w:val="21"/>
                <w:szCs w:val="21"/>
                <w:highlight w:val="none"/>
                <w:u w:val="none"/>
                <w:vertAlign w:val="baseline"/>
                <w:lang w:val="en-US" w:eastAsia="zh-CN" w:bidi="ar-SA"/>
              </w:rPr>
            </w:pPr>
            <w:r>
              <w:rPr>
                <w:rFonts w:hint="eastAsia" w:ascii="宋体" w:hAnsi="宋体" w:cs="宋体"/>
                <w:b w:val="0"/>
                <w:bCs w:val="0"/>
                <w:color w:val="auto"/>
                <w:kern w:val="2"/>
                <w:sz w:val="21"/>
                <w:szCs w:val="21"/>
                <w:highlight w:val="none"/>
                <w:u w:val="none"/>
                <w:vertAlign w:val="baseline"/>
                <w:lang w:val="en-US" w:eastAsia="zh-CN" w:bidi="ar-SA"/>
              </w:rPr>
              <w:t>1</w:t>
            </w:r>
          </w:p>
        </w:tc>
      </w:tr>
      <w:tr w14:paraId="6DDB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5" w:hRule="atLeast"/>
        </w:trPr>
        <w:tc>
          <w:tcPr>
            <w:tcW w:w="658" w:type="dxa"/>
            <w:noWrap w:val="0"/>
            <w:vAlign w:val="center"/>
          </w:tcPr>
          <w:p w14:paraId="7910E1D9">
            <w:pPr>
              <w:pStyle w:val="2"/>
              <w:keepNext w:val="0"/>
              <w:keepLines/>
              <w:pageBreakBefore w:val="0"/>
              <w:widowControl/>
              <w:kinsoku/>
              <w:wordWrap/>
              <w:overflowPunct/>
              <w:topLinePunct w:val="0"/>
              <w:autoSpaceDE/>
              <w:autoSpaceDN/>
              <w:bidi w:val="0"/>
              <w:adjustRightInd/>
              <w:snapToGrid/>
              <w:spacing w:before="0" w:beforeLines="0" w:after="0" w:afterLines="0" w:line="500" w:lineRule="exact"/>
              <w:jc w:val="center"/>
              <w:textAlignment w:val="auto"/>
              <w:rPr>
                <w:rFonts w:hint="default" w:ascii="宋体" w:hAnsi="宋体" w:eastAsia="宋体" w:cs="宋体"/>
                <w:b w:val="0"/>
                <w:bCs w:val="0"/>
                <w:color w:val="auto"/>
                <w:kern w:val="2"/>
                <w:sz w:val="21"/>
                <w:szCs w:val="21"/>
                <w:highlight w:val="none"/>
                <w:u w:val="none"/>
                <w:vertAlign w:val="baseline"/>
                <w:lang w:val="en-US" w:eastAsia="zh-CN" w:bidi="ar-SA"/>
              </w:rPr>
            </w:pPr>
            <w:r>
              <w:rPr>
                <w:rFonts w:hint="eastAsia" w:ascii="宋体" w:hAnsi="宋体" w:eastAsia="宋体" w:cs="宋体"/>
                <w:b w:val="0"/>
                <w:bCs w:val="0"/>
                <w:color w:val="auto"/>
                <w:kern w:val="2"/>
                <w:sz w:val="21"/>
                <w:szCs w:val="21"/>
                <w:highlight w:val="none"/>
                <w:u w:val="none"/>
                <w:vertAlign w:val="baseline"/>
                <w:lang w:val="en-US" w:eastAsia="zh-CN" w:bidi="ar-SA"/>
              </w:rPr>
              <w:t>2</w:t>
            </w:r>
          </w:p>
        </w:tc>
        <w:tc>
          <w:tcPr>
            <w:tcW w:w="930" w:type="dxa"/>
            <w:noWrap w:val="0"/>
            <w:vAlign w:val="center"/>
          </w:tcPr>
          <w:p w14:paraId="162B3BBB">
            <w:pPr>
              <w:pStyle w:val="2"/>
              <w:keepNext w:val="0"/>
              <w:keepLines/>
              <w:pageBreakBefore w:val="0"/>
              <w:widowControl/>
              <w:kinsoku/>
              <w:wordWrap/>
              <w:overflowPunct/>
              <w:topLinePunct w:val="0"/>
              <w:autoSpaceDE/>
              <w:autoSpaceDN/>
              <w:bidi w:val="0"/>
              <w:adjustRightInd/>
              <w:snapToGrid/>
              <w:spacing w:before="0" w:beforeLines="0" w:after="0" w:afterLines="0" w:line="500" w:lineRule="exact"/>
              <w:jc w:val="center"/>
              <w:textAlignment w:val="auto"/>
              <w:rPr>
                <w:rFonts w:hint="eastAsia" w:ascii="宋体" w:hAnsi="宋体" w:eastAsia="宋体" w:cs="宋体"/>
                <w:b w:val="0"/>
                <w:bCs w:val="0"/>
                <w:color w:val="auto"/>
                <w:kern w:val="2"/>
                <w:sz w:val="21"/>
                <w:szCs w:val="21"/>
                <w:highlight w:val="none"/>
                <w:u w:val="none"/>
                <w:vertAlign w:val="baseline"/>
                <w:lang w:val="en-US" w:eastAsia="zh-CN" w:bidi="ar-SA"/>
              </w:rPr>
            </w:pPr>
            <w:r>
              <w:rPr>
                <w:rFonts w:hint="eastAsia" w:ascii="宋体" w:hAnsi="宋体" w:eastAsia="宋体" w:cs="宋体"/>
                <w:b w:val="0"/>
                <w:bCs w:val="0"/>
                <w:color w:val="auto"/>
                <w:kern w:val="2"/>
                <w:sz w:val="21"/>
                <w:szCs w:val="21"/>
                <w:highlight w:val="none"/>
                <w:u w:val="none"/>
                <w:vertAlign w:val="baseline"/>
                <w:lang w:val="en-US" w:eastAsia="zh-CN" w:bidi="ar-SA"/>
              </w:rPr>
              <w:t>厢式货车</w:t>
            </w:r>
          </w:p>
        </w:tc>
        <w:tc>
          <w:tcPr>
            <w:tcW w:w="6945" w:type="dxa"/>
            <w:noWrap w:val="0"/>
            <w:vAlign w:val="top"/>
          </w:tcPr>
          <w:p w14:paraId="24BAED0F">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一、基础车型参数</w:t>
            </w:r>
          </w:p>
          <w:p w14:paraId="01022F52">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1、车体尺寸（长宽高mm）：</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5995×2180×3085</w:t>
            </w:r>
          </w:p>
          <w:p w14:paraId="2C0FEEE1">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2、货厢尺寸（长宽高mm）：</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4200×2100×2100</w:t>
            </w:r>
          </w:p>
          <w:p w14:paraId="26D77E46">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3、轴距（mm）: </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3360</w:t>
            </w:r>
          </w:p>
          <w:p w14:paraId="7087EB36">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4、整备质量（kg）：</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2805</w:t>
            </w:r>
          </w:p>
          <w:p w14:paraId="76EAB020">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5、总质量（kg）：</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4495</w:t>
            </w:r>
          </w:p>
          <w:p w14:paraId="5DC0DC8B">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6、轴荷：</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1840/2655</w:t>
            </w:r>
          </w:p>
          <w:p w14:paraId="178D0818">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7、前悬/后悬（mm）：</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1115/1520</w:t>
            </w:r>
          </w:p>
          <w:p w14:paraId="0CA3FAEA">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8、燃油类别：柴油</w:t>
            </w:r>
          </w:p>
          <w:p w14:paraId="0F8F8DD9">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9、排放标准：国六</w:t>
            </w:r>
          </w:p>
          <w:p w14:paraId="2FCCA09A">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10、发动机排量：</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2.5T</w:t>
            </w:r>
          </w:p>
          <w:p w14:paraId="3E8C0A4E">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11、功率（Kw）：120≤参数≤128</w:t>
            </w:r>
          </w:p>
          <w:p w14:paraId="79614AA9">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12、马力（ps）：≥174</w:t>
            </w:r>
          </w:p>
          <w:p w14:paraId="0AC0DAD8">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、标定最高车速（kw/h）：</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110</w:t>
            </w:r>
          </w:p>
          <w:p w14:paraId="3A1E309D">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、核载（人/kg）：</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3/1495</w:t>
            </w:r>
          </w:p>
          <w:p w14:paraId="1F90F981">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、变速器：6速手动挡</w:t>
            </w:r>
          </w:p>
          <w:p w14:paraId="33522D80">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、轮胎型号：7.00R16LT </w:t>
            </w:r>
          </w:p>
          <w:p w14:paraId="5934FC04">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、转向系统：液压助力转向系统</w:t>
            </w:r>
          </w:p>
          <w:p w14:paraId="017BB4ED">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、大梁材质：超高强钢材宝钢QSTE650TM车架</w:t>
            </w:r>
          </w:p>
          <w:p w14:paraId="1B5436C6">
            <w:pPr>
              <w:keepNext w:val="0"/>
              <w:keepLines/>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、车架参数mm（外宽*幅高*断面宽*料厚）：</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900*214*65*5</w:t>
            </w:r>
            <w:r>
              <w:rPr>
                <w:rFonts w:hint="eastAsia" w:ascii="宋体" w:hAnsi="宋体" w:eastAsia="宋体" w:cs="宋体"/>
                <w:color w:val="auto"/>
                <w:sz w:val="21"/>
                <w:szCs w:val="21"/>
                <w:lang w:val="en-US" w:eastAsia="zh-CN"/>
              </w:rPr>
              <w:t xml:space="preserve"> </w:t>
            </w:r>
          </w:p>
          <w:p w14:paraId="07F547C3">
            <w:pPr>
              <w:keepNext w:val="0"/>
              <w:keepLines/>
              <w:pageBreakBefore w:val="0"/>
              <w:widowControl/>
              <w:numPr>
                <w:ilvl w:val="0"/>
                <w:numId w:val="0"/>
              </w:numPr>
              <w:tabs>
                <w:tab w:val="left" w:pos="866"/>
              </w:tabs>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kern w:val="2"/>
                <w:sz w:val="21"/>
                <w:szCs w:val="21"/>
                <w:highlight w:val="none"/>
                <w:u w:val="none"/>
                <w:vertAlign w:val="baseline"/>
                <w:lang w:val="en-US" w:eastAsia="zh-CN" w:bidi="ar-SA"/>
              </w:rPr>
            </w:pP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、其他配置：</w:t>
            </w:r>
            <w:r>
              <w:rPr>
                <w:rFonts w:hint="eastAsia" w:ascii="宋体" w:hAnsi="宋体" w:eastAsia="宋体" w:cs="宋体"/>
                <w:color w:val="auto"/>
                <w:sz w:val="21"/>
                <w:szCs w:val="21"/>
                <w:highlight w:val="none"/>
              </w:rPr>
              <w:t>气囊减震座椅、定速巡航、电加热后视镜、智能节油开关（EPB）、气刹、中控大屏带倒车影像、倒车雷达、发动机变速箱终身质保。</w:t>
            </w:r>
          </w:p>
        </w:tc>
        <w:tc>
          <w:tcPr>
            <w:tcW w:w="705" w:type="dxa"/>
            <w:noWrap w:val="0"/>
            <w:vAlign w:val="center"/>
          </w:tcPr>
          <w:p w14:paraId="582BCECF">
            <w:pPr>
              <w:pStyle w:val="2"/>
              <w:keepNext w:val="0"/>
              <w:keepLines/>
              <w:pageBreakBefore w:val="0"/>
              <w:widowControl/>
              <w:kinsoku/>
              <w:wordWrap/>
              <w:overflowPunct/>
              <w:topLinePunct w:val="0"/>
              <w:autoSpaceDE/>
              <w:autoSpaceDN/>
              <w:bidi w:val="0"/>
              <w:adjustRightInd/>
              <w:snapToGrid/>
              <w:spacing w:before="0" w:beforeLines="0" w:after="0" w:afterLines="0" w:line="500" w:lineRule="exact"/>
              <w:jc w:val="center"/>
              <w:textAlignment w:val="auto"/>
              <w:rPr>
                <w:rFonts w:hint="eastAsia" w:ascii="宋体" w:hAnsi="宋体" w:cs="宋体"/>
                <w:b w:val="0"/>
                <w:bCs w:val="0"/>
                <w:color w:val="auto"/>
                <w:kern w:val="2"/>
                <w:sz w:val="21"/>
                <w:szCs w:val="21"/>
                <w:highlight w:val="none"/>
                <w:u w:val="none"/>
                <w:vertAlign w:val="baseline"/>
                <w:lang w:val="en-US" w:eastAsia="zh-CN" w:bidi="ar-SA"/>
              </w:rPr>
            </w:pPr>
            <w:r>
              <w:rPr>
                <w:rFonts w:hint="eastAsia" w:ascii="宋体" w:hAnsi="宋体" w:cs="宋体"/>
                <w:b w:val="0"/>
                <w:bCs w:val="0"/>
                <w:color w:val="auto"/>
                <w:kern w:val="2"/>
                <w:sz w:val="21"/>
                <w:szCs w:val="21"/>
                <w:highlight w:val="none"/>
                <w:u w:val="none"/>
                <w:vertAlign w:val="baseline"/>
                <w:lang w:val="en-US" w:eastAsia="zh-CN" w:bidi="ar-SA"/>
              </w:rPr>
              <w:t>台</w:t>
            </w:r>
          </w:p>
        </w:tc>
        <w:tc>
          <w:tcPr>
            <w:tcW w:w="705" w:type="dxa"/>
            <w:noWrap w:val="0"/>
            <w:vAlign w:val="center"/>
          </w:tcPr>
          <w:p w14:paraId="5CE618DA">
            <w:pPr>
              <w:pStyle w:val="2"/>
              <w:keepNext w:val="0"/>
              <w:keepLines/>
              <w:pageBreakBefore w:val="0"/>
              <w:widowControl/>
              <w:kinsoku/>
              <w:wordWrap/>
              <w:overflowPunct/>
              <w:topLinePunct w:val="0"/>
              <w:autoSpaceDE/>
              <w:autoSpaceDN/>
              <w:bidi w:val="0"/>
              <w:adjustRightInd/>
              <w:snapToGrid/>
              <w:spacing w:before="0" w:beforeLines="0" w:after="0" w:afterLines="0" w:line="500" w:lineRule="exact"/>
              <w:jc w:val="center"/>
              <w:textAlignment w:val="auto"/>
              <w:rPr>
                <w:rFonts w:hint="eastAsia" w:ascii="宋体" w:hAnsi="宋体" w:cs="宋体"/>
                <w:b w:val="0"/>
                <w:bCs w:val="0"/>
                <w:color w:val="auto"/>
                <w:kern w:val="2"/>
                <w:sz w:val="21"/>
                <w:szCs w:val="21"/>
                <w:highlight w:val="none"/>
                <w:u w:val="none"/>
                <w:vertAlign w:val="baseline"/>
                <w:lang w:val="en-US" w:eastAsia="zh-CN" w:bidi="ar-SA"/>
              </w:rPr>
            </w:pPr>
            <w:r>
              <w:rPr>
                <w:rFonts w:hint="eastAsia" w:ascii="宋体" w:hAnsi="宋体" w:cs="宋体"/>
                <w:b w:val="0"/>
                <w:bCs w:val="0"/>
                <w:color w:val="auto"/>
                <w:kern w:val="2"/>
                <w:sz w:val="21"/>
                <w:szCs w:val="21"/>
                <w:highlight w:val="none"/>
                <w:u w:val="none"/>
                <w:vertAlign w:val="baseline"/>
                <w:lang w:val="en-US" w:eastAsia="zh-CN" w:bidi="ar-SA"/>
              </w:rPr>
              <w:t>1</w:t>
            </w:r>
          </w:p>
        </w:tc>
      </w:tr>
    </w:tbl>
    <w:p w14:paraId="6BE23AC7">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投标人所提供的货物参数必须满足或者优于上述参数要求，否则按无效标处理。</w:t>
      </w:r>
    </w:p>
    <w:p w14:paraId="68CD971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2.车辆质保期：不低于2年或行驶里程达到50,000公里，以先到者为准，自购车发票开具之日起计算。</w:t>
      </w:r>
    </w:p>
    <w:p w14:paraId="356D766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left"/>
        <w:textAlignment w:val="auto"/>
        <w:rPr>
          <w:rStyle w:val="66"/>
          <w:rFonts w:hint="eastAsia" w:ascii="宋体" w:hAnsi="宋体" w:eastAsia="宋体" w:cs="宋体"/>
          <w:color w:val="auto"/>
          <w:sz w:val="32"/>
          <w:szCs w:val="32"/>
          <w:highlight w:val="none"/>
          <w:lang w:val="en-US" w:eastAsia="zh-CN"/>
        </w:rPr>
      </w:pPr>
    </w:p>
    <w:p w14:paraId="6C5ECE5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center"/>
        <w:textAlignment w:val="auto"/>
        <w:rPr>
          <w:rStyle w:val="66"/>
          <w:rFonts w:hint="eastAsia" w:ascii="宋体" w:hAnsi="宋体" w:cs="宋体"/>
          <w:color w:val="auto"/>
          <w:sz w:val="32"/>
          <w:szCs w:val="32"/>
          <w:highlight w:val="none"/>
        </w:rPr>
      </w:pPr>
      <w:r>
        <w:rPr>
          <w:rStyle w:val="66"/>
          <w:rFonts w:hint="eastAsia" w:ascii="宋体" w:hAnsi="宋体" w:eastAsia="宋体" w:cs="宋体"/>
          <w:color w:val="auto"/>
          <w:sz w:val="32"/>
          <w:szCs w:val="32"/>
          <w:highlight w:val="none"/>
          <w:lang w:val="en-US" w:eastAsia="zh-CN"/>
        </w:rPr>
        <w:br w:type="page"/>
      </w:r>
      <w:r>
        <w:rPr>
          <w:rStyle w:val="66"/>
          <w:rFonts w:hint="eastAsia" w:ascii="宋体" w:hAnsi="宋体" w:eastAsia="宋体" w:cs="宋体"/>
          <w:color w:val="auto"/>
          <w:sz w:val="32"/>
          <w:szCs w:val="32"/>
          <w:highlight w:val="none"/>
          <w:lang w:val="en-US" w:eastAsia="zh-CN"/>
        </w:rPr>
        <w:t>第五章</w:t>
      </w:r>
      <w:r>
        <w:rPr>
          <w:rStyle w:val="66"/>
          <w:rFonts w:hint="eastAsia" w:ascii="宋体" w:hAnsi="宋体" w:cs="宋体"/>
          <w:color w:val="auto"/>
          <w:sz w:val="32"/>
          <w:szCs w:val="32"/>
          <w:highlight w:val="none"/>
        </w:rPr>
        <w:t xml:space="preserve"> 合同条款</w:t>
      </w:r>
      <w:bookmarkEnd w:id="97"/>
      <w:bookmarkEnd w:id="98"/>
      <w:bookmarkStart w:id="101" w:name="_Toc469495741"/>
      <w:r>
        <w:rPr>
          <w:rStyle w:val="66"/>
          <w:rFonts w:hint="eastAsia" w:ascii="宋体" w:hAnsi="宋体" w:cs="宋体"/>
          <w:color w:val="auto"/>
          <w:sz w:val="32"/>
          <w:szCs w:val="32"/>
          <w:highlight w:val="none"/>
        </w:rPr>
        <w:t>（参考）</w:t>
      </w:r>
    </w:p>
    <w:p w14:paraId="5DF732AA">
      <w:pPr>
        <w:pStyle w:val="2"/>
        <w:keepNext/>
        <w:keepLines/>
        <w:pageBreakBefore w:val="0"/>
        <w:widowControl w:val="0"/>
        <w:numPr>
          <w:ilvl w:val="0"/>
          <w:numId w:val="0"/>
        </w:numPr>
        <w:kinsoku/>
        <w:wordWrap/>
        <w:overflowPunct/>
        <w:topLinePunct w:val="0"/>
        <w:autoSpaceDE/>
        <w:autoSpaceDN/>
        <w:bidi w:val="0"/>
        <w:adjustRightInd/>
        <w:snapToGrid/>
        <w:spacing w:before="95" w:beforeLines="30" w:after="95" w:afterLines="30"/>
        <w:jc w:val="center"/>
        <w:textAlignment w:val="auto"/>
        <w:rPr>
          <w:rFonts w:hint="eastAsia"/>
          <w:color w:val="auto"/>
          <w:sz w:val="28"/>
          <w:szCs w:val="36"/>
          <w:highlight w:val="none"/>
        </w:rPr>
      </w:pPr>
      <w:bookmarkStart w:id="102" w:name="_Toc29433"/>
      <w:bookmarkStart w:id="103" w:name="_Toc4982"/>
      <w:bookmarkStart w:id="104" w:name="_Toc11690"/>
      <w:r>
        <w:rPr>
          <w:rFonts w:hint="eastAsia"/>
          <w:b/>
          <w:bCs/>
          <w:color w:val="auto"/>
          <w:sz w:val="28"/>
          <w:szCs w:val="28"/>
          <w:highlight w:val="none"/>
          <w:lang w:eastAsia="zh-CN"/>
        </w:rPr>
        <w:t>一、</w:t>
      </w:r>
      <w:r>
        <w:rPr>
          <w:rFonts w:hint="eastAsia"/>
          <w:b/>
          <w:bCs/>
          <w:color w:val="auto"/>
          <w:sz w:val="28"/>
          <w:szCs w:val="28"/>
          <w:highlight w:val="none"/>
        </w:rPr>
        <w:t>合同协议书（格式）</w:t>
      </w:r>
      <w:bookmarkEnd w:id="102"/>
      <w:bookmarkEnd w:id="103"/>
      <w:bookmarkEnd w:id="104"/>
    </w:p>
    <w:p w14:paraId="1E13FF8A">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买    方：                                   卖    方：</w:t>
      </w:r>
    </w:p>
    <w:p w14:paraId="055D9643">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    话：                                   电    话：</w:t>
      </w:r>
    </w:p>
    <w:p w14:paraId="68B8262B">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住    所：                                   住    所：                       </w:t>
      </w:r>
    </w:p>
    <w:p w14:paraId="507CCEE7">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rPr>
        <w:t>（买方）</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rPr>
        <w:t>（项目名称）</w:t>
      </w:r>
      <w:r>
        <w:rPr>
          <w:rFonts w:hint="eastAsia" w:ascii="宋体" w:hAnsi="宋体" w:eastAsia="宋体" w:cs="宋体"/>
          <w:color w:val="auto"/>
          <w:sz w:val="21"/>
          <w:szCs w:val="21"/>
        </w:rPr>
        <w:t>中所需</w:t>
      </w:r>
      <w:r>
        <w:rPr>
          <w:rFonts w:hint="eastAsia" w:ascii="宋体" w:hAnsi="宋体" w:eastAsia="宋体" w:cs="宋体"/>
          <w:color w:val="auto"/>
          <w:sz w:val="21"/>
          <w:szCs w:val="21"/>
          <w:u w:val="single"/>
        </w:rPr>
        <w:t>（产品名称）</w:t>
      </w:r>
      <w:r>
        <w:rPr>
          <w:rFonts w:hint="eastAsia" w:ascii="宋体" w:hAnsi="宋体" w:eastAsia="宋体" w:cs="宋体"/>
          <w:color w:val="auto"/>
          <w:sz w:val="21"/>
          <w:szCs w:val="21"/>
        </w:rPr>
        <w:t xml:space="preserve"> 经公开询价，确定</w:t>
      </w:r>
      <w:r>
        <w:rPr>
          <w:rFonts w:hint="eastAsia" w:ascii="宋体" w:hAnsi="宋体" w:eastAsia="宋体" w:cs="宋体"/>
          <w:color w:val="auto"/>
          <w:sz w:val="21"/>
          <w:szCs w:val="21"/>
          <w:u w:val="single"/>
        </w:rPr>
        <w:t>（卖方）</w:t>
      </w:r>
      <w:r>
        <w:rPr>
          <w:rFonts w:hint="eastAsia" w:ascii="宋体" w:hAnsi="宋体" w:eastAsia="宋体" w:cs="宋体"/>
          <w:color w:val="auto"/>
          <w:sz w:val="21"/>
          <w:szCs w:val="21"/>
        </w:rPr>
        <w:t>为成交人。按照《中华人民共和国民法典》的规定，买卖双方同意按照下述的条款和条件，签署本合同。</w:t>
      </w:r>
    </w:p>
    <w:p w14:paraId="69636914">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1、本合同文件</w:t>
      </w:r>
    </w:p>
    <w:p w14:paraId="67354907">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下列每一文件均应作为合同的组成部分进行阅读和解释：</w:t>
      </w:r>
    </w:p>
    <w:p w14:paraId="6B994918">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招标文件</w:t>
      </w:r>
      <w:r>
        <w:rPr>
          <w:rFonts w:hint="eastAsia" w:ascii="宋体" w:hAnsi="宋体" w:eastAsia="宋体" w:cs="宋体"/>
          <w:bCs/>
          <w:color w:val="auto"/>
          <w:sz w:val="21"/>
          <w:szCs w:val="21"/>
        </w:rPr>
        <w:t>（2）</w:t>
      </w:r>
      <w:r>
        <w:rPr>
          <w:rFonts w:hint="eastAsia" w:ascii="宋体" w:hAnsi="宋体" w:eastAsia="宋体" w:cs="宋体"/>
          <w:bCs/>
          <w:color w:val="auto"/>
          <w:sz w:val="21"/>
          <w:szCs w:val="21"/>
          <w:lang w:val="en-US" w:eastAsia="zh-CN"/>
        </w:rPr>
        <w:t>投标</w:t>
      </w:r>
      <w:r>
        <w:rPr>
          <w:rFonts w:hint="eastAsia" w:ascii="宋体" w:hAnsi="宋体" w:eastAsia="宋体" w:cs="宋体"/>
          <w:bCs/>
          <w:color w:val="auto"/>
          <w:sz w:val="21"/>
          <w:szCs w:val="21"/>
        </w:rPr>
        <w:t>文件（3）</w:t>
      </w:r>
      <w:r>
        <w:rPr>
          <w:rFonts w:hint="eastAsia" w:ascii="宋体" w:hAnsi="宋体" w:eastAsia="宋体" w:cs="宋体"/>
          <w:bCs/>
          <w:color w:val="auto"/>
          <w:sz w:val="21"/>
          <w:szCs w:val="21"/>
          <w:lang w:val="en-US" w:eastAsia="zh-CN"/>
        </w:rPr>
        <w:t>中标</w:t>
      </w:r>
      <w:r>
        <w:rPr>
          <w:rFonts w:hint="eastAsia" w:ascii="宋体" w:hAnsi="宋体" w:eastAsia="宋体" w:cs="宋体"/>
          <w:bCs/>
          <w:color w:val="auto"/>
          <w:sz w:val="21"/>
          <w:szCs w:val="21"/>
        </w:rPr>
        <w:t>通知书</w:t>
      </w:r>
    </w:p>
    <w:p w14:paraId="3AD14206">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（4）经双方确认进入合同的其它文件、补充条款或说明</w:t>
      </w:r>
    </w:p>
    <w:p w14:paraId="5FED00E3">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2、货物的名称、规格型号、数量和价格（若产品过多则见附表，如有附表则必须加盖公章）</w:t>
      </w:r>
    </w:p>
    <w:p w14:paraId="70A327AE">
      <w:pPr>
        <w:keepNext w:val="0"/>
        <w:keepLines w:val="0"/>
        <w:pageBreakBefore w:val="0"/>
        <w:kinsoku/>
        <w:wordWrap/>
        <w:overflowPunct/>
        <w:topLinePunct w:val="0"/>
        <w:autoSpaceDE/>
        <w:bidi w:val="0"/>
        <w:adjustRightInd/>
        <w:snapToGrid/>
        <w:spacing w:line="500" w:lineRule="exact"/>
        <w:jc w:val="right"/>
        <w:rPr>
          <w:rFonts w:hint="eastAsia" w:ascii="宋体" w:hAnsi="宋体" w:eastAsia="宋体" w:cs="宋体"/>
          <w:color w:val="auto"/>
          <w:sz w:val="21"/>
          <w:szCs w:val="21"/>
        </w:rPr>
      </w:pPr>
      <w:r>
        <w:rPr>
          <w:rFonts w:hint="eastAsia" w:ascii="宋体" w:hAnsi="宋体" w:eastAsia="宋体" w:cs="宋体"/>
          <w:color w:val="auto"/>
          <w:sz w:val="21"/>
          <w:szCs w:val="21"/>
        </w:rPr>
        <w:t>单位：元</w:t>
      </w:r>
    </w:p>
    <w:tbl>
      <w:tblPr>
        <w:tblStyle w:val="48"/>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5"/>
        <w:gridCol w:w="2041"/>
        <w:gridCol w:w="928"/>
        <w:gridCol w:w="928"/>
        <w:gridCol w:w="1106"/>
        <w:gridCol w:w="1286"/>
        <w:gridCol w:w="1693"/>
      </w:tblGrid>
      <w:tr w14:paraId="1068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 w:hRule="atLeast"/>
          <w:jc w:val="center"/>
        </w:trPr>
        <w:tc>
          <w:tcPr>
            <w:tcW w:w="1668" w:type="dxa"/>
            <w:noWrap w:val="0"/>
            <w:vAlign w:val="top"/>
          </w:tcPr>
          <w:p w14:paraId="63DD1C7B">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产品名称</w:t>
            </w:r>
          </w:p>
        </w:tc>
        <w:tc>
          <w:tcPr>
            <w:tcW w:w="2046" w:type="dxa"/>
            <w:gridSpan w:val="2"/>
            <w:noWrap w:val="0"/>
            <w:vAlign w:val="top"/>
          </w:tcPr>
          <w:p w14:paraId="53A2B37D">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规格型号</w:t>
            </w:r>
          </w:p>
        </w:tc>
        <w:tc>
          <w:tcPr>
            <w:tcW w:w="928" w:type="dxa"/>
            <w:noWrap w:val="0"/>
            <w:vAlign w:val="top"/>
          </w:tcPr>
          <w:p w14:paraId="3024F733">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928" w:type="dxa"/>
            <w:noWrap w:val="0"/>
            <w:vAlign w:val="top"/>
          </w:tcPr>
          <w:p w14:paraId="16E8D312">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106" w:type="dxa"/>
            <w:noWrap w:val="0"/>
            <w:vAlign w:val="top"/>
          </w:tcPr>
          <w:p w14:paraId="58C9515D">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单价</w:t>
            </w:r>
          </w:p>
        </w:tc>
        <w:tc>
          <w:tcPr>
            <w:tcW w:w="1286" w:type="dxa"/>
            <w:noWrap w:val="0"/>
            <w:vAlign w:val="top"/>
          </w:tcPr>
          <w:p w14:paraId="06A4647E">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小计</w:t>
            </w:r>
          </w:p>
        </w:tc>
        <w:tc>
          <w:tcPr>
            <w:tcW w:w="1693" w:type="dxa"/>
            <w:noWrap w:val="0"/>
            <w:vAlign w:val="top"/>
          </w:tcPr>
          <w:p w14:paraId="575FE76B">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生产厂商</w:t>
            </w:r>
          </w:p>
        </w:tc>
      </w:tr>
      <w:tr w14:paraId="42AA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68" w:type="dxa"/>
            <w:noWrap w:val="0"/>
            <w:vAlign w:val="center"/>
          </w:tcPr>
          <w:p w14:paraId="702C88C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rPr>
            </w:pPr>
          </w:p>
        </w:tc>
        <w:tc>
          <w:tcPr>
            <w:tcW w:w="2046" w:type="dxa"/>
            <w:gridSpan w:val="2"/>
            <w:noWrap w:val="0"/>
            <w:vAlign w:val="top"/>
          </w:tcPr>
          <w:p w14:paraId="77B8B7B3">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p>
        </w:tc>
        <w:tc>
          <w:tcPr>
            <w:tcW w:w="928" w:type="dxa"/>
            <w:noWrap w:val="0"/>
            <w:vAlign w:val="top"/>
          </w:tcPr>
          <w:p w14:paraId="0E4F6F66">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p>
        </w:tc>
        <w:tc>
          <w:tcPr>
            <w:tcW w:w="928" w:type="dxa"/>
            <w:noWrap w:val="0"/>
            <w:vAlign w:val="top"/>
          </w:tcPr>
          <w:p w14:paraId="584E4EE0">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p>
        </w:tc>
        <w:tc>
          <w:tcPr>
            <w:tcW w:w="1106" w:type="dxa"/>
            <w:noWrap w:val="0"/>
            <w:vAlign w:val="top"/>
          </w:tcPr>
          <w:p w14:paraId="68A03664">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p>
        </w:tc>
        <w:tc>
          <w:tcPr>
            <w:tcW w:w="1286" w:type="dxa"/>
            <w:noWrap w:val="0"/>
            <w:vAlign w:val="top"/>
          </w:tcPr>
          <w:p w14:paraId="709EFEF7">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p>
        </w:tc>
        <w:tc>
          <w:tcPr>
            <w:tcW w:w="1693" w:type="dxa"/>
            <w:noWrap w:val="0"/>
            <w:vAlign w:val="top"/>
          </w:tcPr>
          <w:p w14:paraId="551641A3">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p>
        </w:tc>
      </w:tr>
      <w:tr w14:paraId="4BBD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68" w:type="dxa"/>
            <w:noWrap w:val="0"/>
            <w:vAlign w:val="center"/>
          </w:tcPr>
          <w:p w14:paraId="37B837E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color w:val="auto"/>
                <w:sz w:val="21"/>
                <w:szCs w:val="21"/>
              </w:rPr>
            </w:pPr>
          </w:p>
        </w:tc>
        <w:tc>
          <w:tcPr>
            <w:tcW w:w="2046" w:type="dxa"/>
            <w:gridSpan w:val="2"/>
            <w:noWrap w:val="0"/>
            <w:vAlign w:val="top"/>
          </w:tcPr>
          <w:p w14:paraId="4007B6A8">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p>
        </w:tc>
        <w:tc>
          <w:tcPr>
            <w:tcW w:w="928" w:type="dxa"/>
            <w:noWrap w:val="0"/>
            <w:vAlign w:val="top"/>
          </w:tcPr>
          <w:p w14:paraId="609F3297">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p>
        </w:tc>
        <w:tc>
          <w:tcPr>
            <w:tcW w:w="928" w:type="dxa"/>
            <w:noWrap w:val="0"/>
            <w:vAlign w:val="top"/>
          </w:tcPr>
          <w:p w14:paraId="7A8AD715">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p>
        </w:tc>
        <w:tc>
          <w:tcPr>
            <w:tcW w:w="1106" w:type="dxa"/>
            <w:noWrap w:val="0"/>
            <w:vAlign w:val="top"/>
          </w:tcPr>
          <w:p w14:paraId="428AC84E">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p>
        </w:tc>
        <w:tc>
          <w:tcPr>
            <w:tcW w:w="1286" w:type="dxa"/>
            <w:noWrap w:val="0"/>
            <w:vAlign w:val="top"/>
          </w:tcPr>
          <w:p w14:paraId="3FD1E1E7">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p>
        </w:tc>
        <w:tc>
          <w:tcPr>
            <w:tcW w:w="1693" w:type="dxa"/>
            <w:noWrap w:val="0"/>
            <w:vAlign w:val="top"/>
          </w:tcPr>
          <w:p w14:paraId="77E56984">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eastAsia" w:ascii="宋体" w:hAnsi="宋体" w:eastAsia="宋体" w:cs="宋体"/>
                <w:color w:val="auto"/>
                <w:sz w:val="21"/>
                <w:szCs w:val="21"/>
              </w:rPr>
            </w:pPr>
          </w:p>
        </w:tc>
      </w:tr>
      <w:tr w14:paraId="5195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1673" w:type="dxa"/>
            <w:gridSpan w:val="2"/>
            <w:noWrap w:val="0"/>
            <w:vAlign w:val="top"/>
          </w:tcPr>
          <w:p w14:paraId="31C5A2AC">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合同总价（元）</w:t>
            </w:r>
          </w:p>
        </w:tc>
        <w:tc>
          <w:tcPr>
            <w:tcW w:w="7982" w:type="dxa"/>
            <w:gridSpan w:val="6"/>
            <w:noWrap w:val="0"/>
            <w:vAlign w:val="top"/>
          </w:tcPr>
          <w:p w14:paraId="7300248F">
            <w:pPr>
              <w:keepNext w:val="0"/>
              <w:keepLines w:val="0"/>
              <w:pageBreakBefore w:val="0"/>
              <w:kinsoku/>
              <w:wordWrap/>
              <w:overflowPunct/>
              <w:topLinePunct w:val="0"/>
              <w:autoSpaceDE/>
              <w:bidi w:val="0"/>
              <w:adjustRightInd/>
              <w:snapToGrid/>
              <w:spacing w:before="100" w:beforeLines="50" w:beforeAutospacing="1" w:after="100" w:afterLines="30" w:afterAutospacing="1" w:line="500" w:lineRule="exact"/>
              <w:jc w:val="both"/>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大写：                小写：       元</w:t>
            </w:r>
          </w:p>
        </w:tc>
      </w:tr>
      <w:tr w14:paraId="6846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655" w:type="dxa"/>
            <w:gridSpan w:val="8"/>
            <w:noWrap w:val="0"/>
            <w:vAlign w:val="top"/>
          </w:tcPr>
          <w:p w14:paraId="11D0B6ED">
            <w:pPr>
              <w:keepNext w:val="0"/>
              <w:keepLines w:val="0"/>
              <w:pageBreakBefore w:val="0"/>
              <w:widowControl/>
              <w:kinsoku/>
              <w:wordWrap/>
              <w:overflowPunct/>
              <w:topLinePunct w:val="0"/>
              <w:autoSpaceDE/>
              <w:bidi w:val="0"/>
              <w:adjustRightInd/>
              <w:snapToGrid/>
              <w:spacing w:before="100" w:beforeLines="50" w:beforeAutospacing="1" w:after="100" w:afterLines="30" w:afterAutospacing="1" w:line="500" w:lineRule="exac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备注：上述产品报价包括：货物(车辆) 出厂价、货物(车辆)运输费用、货物设备费、人工费、材料费(含主材及辅材) 、装卸费、运输费、安装费、调试费、管理费、利润、风险费用及国家对成交人征收的各种税费等所有一切费用，</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不再为此项目支付任何费用，综合单价今后将不作任何调整。</w:t>
            </w:r>
          </w:p>
        </w:tc>
      </w:tr>
    </w:tbl>
    <w:p w14:paraId="2B6EFB9F">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3、合同总价：</w:t>
      </w:r>
    </w:p>
    <w:p w14:paraId="2608E7D9">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合同总价为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元人民币。</w:t>
      </w:r>
    </w:p>
    <w:p w14:paraId="5A354B0B">
      <w:pPr>
        <w:keepNext w:val="0"/>
        <w:keepLines w:val="0"/>
        <w:pageBreakBefore w:val="0"/>
        <w:kinsoku/>
        <w:wordWrap/>
        <w:overflowPunct/>
        <w:topLinePunct w:val="0"/>
        <w:autoSpaceDE/>
        <w:autoSpaceDN w:val="0"/>
        <w:bidi w:val="0"/>
        <w:adjustRightInd/>
        <w:snapToGrid/>
        <w:spacing w:line="500" w:lineRule="exact"/>
        <w:ind w:firstLine="420" w:firstLineChars="200"/>
        <w:jc w:val="left"/>
        <w:rPr>
          <w:rFonts w:hint="eastAsia" w:ascii="宋体" w:hAnsi="宋体" w:eastAsia="宋体" w:cs="宋体"/>
          <w:b/>
          <w:color w:val="auto"/>
          <w:sz w:val="21"/>
          <w:szCs w:val="21"/>
        </w:rPr>
      </w:pPr>
      <w:r>
        <w:rPr>
          <w:rFonts w:hint="eastAsia" w:ascii="宋体" w:hAnsi="宋体" w:eastAsia="宋体" w:cs="宋体"/>
          <w:color w:val="auto"/>
          <w:sz w:val="21"/>
          <w:szCs w:val="21"/>
        </w:rPr>
        <w:t>4.付款方式：</w:t>
      </w:r>
      <w:r>
        <w:rPr>
          <w:rFonts w:hint="eastAsia" w:ascii="宋体" w:hAnsi="宋体" w:eastAsia="宋体" w:cs="宋体"/>
          <w:color w:val="0000FF"/>
          <w:sz w:val="21"/>
          <w:szCs w:val="21"/>
          <w:highlight w:val="none"/>
          <w:u w:val="single"/>
        </w:rPr>
        <w:t xml:space="preserve"> </w:t>
      </w:r>
      <w:r>
        <w:rPr>
          <w:rFonts w:hint="eastAsia" w:ascii="宋体" w:hAnsi="宋体" w:eastAsia="宋体" w:cs="宋体"/>
          <w:color w:val="0000FF"/>
          <w:sz w:val="21"/>
          <w:szCs w:val="21"/>
          <w:highlight w:val="none"/>
          <w:u w:val="single"/>
          <w:lang w:eastAsia="zh-CN"/>
        </w:rPr>
        <w:t>供货完成经验收合格</w:t>
      </w:r>
      <w:r>
        <w:rPr>
          <w:rFonts w:hint="eastAsia" w:ascii="宋体" w:hAnsi="宋体" w:eastAsia="宋体" w:cs="宋体"/>
          <w:color w:val="0000FF"/>
          <w:sz w:val="21"/>
          <w:szCs w:val="21"/>
          <w:highlight w:val="none"/>
          <w:u w:val="single"/>
          <w:lang w:val="en-US" w:eastAsia="zh-CN"/>
        </w:rPr>
        <w:t>且开具发票后</w:t>
      </w:r>
      <w:r>
        <w:rPr>
          <w:rFonts w:hint="eastAsia" w:ascii="宋体" w:hAnsi="宋体" w:eastAsia="宋体" w:cs="宋体"/>
          <w:color w:val="0000FF"/>
          <w:sz w:val="21"/>
          <w:szCs w:val="21"/>
          <w:highlight w:val="none"/>
          <w:u w:val="single"/>
          <w:lang w:eastAsia="zh-CN"/>
        </w:rPr>
        <w:t>一次性支付。</w:t>
      </w:r>
    </w:p>
    <w:p w14:paraId="320521D9">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5.合同供货期限及地点和方式：</w:t>
      </w:r>
    </w:p>
    <w:p w14:paraId="17CB13DF">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卖方应于合同签字生效后开始计算的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日内将货物送到买方指定的地点，由买方进行验收。</w:t>
      </w:r>
    </w:p>
    <w:p w14:paraId="0D1EFC66">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货物运输至买方指定地点到货物验收合格前，卖方负责对货物承担安保义务。</w:t>
      </w:r>
    </w:p>
    <w:p w14:paraId="4A4309DF">
      <w:pPr>
        <w:keepNext w:val="0"/>
        <w:keepLines w:val="0"/>
        <w:pageBreakBefore w:val="0"/>
        <w:numPr>
          <w:ilvl w:val="0"/>
          <w:numId w:val="0"/>
        </w:numPr>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验收要求：</w:t>
      </w:r>
    </w:p>
    <w:p w14:paraId="7A4F4703">
      <w:pPr>
        <w:keepNext w:val="0"/>
        <w:keepLines w:val="0"/>
        <w:pageBreakBefore w:val="0"/>
        <w:numPr>
          <w:ilvl w:val="0"/>
          <w:numId w:val="0"/>
        </w:numPr>
        <w:kinsoku/>
        <w:wordWrap/>
        <w:overflowPunct/>
        <w:topLinePunct w:val="0"/>
        <w:autoSpaceDE/>
        <w:bidi w:val="0"/>
        <w:adjustRightInd/>
        <w:snapToGrid/>
        <w:spacing w:line="5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（1）甲方依据</w:t>
      </w:r>
      <w:r>
        <w:rPr>
          <w:rFonts w:hint="eastAsia" w:ascii="宋体" w:hAnsi="宋体" w:eastAsia="宋体" w:cs="宋体"/>
          <w:color w:val="auto"/>
          <w:sz w:val="21"/>
          <w:szCs w:val="21"/>
          <w:lang w:val="en-US" w:eastAsia="zh-CN"/>
        </w:rPr>
        <w:t>招标文件中</w:t>
      </w:r>
      <w:r>
        <w:rPr>
          <w:rFonts w:hint="eastAsia" w:ascii="宋体" w:hAnsi="宋体" w:eastAsia="宋体" w:cs="宋体"/>
          <w:color w:val="auto"/>
          <w:sz w:val="21"/>
          <w:szCs w:val="21"/>
        </w:rPr>
        <w:t>的采购需求及技术参数要求、乙方的投标文件及国家有关质量标准进行验收。</w:t>
      </w:r>
    </w:p>
    <w:p w14:paraId="14881B80">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（2）乙方交货前应对产品或服务作出全面检查和对验收文件进行整理，并列出清单，作为甲方验收和使用的技术条件依据，检验的结果应随服务一起提交甲方。</w:t>
      </w:r>
    </w:p>
    <w:p w14:paraId="3557E6AD">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（3）验收时乙方必须在现场，验收完毕后作出验收结果报告。</w:t>
      </w:r>
    </w:p>
    <w:p w14:paraId="7A35B640">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质保期</w:t>
      </w:r>
    </w:p>
    <w:p w14:paraId="0E016D87">
      <w:pPr>
        <w:keepNext w:val="0"/>
        <w:keepLines w:val="0"/>
        <w:pageBreakBefore w:val="0"/>
        <w:kinsoku/>
        <w:wordWrap/>
        <w:overflowPunct/>
        <w:topLinePunct w:val="0"/>
        <w:autoSpaceDE/>
        <w:bidi w:val="0"/>
        <w:adjustRightInd/>
        <w:snapToGrid/>
        <w:spacing w:line="500" w:lineRule="exac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1）满足招标文件要求。</w:t>
      </w:r>
    </w:p>
    <w:p w14:paraId="33FAA0E6">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8.违约责任及解决争议方法：</w:t>
      </w:r>
    </w:p>
    <w:p w14:paraId="6FEFC5ED">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9.合同的生效</w:t>
      </w:r>
    </w:p>
    <w:p w14:paraId="50FD7C9C">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合同经双方授权代表签署，买卖双方加盖印章之后生效。</w:t>
      </w:r>
    </w:p>
    <w:p w14:paraId="6016B2EF">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本合同一式     份，双方各执     份。</w:t>
      </w:r>
    </w:p>
    <w:p w14:paraId="0E5FE43C">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p>
    <w:p w14:paraId="5A69DD1D">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p>
    <w:p w14:paraId="17F76607">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p>
    <w:p w14:paraId="2AF34B58">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p>
    <w:p w14:paraId="1C70898C">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买  方：                          卖  方：</w:t>
      </w:r>
    </w:p>
    <w:p w14:paraId="2F338C9D">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名  称：（盖章）                  名  称：（盖章）</w:t>
      </w:r>
    </w:p>
    <w:p w14:paraId="26637CD9">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法定代表人（或委托代理人）：      法定代表人（或委托代理人）：</w:t>
      </w:r>
    </w:p>
    <w:p w14:paraId="794F15D1">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（签字）                        （签字）</w:t>
      </w:r>
    </w:p>
    <w:p w14:paraId="4CD0BFDF">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地    址：                        地    址：</w:t>
      </w:r>
    </w:p>
    <w:p w14:paraId="698A983B">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邮政编码：                        邮政编码：</w:t>
      </w:r>
    </w:p>
    <w:p w14:paraId="1307F494">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    话：                        电    话：</w:t>
      </w:r>
    </w:p>
    <w:p w14:paraId="18933A0E">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开户银行：                        开户银行：</w:t>
      </w:r>
    </w:p>
    <w:p w14:paraId="4326D829">
      <w:pPr>
        <w:keepNext w:val="0"/>
        <w:keepLines w:val="0"/>
        <w:pageBreakBefore w:val="0"/>
        <w:kinsoku/>
        <w:wordWrap/>
        <w:overflowPunct/>
        <w:topLinePunct w:val="0"/>
        <w:autoSpaceDE/>
        <w:bidi w:val="0"/>
        <w:adjustRightInd/>
        <w:snapToGrid/>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帐    号：                        帐    号：</w:t>
      </w:r>
    </w:p>
    <w:p w14:paraId="7871B058">
      <w:pPr>
        <w:keepNext w:val="0"/>
        <w:keepLines w:val="0"/>
        <w:pageBreakBefore w:val="0"/>
        <w:kinsoku/>
        <w:wordWrap/>
        <w:overflowPunct/>
        <w:topLinePunct w:val="0"/>
        <w:autoSpaceDE/>
        <w:bidi w:val="0"/>
        <w:adjustRightInd/>
        <w:snapToGrid/>
        <w:spacing w:line="500" w:lineRule="exact"/>
        <w:ind w:left="360"/>
        <w:outlineLvl w:val="1"/>
        <w:rPr>
          <w:rFonts w:ascii="宋体" w:hAnsi="宋体" w:eastAsia="宋体" w:cs="宋体"/>
          <w:color w:val="auto"/>
          <w:sz w:val="24"/>
          <w:szCs w:val="24"/>
        </w:rPr>
      </w:pPr>
      <w:r>
        <w:rPr>
          <w:rFonts w:hint="eastAsia" w:ascii="宋体" w:hAnsi="宋体" w:eastAsia="宋体" w:cs="宋体"/>
          <w:color w:val="auto"/>
          <w:sz w:val="21"/>
          <w:szCs w:val="21"/>
        </w:rPr>
        <w:t>签订时间：                         签订时间：</w:t>
      </w:r>
    </w:p>
    <w:p w14:paraId="038222E4">
      <w:pPr>
        <w:spacing w:line="400" w:lineRule="exact"/>
        <w:ind w:left="360"/>
        <w:jc w:val="center"/>
        <w:outlineLvl w:val="1"/>
        <w:rPr>
          <w:rFonts w:ascii="宋体" w:hAnsi="宋体" w:eastAsia="宋体" w:cs="宋体"/>
          <w:b/>
          <w:color w:val="auto"/>
          <w:sz w:val="24"/>
          <w:szCs w:val="24"/>
        </w:rPr>
      </w:pPr>
      <w:r>
        <w:rPr>
          <w:rFonts w:hint="eastAsia" w:ascii="宋体" w:hAnsi="宋体" w:eastAsia="宋体" w:cs="宋体"/>
          <w:b/>
          <w:color w:val="auto"/>
          <w:sz w:val="24"/>
          <w:szCs w:val="24"/>
        </w:rPr>
        <w:br w:type="page"/>
      </w:r>
      <w:bookmarkStart w:id="105" w:name="_Toc58430331"/>
      <w:r>
        <w:rPr>
          <w:rFonts w:hint="eastAsia" w:ascii="宋体" w:hAnsi="宋体" w:eastAsia="宋体" w:cs="宋体"/>
          <w:b/>
          <w:color w:val="auto"/>
          <w:sz w:val="24"/>
          <w:szCs w:val="24"/>
        </w:rPr>
        <w:t>二、合同条款</w:t>
      </w:r>
      <w:bookmarkEnd w:id="105"/>
    </w:p>
    <w:p w14:paraId="64FF0732">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  合同文件</w:t>
      </w:r>
    </w:p>
    <w:p w14:paraId="40B1C642">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1.合同文件适用法律</w:t>
      </w:r>
    </w:p>
    <w:p w14:paraId="3D229E10">
      <w:pPr>
        <w:keepNext w:val="0"/>
        <w:keepLines w:val="0"/>
        <w:pageBreakBefore w:val="0"/>
        <w:widowControl w:val="0"/>
        <w:kinsoku/>
        <w:wordWrap/>
        <w:topLinePunct w:val="0"/>
        <w:autoSpaceDE/>
        <w:autoSpaceDN/>
        <w:bidi w:val="0"/>
        <w:adjustRightInd/>
        <w:snapToGrid/>
        <w:spacing w:line="440" w:lineRule="exact"/>
        <w:ind w:firstLine="630"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适用于合同文件的法律是中华人民共和国现行法律、法规及</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所在地的地方性法规。</w:t>
      </w:r>
    </w:p>
    <w:p w14:paraId="47AB16EE">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2.合同文件组成和解释顺序</w:t>
      </w:r>
    </w:p>
    <w:p w14:paraId="73A4540F">
      <w:pPr>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(1)合同文件的组成和解释顺序如下：</w:t>
      </w:r>
    </w:p>
    <w:p w14:paraId="74CB8FE2">
      <w:pPr>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&lt;1&gt;合同的主要条款；</w:t>
      </w:r>
    </w:p>
    <w:p w14:paraId="6AC6F237">
      <w:pPr>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&lt;2&gt;合同的一般性条款；</w:t>
      </w:r>
    </w:p>
    <w:p w14:paraId="12F56A24">
      <w:pPr>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&lt;3&gt;洽商、变更等明确双方权利义务的纪要、协议；</w:t>
      </w:r>
    </w:p>
    <w:p w14:paraId="33CD8EC6">
      <w:pPr>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&lt;4&gt;中标通知书、投标文件和询价通知书；</w:t>
      </w:r>
    </w:p>
    <w:p w14:paraId="2E62888F">
      <w:pPr>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&lt;5&gt;有关图纸、标准、规范和其它有关技术资料、技术要求。</w:t>
      </w:r>
    </w:p>
    <w:p w14:paraId="3C1379EC">
      <w:pPr>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&lt;6&gt;合同的主要条款的效力优于合同的一般性条款的效力。</w:t>
      </w:r>
    </w:p>
    <w:p w14:paraId="5AB50E05">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3.合同文件使用文字</w:t>
      </w:r>
    </w:p>
    <w:p w14:paraId="4A7AD3E9">
      <w:pPr>
        <w:pStyle w:val="12"/>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(1)合同文件使用中文书写、解释和说明。</w:t>
      </w:r>
    </w:p>
    <w:p w14:paraId="2E4933D0">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(2)合同文件使用技术性条款约定的为国家标准和规范；国家没有相应标准、规范时，可使用行业标准、规范。非标货物应按约定的技术性条款的标准和规范。 </w:t>
      </w:r>
    </w:p>
    <w:p w14:paraId="58C49252">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  标的物的一般条款</w:t>
      </w:r>
    </w:p>
    <w:p w14:paraId="602093A7">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4.完整物权</w:t>
      </w:r>
    </w:p>
    <w:p w14:paraId="6AB5322F">
      <w:pPr>
        <w:keepNext w:val="0"/>
        <w:keepLines w:val="0"/>
        <w:pageBreakBefore w:val="0"/>
        <w:widowControl w:val="0"/>
        <w:tabs>
          <w:tab w:val="left" w:pos="660"/>
        </w:tabs>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rPr>
        <w:tab/>
      </w:r>
      <w:r>
        <w:rPr>
          <w:rFonts w:hint="eastAsia" w:ascii="宋体" w:hAnsi="宋体" w:eastAsia="宋体" w:cs="宋体"/>
          <w:color w:val="auto"/>
          <w:sz w:val="21"/>
          <w:szCs w:val="21"/>
        </w:rPr>
        <w:t>对于出卖的标的物，卖方应当拥有完整物权，并且卖方负有保证第三人不得向买方主张任何权利（包括知识产权）的义务。</w:t>
      </w:r>
    </w:p>
    <w:p w14:paraId="025712F2">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5.质量保证</w:t>
      </w:r>
    </w:p>
    <w:p w14:paraId="645C0666">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0A7728D6">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296A20CD">
      <w:pPr>
        <w:pStyle w:val="12"/>
        <w:keepNext w:val="0"/>
        <w:keepLines w:val="0"/>
        <w:pageBreakBefore w:val="0"/>
        <w:widowControl w:val="0"/>
        <w:tabs>
          <w:tab w:val="left" w:pos="900"/>
        </w:tabs>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(3)除合同主要条款规定外，合同条款中标的物的质量保证期均自标的物通过最终验收之日起计算，且质量保证期按不低于国家标准和卖方承诺的高于国家标准的质保期（卖方有特殊要求的除外）。</w:t>
      </w:r>
    </w:p>
    <w:p w14:paraId="44F32689">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6.包装</w:t>
      </w:r>
    </w:p>
    <w:p w14:paraId="7FB548A2">
      <w:pPr>
        <w:pStyle w:val="12"/>
        <w:keepNext w:val="0"/>
        <w:keepLines w:val="0"/>
        <w:pageBreakBefore w:val="0"/>
        <w:widowControl w:val="0"/>
        <w:tabs>
          <w:tab w:val="left" w:pos="900"/>
        </w:tabs>
        <w:kinsoku/>
        <w:wordWrap/>
        <w:topLinePunct w:val="0"/>
        <w:autoSpaceDE/>
        <w:autoSpaceDN/>
        <w:bidi w:val="0"/>
        <w:adjustRightInd/>
        <w:snapToGrid/>
        <w:spacing w:line="440" w:lineRule="exact"/>
        <w:ind w:firstLine="472" w:firstLineChars="2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45096B4C">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7.伴随服务</w:t>
      </w:r>
    </w:p>
    <w:p w14:paraId="501575C4">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(1)卖方除应履行按期按量交付合格标的物的义务之外，还应提供下列服务：</w:t>
      </w:r>
    </w:p>
    <w:p w14:paraId="022F425B">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&lt;1&gt;标的物的现场安装或指导安装、启动、调试、监督（如果必须安装、调试的话）；</w:t>
      </w:r>
    </w:p>
    <w:p w14:paraId="21A670D2">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&lt;2&gt;提供标的物组装和一般维修所必须的工具；</w:t>
      </w:r>
    </w:p>
    <w:p w14:paraId="59642154">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&lt;3&gt;在合同规定的期限内对所提供标的物实行运行监督、维修服务的前提条件是该服务并不能免除卖方在质量保证期内所承担的义务；</w:t>
      </w:r>
    </w:p>
    <w:p w14:paraId="2C4496A0">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&lt;4&gt;对买方技术人员的技术指导或培训。</w:t>
      </w:r>
    </w:p>
    <w:p w14:paraId="0C9E6F9B">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(2)除合同另有规定之外，伴随服务的费用均已含在合同价款中，买方不再另行进行支付。</w:t>
      </w:r>
    </w:p>
    <w:p w14:paraId="6A2EE50B">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  标的物的交付、检验和验收</w:t>
      </w:r>
    </w:p>
    <w:p w14:paraId="1CDC4AFA">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8.标的物的交付</w:t>
      </w:r>
    </w:p>
    <w:p w14:paraId="4FBDD825">
      <w:pPr>
        <w:pStyle w:val="12"/>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(1)标的物的所有权自标的物交付时转移。</w:t>
      </w:r>
    </w:p>
    <w:p w14:paraId="5BE01C82">
      <w:pPr>
        <w:pStyle w:val="12"/>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(2)卖方应当按照约定的期限和约定的地点交付符合询价通知书要求的标的物。</w:t>
      </w:r>
    </w:p>
    <w:p w14:paraId="4D261C31">
      <w:pPr>
        <w:pStyle w:val="12"/>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(3)卖方应当按照约定或者交易习惯向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交付提取标的物单证以外的有关单证和资料。</w:t>
      </w:r>
    </w:p>
    <w:p w14:paraId="29CED9ED">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9.检验和验收</w:t>
      </w:r>
    </w:p>
    <w:p w14:paraId="14D07F05">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320D3251">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(2)买方根据合同规定的内容和验收标准进行验收，经检验无误后出具验收合格证明，该证明作为最终付款所需文件的组成部分。</w:t>
      </w:r>
    </w:p>
    <w:p w14:paraId="73FD4509">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(3)验收期限自标的物交付之日起5个工作日内。特殊情况需延长的，双方应在合同条款中约定。</w:t>
      </w:r>
    </w:p>
    <w:p w14:paraId="1AFCD4A8">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 对标的物提出异议的时间和办法</w:t>
      </w:r>
    </w:p>
    <w:p w14:paraId="120C8052">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10.对标的物提出异议的时间和办法 </w:t>
      </w:r>
    </w:p>
    <w:p w14:paraId="64148BB6">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(1)买方在验收过程中，应当于双方约定的检验期间内将标的物的数量或质量不符合约定的情形及处理方式以书面形式通知卖方。</w:t>
      </w:r>
    </w:p>
    <w:p w14:paraId="31DA1D1F">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(2)如买方在验收期满后既不出具验收合格证明又未提出书面异议的视为卖方所交标的物符合合同规定。</w:t>
      </w:r>
    </w:p>
    <w:p w14:paraId="2D8C70C4">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(3)卖方应在收到买方书面异议后七天内负责处理问题，否则将视为默认买方提出的异议和处理意见。</w:t>
      </w:r>
    </w:p>
    <w:p w14:paraId="65DED2B8">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 合同价款和支付</w:t>
      </w:r>
    </w:p>
    <w:p w14:paraId="7F0C4D80">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11.合同价款和支付</w:t>
      </w:r>
    </w:p>
    <w:p w14:paraId="50A36C80">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(1)本合同的结算货币为人民币，单位元。</w:t>
      </w:r>
    </w:p>
    <w:p w14:paraId="048890E8">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(2)卖方应按照双方签订的合同规定交货并在合同主要条款规定的期限内持下列单据结算货款：</w:t>
      </w:r>
    </w:p>
    <w:p w14:paraId="06E41341">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&lt;1&gt;合格的销售发票；</w:t>
      </w:r>
    </w:p>
    <w:p w14:paraId="6E7C7308">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&lt;2&gt;买方盖章签收后的送货回单和验收合格证明。</w:t>
      </w:r>
    </w:p>
    <w:p w14:paraId="0F3207F8">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(3)买方应按合同主要条款规定的期限和方式付款。</w:t>
      </w:r>
    </w:p>
    <w:p w14:paraId="3C7FC15F">
      <w:pPr>
        <w:pStyle w:val="12"/>
        <w:keepNext w:val="0"/>
        <w:keepLines w:val="0"/>
        <w:pageBreakBefore w:val="0"/>
        <w:widowControl w:val="0"/>
        <w:tabs>
          <w:tab w:val="left" w:pos="540"/>
        </w:tabs>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(4)根据现行税法对买方征收的与本合同有关的一切税费均由买方承担；根据现行税法对卖方征收的与本合同有关的一切税费均由卖方承担。</w:t>
      </w:r>
    </w:p>
    <w:p w14:paraId="6B12ED65">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 违约责任</w:t>
      </w:r>
    </w:p>
    <w:p w14:paraId="7B76F94E">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12.违约责任</w:t>
      </w:r>
    </w:p>
    <w:p w14:paraId="7C2EAB2A">
      <w:pPr>
        <w:pStyle w:val="12"/>
        <w:keepNext w:val="0"/>
        <w:keepLines w:val="0"/>
        <w:pageBreakBefore w:val="0"/>
        <w:widowControl w:val="0"/>
        <w:kinsoku/>
        <w:wordWrap/>
        <w:topLinePunct w:val="0"/>
        <w:autoSpaceDE/>
        <w:autoSpaceDN/>
        <w:bidi w:val="0"/>
        <w:adjustRightInd/>
        <w:snapToGrid/>
        <w:spacing w:line="440" w:lineRule="exact"/>
        <w:ind w:firstLine="472" w:firstLineChars="2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合同一方不履行合同义务或者履行合同义务不符合约定的，应当承担继续履行、采取补救措施或者赔偿损失等违约责任。</w:t>
      </w:r>
    </w:p>
    <w:p w14:paraId="59B8F315">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13.买方违约责任</w:t>
      </w:r>
    </w:p>
    <w:p w14:paraId="179342A3">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(1)在合同生效后，非产品质量问题，买方要求退</w:t>
      </w:r>
      <w:r>
        <w:rPr>
          <w:rFonts w:hint="eastAsia" w:ascii="宋体" w:hAnsi="宋体" w:eastAsia="宋体" w:cs="宋体"/>
          <w:color w:val="auto"/>
          <w:sz w:val="21"/>
          <w:szCs w:val="21"/>
        </w:rPr>
        <w:t>货的，应向卖方偿付合同总价款的5%，作为违约金，违约金不足以补偿损失的，卖方有权要求甲方补足。</w:t>
      </w:r>
    </w:p>
    <w:p w14:paraId="060CD30A">
      <w:pPr>
        <w:pStyle w:val="12"/>
        <w:keepNext w:val="0"/>
        <w:keepLines w:val="0"/>
        <w:pageBreakBefore w:val="0"/>
        <w:widowControl w:val="0"/>
        <w:kinsoku/>
        <w:wordWrap/>
        <w:overflowPunct w:val="0"/>
        <w:topLinePunct w:val="0"/>
        <w:autoSpaceDE/>
        <w:autoSpaceDN/>
        <w:bidi w:val="0"/>
        <w:adjustRightInd/>
        <w:snapToGrid/>
        <w:spacing w:line="440" w:lineRule="exact"/>
        <w:ind w:right="-334" w:rightChars="-159"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(2)买方逾期付款的应按照逾期付款金额的每天万分之四支付逾期付款违约金。</w:t>
      </w:r>
    </w:p>
    <w:p w14:paraId="7D7219E5">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(3)买方违反合同规定，拒绝接收卖方交付的符合询价通知书要求的合格标的物，应当承担卖方由此造成的损失。</w:t>
      </w:r>
    </w:p>
    <w:p w14:paraId="07FB66F1">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14.卖方违约责任</w:t>
      </w:r>
    </w:p>
    <w:p w14:paraId="76711ECD">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(1)卖方不能交货（逾期超过五天视为不能交货），或交货不合格从而影响买方按期正常使用的，应向买方偿付合同总价款5%的违约金，违约金不足以补偿损失的，买方有权要求卖方补足。</w:t>
      </w:r>
    </w:p>
    <w:p w14:paraId="23702D39">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(2)卖方逾期交货的，应在发货前与买方和政府采购管理部门协商，买方仍需求的，卖方应立即发货并应按照逾期交货部分货款的每天万分之四支付逾期交货违约金，同时承担买方因此遭致的损失费用。</w:t>
      </w:r>
    </w:p>
    <w:p w14:paraId="05CE48C9">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（3）卖方逾期提供售后服务的，每逾期一天应按货款的每天万分之四支付违约金，同时承担买方因此遭致的损失费用。</w:t>
      </w:r>
    </w:p>
    <w:p w14:paraId="4220E584">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15.不可抗力</w:t>
      </w:r>
    </w:p>
    <w:p w14:paraId="2100683D">
      <w:pPr>
        <w:pStyle w:val="12"/>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(1)因水灾、火灾、地震、战争等不可抗力不能履行合同的，根据不可抗力的影响，部分或者全部免除责任。但合同一方迟延履行后发生不可抗力的，不能免除责任。</w:t>
      </w:r>
    </w:p>
    <w:p w14:paraId="67F9EF8F">
      <w:pPr>
        <w:pStyle w:val="12"/>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(2)合同一方因不可抗力不能履行合同的，应当及时通知对方，以减轻可能给对方造成的损失，并应当在合理期限内提供证明。</w:t>
      </w:r>
    </w:p>
    <w:p w14:paraId="78B830A3">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七. 索赔</w:t>
      </w:r>
    </w:p>
    <w:p w14:paraId="3BFC36B7">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16.索赔</w:t>
      </w:r>
    </w:p>
    <w:p w14:paraId="60959B8D">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(1)买方有权根据当地产品质量检验机构或其它有权威部门出具的检验证书向卖方提出索赔。</w:t>
      </w:r>
    </w:p>
    <w:p w14:paraId="6102E298">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(2)在本合同规定的检验期和质量保证期内，如果卖方对买方提出的索赔或差异有责任，则卖方应按买方同意的下列一种或多种方式解决索赔事宜：</w:t>
      </w:r>
    </w:p>
    <w:p w14:paraId="7926A634">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&lt;1&gt;卖方同意退货，并按合同规定的货币将货款退还给买方，并承担由此发生的一切损失和费用，包括利息、银行手续费、运费、保险费、检验费、仓储费、装卸费以及为保护退回标的物所需的其它必要费用；</w:t>
      </w:r>
    </w:p>
    <w:p w14:paraId="1D01B6BC">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&lt;2&gt;根据标的物的低劣程度、损坏程度以及甲方遭受损失的数额，经双方协商确定降低标的物的价格；</w:t>
      </w:r>
    </w:p>
    <w:p w14:paraId="03EA5B18">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05071D88">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482CBD33">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(4)买方提出索赔的书面材料应报当地政府采购管理部门备案。卖方同意的索赔方案应报当地政府采购管理部门审核。</w:t>
      </w:r>
    </w:p>
    <w:p w14:paraId="7D87E695">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八. 履约保证金</w:t>
      </w:r>
    </w:p>
    <w:p w14:paraId="3FD9E64F">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17.履约保证金</w:t>
      </w:r>
    </w:p>
    <w:p w14:paraId="56345874">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(1)卖方应在本合同签订时，按询价通知书的约定提供相应的履约保证金，保证金的有效期应不低于合同有效期。</w:t>
      </w:r>
    </w:p>
    <w:p w14:paraId="2660D752">
      <w:pPr>
        <w:pStyle w:val="12"/>
        <w:keepNext w:val="0"/>
        <w:keepLines w:val="0"/>
        <w:pageBreakBefore w:val="0"/>
        <w:widowControl w:val="0"/>
        <w:kinsoku/>
        <w:wordWrap/>
        <w:overflowPunct w:val="0"/>
        <w:topLinePunct w:val="0"/>
        <w:autoSpaceDE/>
        <w:autoSpaceDN/>
        <w:bidi w:val="0"/>
        <w:adjustRightInd/>
        <w:snapToGrid/>
        <w:spacing w:line="440" w:lineRule="exact"/>
        <w:ind w:right="-334" w:rightChars="-159"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(2)如果卖方未能履行合同规定的任何义务，买方有权从履约保证金中取得补偿。</w:t>
      </w:r>
    </w:p>
    <w:p w14:paraId="58502D12">
      <w:pPr>
        <w:pStyle w:val="12"/>
        <w:keepNext w:val="0"/>
        <w:keepLines w:val="0"/>
        <w:pageBreakBefore w:val="0"/>
        <w:widowControl w:val="0"/>
        <w:kinsoku/>
        <w:wordWrap/>
        <w:overflowPunct w:val="0"/>
        <w:topLinePunct w:val="0"/>
        <w:autoSpaceDE/>
        <w:autoSpaceDN/>
        <w:bidi w:val="0"/>
        <w:adjustRightInd/>
        <w:snapToGrid/>
        <w:spacing w:line="440" w:lineRule="exact"/>
        <w:ind w:right="-334" w:rightChars="-159" w:firstLine="0"/>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九.  合同的解除和转让</w:t>
      </w:r>
    </w:p>
    <w:p w14:paraId="19BFD17A">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18.合同的解除</w:t>
      </w:r>
    </w:p>
    <w:p w14:paraId="57974313">
      <w:pPr>
        <w:pStyle w:val="12"/>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(1)买方和卖方协商一致，可以解除合同。</w:t>
      </w:r>
    </w:p>
    <w:p w14:paraId="03B92DCE">
      <w:pPr>
        <w:pStyle w:val="12"/>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(2)有下列情形之一，合同一方可以解除合同：</w:t>
      </w:r>
    </w:p>
    <w:p w14:paraId="62B06016">
      <w:pPr>
        <w:pStyle w:val="12"/>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&lt;1&gt;因不可抗力致使不能实现合同目的，未受不可抗力影响的一方有权解除合同；</w:t>
      </w:r>
    </w:p>
    <w:p w14:paraId="37EA7E67">
      <w:pPr>
        <w:pStyle w:val="12"/>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&lt;2&gt;因合同一方违约导致合同不能履行，另一方有权解除合同。</w:t>
      </w:r>
    </w:p>
    <w:p w14:paraId="573F7E16">
      <w:pPr>
        <w:pStyle w:val="12"/>
        <w:keepNext w:val="0"/>
        <w:keepLines w:val="0"/>
        <w:pageBreakBefore w:val="0"/>
        <w:widowControl w:val="0"/>
        <w:kinsoku/>
        <w:wordWrap/>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(3)有权解除合同的一方，应当在违约事实或不可抗力发生之后三十天内书面通知对方以主张解除合同，合同在书面通知到达对方时解除。</w:t>
      </w:r>
    </w:p>
    <w:p w14:paraId="633E3419">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19.合同的转让</w:t>
      </w:r>
    </w:p>
    <w:p w14:paraId="086663DE">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合同的部分和全部都不得转让。</w:t>
      </w:r>
    </w:p>
    <w:p w14:paraId="12A89BE9">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十. 合同的生效</w:t>
      </w:r>
    </w:p>
    <w:p w14:paraId="2AB7B746">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20.合同的生效</w:t>
      </w:r>
    </w:p>
    <w:p w14:paraId="28A4E8B2">
      <w:pPr>
        <w:keepNext w:val="0"/>
        <w:keepLines w:val="0"/>
        <w:pageBreakBefore w:val="0"/>
        <w:widowControl w:val="0"/>
        <w:kinsoku/>
        <w:wordWrap/>
        <w:topLinePunct w:val="0"/>
        <w:autoSpaceDE/>
        <w:autoSpaceDN/>
        <w:bidi w:val="0"/>
        <w:adjustRightInd/>
        <w:snapToGrid/>
        <w:spacing w:line="440" w:lineRule="exact"/>
        <w:ind w:firstLine="581" w:firstLineChars="2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本合同在双方签字盖章后生效。</w:t>
      </w:r>
    </w:p>
    <w:p w14:paraId="26F32A97">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十一. 争议解决</w:t>
      </w:r>
    </w:p>
    <w:p w14:paraId="259F1749">
      <w:pPr>
        <w:keepNext w:val="0"/>
        <w:keepLines w:val="0"/>
        <w:pageBreakBefore w:val="0"/>
        <w:widowControl w:val="0"/>
        <w:kinsoku/>
        <w:wordWrap/>
        <w:topLinePunct w:val="0"/>
        <w:autoSpaceDE/>
        <w:autoSpaceDN/>
        <w:bidi w:val="0"/>
        <w:adjustRightInd/>
        <w:snapToGrid/>
        <w:spacing w:line="440" w:lineRule="exact"/>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21.争议解决</w:t>
      </w:r>
    </w:p>
    <w:p w14:paraId="61707534">
      <w:pPr>
        <w:pStyle w:val="12"/>
        <w:keepNext w:val="0"/>
        <w:keepLines w:val="0"/>
        <w:pageBreakBefore w:val="0"/>
        <w:widowControl w:val="0"/>
        <w:kinsoku/>
        <w:wordWrap/>
        <w:overflowPunct w:val="0"/>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买卖双方因合同发生争议，进行调解，协商不成，可选择：</w:t>
      </w:r>
      <w:r>
        <w:rPr>
          <w:rFonts w:hint="eastAsia" w:ascii="宋体" w:hAnsi="宋体" w:eastAsia="宋体" w:cs="宋体"/>
          <w:color w:val="auto"/>
          <w:sz w:val="21"/>
          <w:szCs w:val="21"/>
          <w:highlight w:val="none"/>
        </w:rPr>
        <w:t>（2）</w:t>
      </w:r>
    </w:p>
    <w:p w14:paraId="1F62FF7B">
      <w:pPr>
        <w:pStyle w:val="12"/>
        <w:keepNext w:val="0"/>
        <w:keepLines w:val="0"/>
        <w:pageBreakBefore w:val="0"/>
        <w:widowControl w:val="0"/>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(1)双方同时将争议提交滁州仲裁委员会进行仲裁；</w:t>
      </w:r>
    </w:p>
    <w:p w14:paraId="78343781">
      <w:pPr>
        <w:pStyle w:val="12"/>
        <w:keepNext w:val="0"/>
        <w:keepLines w:val="0"/>
        <w:pageBreakBefore w:val="0"/>
        <w:widowControl w:val="0"/>
        <w:tabs>
          <w:tab w:val="left" w:pos="900"/>
        </w:tabs>
        <w:kinsoku/>
        <w:wordWrap/>
        <w:overflowPunct w:val="0"/>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(2)向买方所在地人民法院提起诉讼。</w:t>
      </w:r>
    </w:p>
    <w:p w14:paraId="546C23D0">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十二 .附则</w:t>
      </w:r>
    </w:p>
    <w:p w14:paraId="1D124A0E">
      <w:pPr>
        <w:keepNext w:val="0"/>
        <w:keepLines w:val="0"/>
        <w:pageBreakBefore w:val="0"/>
        <w:widowControl w:val="0"/>
        <w:kinsoku/>
        <w:wordWrap/>
        <w:topLinePunct w:val="0"/>
        <w:autoSpaceDE/>
        <w:autoSpaceDN/>
        <w:bidi w:val="0"/>
        <w:adjustRightInd/>
        <w:snapToGrid/>
        <w:spacing w:line="440" w:lineRule="exact"/>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22.合同份数。</w:t>
      </w:r>
    </w:p>
    <w:p w14:paraId="2EB91CA8">
      <w:pPr>
        <w:keepNext w:val="0"/>
        <w:keepLines w:val="0"/>
        <w:pageBreakBefore w:val="0"/>
        <w:widowControl w:val="0"/>
        <w:kinsoku/>
        <w:wordWrap/>
        <w:topLinePunct w:val="0"/>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 本合同一式陆份，买卖双方各执叁份。</w:t>
      </w:r>
    </w:p>
    <w:p w14:paraId="6D5E7986">
      <w:pPr>
        <w:keepNext w:val="0"/>
        <w:keepLines w:val="0"/>
        <w:pageBreakBefore w:val="0"/>
        <w:widowControl w:val="0"/>
        <w:kinsoku/>
        <w:wordWrap/>
        <w:topLinePunct w:val="0"/>
        <w:autoSpaceDE/>
        <w:autoSpaceDN/>
        <w:bidi w:val="0"/>
        <w:adjustRightInd/>
        <w:snapToGrid/>
        <w:spacing w:line="440" w:lineRule="exact"/>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23.未尽事宜</w:t>
      </w:r>
    </w:p>
    <w:p w14:paraId="1EA803AD">
      <w:pPr>
        <w:keepNext w:val="0"/>
        <w:keepLines w:val="0"/>
        <w:pageBreakBefore w:val="0"/>
        <w:widowControl w:val="0"/>
        <w:kinsoku/>
        <w:wordWrap/>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本合同未尽事宜应按《中华人民共和国民法典》、《中华人民共和国产品质量法》之规定解释。</w:t>
      </w:r>
    </w:p>
    <w:bookmarkEnd w:id="99"/>
    <w:bookmarkEnd w:id="101"/>
    <w:p w14:paraId="0641DCA8">
      <w:pPr>
        <w:pStyle w:val="3"/>
        <w:spacing w:before="240" w:after="240"/>
        <w:rPr>
          <w:rStyle w:val="66"/>
          <w:rFonts w:hint="eastAsia" w:ascii="宋体" w:hAnsi="宋体" w:cs="宋体"/>
          <w:b/>
          <w:bCs/>
          <w:color w:val="auto"/>
          <w:sz w:val="32"/>
          <w:szCs w:val="32"/>
          <w:highlight w:val="none"/>
        </w:rPr>
      </w:pPr>
      <w:bookmarkStart w:id="106" w:name="_Toc18772"/>
      <w:bookmarkStart w:id="107" w:name="_Toc10515"/>
      <w:r>
        <w:rPr>
          <w:rStyle w:val="66"/>
          <w:rFonts w:hint="eastAsia" w:ascii="宋体" w:hAnsi="宋体" w:cs="宋体"/>
          <w:b/>
          <w:bCs/>
          <w:color w:val="auto"/>
          <w:sz w:val="32"/>
          <w:szCs w:val="32"/>
          <w:highlight w:val="none"/>
        </w:rPr>
        <w:br w:type="page"/>
      </w:r>
      <w:r>
        <w:rPr>
          <w:rStyle w:val="66"/>
          <w:rFonts w:hint="eastAsia" w:ascii="宋体" w:hAnsi="宋体" w:cs="宋体"/>
          <w:b/>
          <w:bCs/>
          <w:color w:val="auto"/>
          <w:sz w:val="32"/>
          <w:szCs w:val="32"/>
          <w:highlight w:val="none"/>
        </w:rPr>
        <w:t>第</w:t>
      </w:r>
      <w:r>
        <w:rPr>
          <w:rStyle w:val="66"/>
          <w:rFonts w:hint="eastAsia" w:ascii="宋体" w:hAnsi="宋体" w:eastAsia="宋体" w:cs="宋体"/>
          <w:b/>
          <w:bCs/>
          <w:color w:val="auto"/>
          <w:sz w:val="32"/>
          <w:szCs w:val="32"/>
          <w:highlight w:val="none"/>
          <w:lang w:val="en-US" w:eastAsia="zh-CN"/>
        </w:rPr>
        <w:t>六</w:t>
      </w:r>
      <w:r>
        <w:rPr>
          <w:rStyle w:val="66"/>
          <w:rFonts w:hint="eastAsia" w:ascii="宋体" w:hAnsi="宋体" w:cs="宋体"/>
          <w:b/>
          <w:bCs/>
          <w:color w:val="auto"/>
          <w:sz w:val="32"/>
          <w:szCs w:val="32"/>
          <w:highlight w:val="none"/>
        </w:rPr>
        <w:t>章  投标文件格式</w:t>
      </w:r>
      <w:bookmarkEnd w:id="106"/>
      <w:bookmarkEnd w:id="107"/>
    </w:p>
    <w:p w14:paraId="585F246B">
      <w:pPr>
        <w:ind w:firstLine="6440" w:firstLineChars="2300"/>
        <w:rPr>
          <w:rFonts w:hint="eastAsia" w:ascii="宋体" w:hAnsi="宋体" w:cs="宋体"/>
          <w:color w:val="auto"/>
          <w:sz w:val="28"/>
          <w:szCs w:val="28"/>
          <w:highlight w:val="none"/>
          <w:bdr w:val="single" w:color="000000" w:sz="4" w:space="0"/>
        </w:rPr>
      </w:pPr>
      <w:r>
        <w:rPr>
          <w:rFonts w:hint="eastAsia" w:ascii="宋体" w:hAnsi="宋体" w:cs="宋体"/>
          <w:color w:val="auto"/>
          <w:sz w:val="28"/>
          <w:szCs w:val="28"/>
          <w:highlight w:val="none"/>
          <w:bdr w:val="single" w:color="000000" w:sz="4" w:space="0"/>
        </w:rPr>
        <w:t>注明正本或副本</w:t>
      </w:r>
    </w:p>
    <w:p w14:paraId="38440499">
      <w:pPr>
        <w:jc w:val="center"/>
        <w:rPr>
          <w:rFonts w:hint="eastAsia" w:ascii="宋体" w:hAnsi="宋体" w:cs="宋体"/>
          <w:color w:val="auto"/>
          <w:sz w:val="20"/>
          <w:highlight w:val="none"/>
        </w:rPr>
      </w:pPr>
    </w:p>
    <w:p w14:paraId="6062F4B5">
      <w:pPr>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投标文件</w:t>
      </w:r>
    </w:p>
    <w:p w14:paraId="7B000861">
      <w:pPr>
        <w:jc w:val="center"/>
        <w:rPr>
          <w:rFonts w:hint="eastAsia" w:ascii="宋体" w:hAnsi="宋体" w:cs="宋体"/>
          <w:color w:val="auto"/>
          <w:sz w:val="32"/>
          <w:szCs w:val="32"/>
          <w:highlight w:val="none"/>
          <w:u w:val="single"/>
        </w:rPr>
      </w:pPr>
    </w:p>
    <w:p w14:paraId="2084DA92">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项目名称</w:t>
      </w:r>
    </w:p>
    <w:p w14:paraId="5ED88C3A">
      <w:pPr>
        <w:rPr>
          <w:rFonts w:hint="eastAsia" w:ascii="宋体" w:hAnsi="宋体" w:cs="宋体"/>
          <w:color w:val="auto"/>
          <w:sz w:val="28"/>
          <w:szCs w:val="28"/>
          <w:highlight w:val="none"/>
        </w:rPr>
      </w:pPr>
    </w:p>
    <w:p w14:paraId="5FA00494">
      <w:pPr>
        <w:rPr>
          <w:rFonts w:hint="eastAsia" w:ascii="宋体" w:hAnsi="宋体" w:cs="宋体"/>
          <w:color w:val="auto"/>
          <w:sz w:val="28"/>
          <w:szCs w:val="28"/>
          <w:highlight w:val="none"/>
        </w:rPr>
      </w:pPr>
    </w:p>
    <w:p w14:paraId="1D144585">
      <w:pPr>
        <w:rPr>
          <w:rFonts w:hint="eastAsia" w:ascii="宋体" w:hAnsi="宋体" w:cs="宋体"/>
          <w:color w:val="auto"/>
          <w:sz w:val="28"/>
          <w:szCs w:val="28"/>
          <w:highlight w:val="none"/>
        </w:rPr>
      </w:pPr>
    </w:p>
    <w:p w14:paraId="7AA70AE3">
      <w:pPr>
        <w:rPr>
          <w:rFonts w:hint="eastAsia" w:ascii="宋体" w:hAnsi="宋体" w:cs="宋体"/>
          <w:color w:val="auto"/>
          <w:sz w:val="28"/>
          <w:szCs w:val="28"/>
          <w:highlight w:val="none"/>
        </w:rPr>
      </w:pPr>
    </w:p>
    <w:p w14:paraId="2175C21A">
      <w:pPr>
        <w:rPr>
          <w:rFonts w:hint="eastAsia" w:ascii="宋体" w:hAnsi="宋体" w:cs="宋体"/>
          <w:color w:val="auto"/>
          <w:sz w:val="28"/>
          <w:szCs w:val="28"/>
          <w:highlight w:val="none"/>
        </w:rPr>
      </w:pPr>
    </w:p>
    <w:p w14:paraId="25FDF9C2">
      <w:pPr>
        <w:rPr>
          <w:rFonts w:hint="eastAsia" w:ascii="宋体" w:hAnsi="宋体" w:cs="宋体"/>
          <w:color w:val="auto"/>
          <w:sz w:val="28"/>
          <w:szCs w:val="28"/>
          <w:highlight w:val="none"/>
        </w:rPr>
      </w:pPr>
    </w:p>
    <w:p w14:paraId="0EBF916B">
      <w:pPr>
        <w:rPr>
          <w:rFonts w:hint="eastAsia" w:ascii="宋体" w:hAnsi="宋体" w:cs="宋体"/>
          <w:color w:val="auto"/>
          <w:sz w:val="28"/>
          <w:szCs w:val="28"/>
          <w:highlight w:val="none"/>
        </w:rPr>
      </w:pPr>
    </w:p>
    <w:p w14:paraId="0A879362">
      <w:pPr>
        <w:rPr>
          <w:rFonts w:hint="eastAsia" w:ascii="宋体" w:hAnsi="宋体" w:cs="宋体"/>
          <w:color w:val="auto"/>
          <w:sz w:val="28"/>
          <w:szCs w:val="28"/>
          <w:highlight w:val="none"/>
        </w:rPr>
      </w:pPr>
    </w:p>
    <w:p w14:paraId="2AC0F9AE">
      <w:pPr>
        <w:rPr>
          <w:rFonts w:hint="eastAsia" w:ascii="宋体" w:hAnsi="宋体" w:cs="宋体"/>
          <w:color w:val="auto"/>
          <w:sz w:val="28"/>
          <w:szCs w:val="28"/>
          <w:highlight w:val="none"/>
        </w:rPr>
      </w:pPr>
    </w:p>
    <w:p w14:paraId="71AE7728">
      <w:pPr>
        <w:rPr>
          <w:rFonts w:hint="eastAsia" w:ascii="宋体" w:hAnsi="宋体" w:cs="宋体"/>
          <w:color w:val="auto"/>
          <w:sz w:val="28"/>
          <w:szCs w:val="28"/>
          <w:highlight w:val="none"/>
        </w:rPr>
      </w:pPr>
    </w:p>
    <w:p w14:paraId="117C2F21">
      <w:pPr>
        <w:rPr>
          <w:rFonts w:hint="eastAsia" w:ascii="宋体" w:hAnsi="宋体" w:cs="宋体"/>
          <w:color w:val="auto"/>
          <w:sz w:val="28"/>
          <w:szCs w:val="28"/>
          <w:highlight w:val="none"/>
        </w:rPr>
      </w:pPr>
    </w:p>
    <w:p w14:paraId="7FF012E1">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2C449CBB">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6E324455">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1271FDE2">
      <w:pPr>
        <w:spacing w:line="720" w:lineRule="auto"/>
        <w:jc w:val="center"/>
        <w:rPr>
          <w:rFonts w:hint="eastAsia" w:ascii="宋体" w:hAnsi="宋体" w:cs="宋体"/>
          <w:b/>
          <w:color w:val="auto"/>
          <w:sz w:val="36"/>
          <w:szCs w:val="36"/>
          <w:highlight w:val="none"/>
        </w:rPr>
      </w:pPr>
    </w:p>
    <w:p w14:paraId="132ACE90">
      <w:pPr>
        <w:spacing w:line="400" w:lineRule="exact"/>
        <w:jc w:val="center"/>
        <w:rPr>
          <w:rFonts w:hint="eastAsia" w:ascii="宋体" w:hAnsi="宋体" w:cs="宋体"/>
          <w:b/>
          <w:color w:val="auto"/>
          <w:sz w:val="28"/>
          <w:szCs w:val="44"/>
          <w:highlight w:val="none"/>
        </w:rPr>
      </w:pPr>
      <w:r>
        <w:rPr>
          <w:rFonts w:hint="eastAsia" w:ascii="宋体" w:hAnsi="宋体" w:cs="宋体"/>
          <w:b/>
          <w:color w:val="auto"/>
          <w:sz w:val="28"/>
          <w:szCs w:val="44"/>
          <w:highlight w:val="none"/>
        </w:rPr>
        <w:br w:type="page"/>
      </w:r>
      <w:r>
        <w:rPr>
          <w:rFonts w:hint="eastAsia" w:ascii="宋体" w:hAnsi="宋体" w:cs="宋体"/>
          <w:b/>
          <w:color w:val="auto"/>
          <w:sz w:val="28"/>
          <w:szCs w:val="44"/>
          <w:highlight w:val="none"/>
        </w:rPr>
        <w:t>目录</w:t>
      </w:r>
    </w:p>
    <w:p w14:paraId="32279316">
      <w:pPr>
        <w:pStyle w:val="47"/>
        <w:rPr>
          <w:rFonts w:hint="eastAsia" w:ascii="宋体" w:hAnsi="宋体" w:cs="宋体"/>
          <w:color w:val="auto"/>
          <w:highlight w:val="none"/>
        </w:rPr>
      </w:pPr>
    </w:p>
    <w:p w14:paraId="2DBDEB1E">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（1）法定代表人身份证明文件和本人有效身份证(或法定代表人授权委托书原件和委托代理人有效身份证)； </w:t>
      </w:r>
    </w:p>
    <w:p w14:paraId="54E583AA">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（2）诚信投标承诺书（格式见附件）；</w:t>
      </w:r>
    </w:p>
    <w:p w14:paraId="4CE9BAD2">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（3）企业营业执照（或三证合一的有效证件）；</w:t>
      </w:r>
    </w:p>
    <w:p w14:paraId="3F41CDF7">
      <w:pPr>
        <w:spacing w:line="440" w:lineRule="exact"/>
        <w:ind w:left="10" w:right="-94" w:rightChars="-45"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4）服务承诺书（格式见附件）；</w:t>
      </w:r>
    </w:p>
    <w:p w14:paraId="6CE651CD">
      <w:pPr>
        <w:spacing w:line="440" w:lineRule="exact"/>
        <w:ind w:left="10" w:right="-94" w:rightChars="-45"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）投标函（格式见附件）；</w:t>
      </w:r>
    </w:p>
    <w:p w14:paraId="3AE897FA">
      <w:pPr>
        <w:spacing w:line="440" w:lineRule="exact"/>
        <w:ind w:left="10" w:right="-94" w:rightChars="-45"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6）分项报价清单（格式见附件）；</w:t>
      </w:r>
    </w:p>
    <w:p w14:paraId="61F01A79">
      <w:pPr>
        <w:spacing w:line="440" w:lineRule="exact"/>
        <w:ind w:left="10" w:right="-94" w:rightChars="-45" w:firstLine="420" w:firstLineChars="200"/>
        <w:jc w:val="left"/>
        <w:rPr>
          <w:rFonts w:ascii="宋体" w:hAnsi="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lang w:eastAsia="zh-CN"/>
        </w:rPr>
        <w:t>过程中所需提供</w:t>
      </w:r>
      <w:r>
        <w:rPr>
          <w:rFonts w:hint="eastAsia" w:ascii="宋体" w:hAnsi="宋体" w:cs="宋体"/>
          <w:color w:val="auto"/>
          <w:szCs w:val="21"/>
          <w:highlight w:val="none"/>
        </w:rPr>
        <w:t>证明材料。</w:t>
      </w:r>
    </w:p>
    <w:p w14:paraId="7A23B67B">
      <w:pPr>
        <w:spacing w:line="400" w:lineRule="exact"/>
        <w:ind w:firstLine="562" w:firstLineChars="200"/>
        <w:rPr>
          <w:rFonts w:hint="eastAsia" w:ascii="宋体" w:hAnsi="宋体" w:cs="宋体"/>
          <w:b/>
          <w:color w:val="auto"/>
          <w:sz w:val="28"/>
          <w:szCs w:val="28"/>
          <w:highlight w:val="none"/>
        </w:rPr>
      </w:pPr>
    </w:p>
    <w:p w14:paraId="7B56212F">
      <w:pPr>
        <w:spacing w:line="400" w:lineRule="exact"/>
        <w:ind w:firstLine="562" w:firstLineChars="200"/>
        <w:rPr>
          <w:rFonts w:hint="eastAsia" w:ascii="宋体" w:hAnsi="宋体" w:cs="宋体"/>
          <w:b/>
          <w:color w:val="auto"/>
          <w:sz w:val="28"/>
          <w:szCs w:val="28"/>
          <w:highlight w:val="none"/>
        </w:rPr>
      </w:pPr>
    </w:p>
    <w:p w14:paraId="2FF87589">
      <w:pPr>
        <w:spacing w:line="400" w:lineRule="exact"/>
        <w:ind w:firstLine="562" w:firstLineChars="200"/>
        <w:rPr>
          <w:rFonts w:hint="eastAsia" w:ascii="宋体" w:hAnsi="宋体" w:cs="宋体"/>
          <w:b/>
          <w:color w:val="auto"/>
          <w:sz w:val="28"/>
          <w:szCs w:val="28"/>
          <w:highlight w:val="none"/>
        </w:rPr>
      </w:pPr>
    </w:p>
    <w:p w14:paraId="415F0ECB">
      <w:pPr>
        <w:spacing w:line="400" w:lineRule="exact"/>
        <w:ind w:firstLine="562" w:firstLineChars="200"/>
        <w:rPr>
          <w:rFonts w:hint="eastAsia" w:ascii="宋体" w:hAnsi="宋体" w:cs="宋体"/>
          <w:b/>
          <w:color w:val="auto"/>
          <w:sz w:val="28"/>
          <w:szCs w:val="28"/>
          <w:highlight w:val="none"/>
        </w:rPr>
      </w:pPr>
    </w:p>
    <w:p w14:paraId="2AD66B1B">
      <w:pPr>
        <w:spacing w:line="400" w:lineRule="exact"/>
        <w:ind w:firstLine="562" w:firstLineChars="200"/>
        <w:rPr>
          <w:rFonts w:hint="eastAsia" w:ascii="宋体" w:hAnsi="宋体" w:cs="宋体"/>
          <w:b/>
          <w:color w:val="auto"/>
          <w:sz w:val="28"/>
          <w:szCs w:val="28"/>
          <w:highlight w:val="none"/>
        </w:rPr>
      </w:pPr>
    </w:p>
    <w:p w14:paraId="1DBDB977">
      <w:pPr>
        <w:spacing w:line="400" w:lineRule="exact"/>
        <w:ind w:firstLine="562" w:firstLineChars="200"/>
        <w:rPr>
          <w:rFonts w:hint="eastAsia" w:ascii="宋体" w:hAnsi="宋体" w:cs="宋体"/>
          <w:b/>
          <w:color w:val="auto"/>
          <w:sz w:val="28"/>
          <w:szCs w:val="28"/>
          <w:highlight w:val="none"/>
        </w:rPr>
      </w:pPr>
    </w:p>
    <w:p w14:paraId="1F209006">
      <w:pPr>
        <w:spacing w:line="400" w:lineRule="exact"/>
        <w:ind w:firstLine="562" w:firstLineChars="200"/>
        <w:rPr>
          <w:rFonts w:hint="eastAsia" w:ascii="宋体" w:hAnsi="宋体" w:cs="宋体"/>
          <w:b/>
          <w:color w:val="auto"/>
          <w:sz w:val="28"/>
          <w:szCs w:val="28"/>
          <w:highlight w:val="none"/>
        </w:rPr>
      </w:pPr>
    </w:p>
    <w:p w14:paraId="0FC53E36">
      <w:pPr>
        <w:spacing w:line="400" w:lineRule="exact"/>
        <w:ind w:firstLine="562" w:firstLineChars="200"/>
        <w:rPr>
          <w:rFonts w:hint="eastAsia" w:ascii="宋体" w:hAnsi="宋体" w:cs="宋体"/>
          <w:b/>
          <w:color w:val="auto"/>
          <w:sz w:val="28"/>
          <w:szCs w:val="28"/>
          <w:highlight w:val="none"/>
        </w:rPr>
      </w:pPr>
    </w:p>
    <w:p w14:paraId="178E491D">
      <w:pPr>
        <w:spacing w:line="400" w:lineRule="exact"/>
        <w:ind w:firstLine="562" w:firstLineChars="200"/>
        <w:rPr>
          <w:rFonts w:hint="eastAsia" w:ascii="宋体" w:hAnsi="宋体" w:cs="宋体"/>
          <w:b/>
          <w:color w:val="auto"/>
          <w:sz w:val="28"/>
          <w:szCs w:val="28"/>
          <w:highlight w:val="none"/>
        </w:rPr>
      </w:pPr>
    </w:p>
    <w:p w14:paraId="52C7A7B6">
      <w:pPr>
        <w:spacing w:line="400" w:lineRule="exact"/>
        <w:ind w:firstLine="562" w:firstLineChars="200"/>
        <w:rPr>
          <w:rFonts w:hint="eastAsia" w:ascii="宋体" w:hAnsi="宋体" w:cs="宋体"/>
          <w:b/>
          <w:color w:val="auto"/>
          <w:sz w:val="28"/>
          <w:szCs w:val="28"/>
          <w:highlight w:val="none"/>
        </w:rPr>
      </w:pPr>
    </w:p>
    <w:p w14:paraId="6682D246">
      <w:pPr>
        <w:spacing w:line="400" w:lineRule="exact"/>
        <w:ind w:firstLine="562" w:firstLineChars="200"/>
        <w:rPr>
          <w:rFonts w:hint="eastAsia" w:ascii="宋体" w:hAnsi="宋体" w:cs="宋体"/>
          <w:b/>
          <w:color w:val="auto"/>
          <w:sz w:val="28"/>
          <w:szCs w:val="28"/>
          <w:highlight w:val="none"/>
        </w:rPr>
      </w:pPr>
    </w:p>
    <w:p w14:paraId="04E4AEC1">
      <w:pPr>
        <w:spacing w:line="400" w:lineRule="exact"/>
        <w:ind w:firstLine="562" w:firstLineChars="200"/>
        <w:rPr>
          <w:rFonts w:hint="eastAsia" w:ascii="宋体" w:hAnsi="宋体" w:cs="宋体"/>
          <w:b/>
          <w:color w:val="auto"/>
          <w:sz w:val="28"/>
          <w:szCs w:val="28"/>
          <w:highlight w:val="none"/>
        </w:rPr>
      </w:pPr>
    </w:p>
    <w:p w14:paraId="7B0F0D52">
      <w:pPr>
        <w:spacing w:line="400" w:lineRule="exact"/>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附件1</w:t>
      </w:r>
    </w:p>
    <w:p w14:paraId="4A5872C7">
      <w:pPr>
        <w:spacing w:line="360" w:lineRule="auto"/>
        <w:ind w:left="72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法定代表人身份证明或授权委托书</w:t>
      </w:r>
    </w:p>
    <w:p w14:paraId="0A5A13BC">
      <w:pPr>
        <w:pStyle w:val="214"/>
        <w:spacing w:before="312" w:beforeLines="100" w:after="312" w:afterLines="100" w:line="480" w:lineRule="exact"/>
        <w:ind w:firstLine="157" w:firstLineChars="75"/>
        <w:rPr>
          <w:rFonts w:hint="eastAsia" w:ascii="宋体" w:hAnsi="宋体" w:cs="宋体"/>
          <w:b/>
          <w:color w:val="auto"/>
          <w:sz w:val="21"/>
          <w:szCs w:val="21"/>
          <w:highlight w:val="none"/>
        </w:rPr>
      </w:pPr>
      <w:r>
        <w:rPr>
          <w:rFonts w:hint="eastAsia" w:ascii="宋体" w:hAnsi="宋体" w:cs="宋体"/>
          <w:color w:val="auto"/>
          <w:sz w:val="21"/>
          <w:szCs w:val="21"/>
          <w:highlight w:val="none"/>
        </w:rPr>
        <w:t>1、法定代表人身份证明</w:t>
      </w:r>
    </w:p>
    <w:p w14:paraId="245F408A">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602C4D4">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单位性质：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D4E65C6">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A2753EC">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9EE38FC">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A5302BF">
      <w:pPr>
        <w:spacing w:line="480" w:lineRule="exact"/>
        <w:ind w:firstLine="345" w:firstLineChars="50"/>
        <w:rPr>
          <w:rFonts w:hint="eastAsia" w:ascii="宋体" w:hAnsi="宋体" w:cs="宋体"/>
          <w:color w:val="auto"/>
          <w:szCs w:val="21"/>
          <w:highlight w:val="none"/>
        </w:rPr>
      </w:pPr>
      <w:r>
        <w:rPr>
          <w:rFonts w:hint="eastAsia" w:ascii="宋体" w:hAnsi="宋体" w:cs="宋体"/>
          <w:color w:val="auto"/>
          <w:spacing w:val="240"/>
          <w:szCs w:val="21"/>
          <w:highlight w:val="none"/>
        </w:rPr>
        <w:t>姓</w:t>
      </w:r>
      <w:r>
        <w:rPr>
          <w:rFonts w:hint="eastAsia" w:ascii="宋体" w:hAnsi="宋体" w:cs="宋体"/>
          <w:color w:val="auto"/>
          <w:szCs w:val="21"/>
          <w:highlight w:val="none"/>
        </w:rPr>
        <w:t>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74C642D9">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w:t>
      </w:r>
    </w:p>
    <w:p w14:paraId="41997BDE">
      <w:pPr>
        <w:spacing w:line="48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7F2F819E">
      <w:pPr>
        <w:spacing w:line="360" w:lineRule="auto"/>
        <w:ind w:firstLine="3045" w:firstLineChars="1450"/>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1EE3493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20DF1FC0">
      <w:pPr>
        <w:spacing w:before="312" w:beforeLines="100" w:after="312" w:afterLines="100" w:line="480" w:lineRule="exact"/>
        <w:ind w:firstLine="3255" w:firstLineChars="1550"/>
        <w:rPr>
          <w:rFonts w:hint="eastAsia" w:ascii="宋体" w:hAnsi="宋体" w:cs="宋体"/>
          <w:color w:val="auto"/>
          <w:szCs w:val="21"/>
          <w:highlight w:val="none"/>
        </w:rPr>
      </w:pPr>
      <w:r>
        <w:rPr>
          <w:rFonts w:hint="eastAsia" w:ascii="宋体" w:hAnsi="宋体" w:cs="宋体"/>
          <w:color w:val="auto"/>
          <w:szCs w:val="21"/>
          <w:highlight w:val="none"/>
        </w:rPr>
        <w:t>2、授权委托书</w:t>
      </w:r>
    </w:p>
    <w:p w14:paraId="0C2B53FA">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本人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”(项目名称）投标文件，全权处理与该项目投标、评审答疑、签订合同以及与合同执行有关的一切事务，其法律后果由我方承担。</w:t>
      </w:r>
    </w:p>
    <w:p w14:paraId="368DBE3B">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委托期限：同投标有效期         </w:t>
      </w:r>
    </w:p>
    <w:p w14:paraId="6681A5AC">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1BA23799">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附：委托代理人身份证明扫描件</w:t>
      </w:r>
    </w:p>
    <w:p w14:paraId="07491D7A">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投标人（盖单位章）：</w:t>
      </w:r>
    </w:p>
    <w:p w14:paraId="3C6FCCC2">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法定代表人（身份证号码）：               （签字或盖章）</w:t>
      </w:r>
    </w:p>
    <w:p w14:paraId="62AD9D66">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委托代理人（身份证号码）：               （签字或盖章）</w:t>
      </w:r>
    </w:p>
    <w:p w14:paraId="4200F00C">
      <w:pPr>
        <w:spacing w:line="480" w:lineRule="exact"/>
        <w:ind w:firstLine="2467" w:firstLineChars="1175"/>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49093E3">
      <w:pPr>
        <w:spacing w:line="440" w:lineRule="exact"/>
        <w:ind w:firstLine="525" w:firstLineChars="250"/>
        <w:jc w:val="center"/>
        <w:rPr>
          <w:rFonts w:hint="eastAsia" w:ascii="宋体" w:hAnsi="宋体" w:cs="宋体"/>
          <w:color w:val="auto"/>
          <w:szCs w:val="21"/>
          <w:highlight w:val="none"/>
        </w:rPr>
      </w:pPr>
    </w:p>
    <w:p w14:paraId="3460A30D">
      <w:pPr>
        <w:pStyle w:val="47"/>
        <w:ind w:left="0" w:leftChars="0" w:firstLine="0" w:firstLineChars="0"/>
        <w:jc w:val="left"/>
        <w:rPr>
          <w:rFonts w:hint="eastAsia" w:ascii="宋体" w:hAnsi="宋体" w:cs="宋体"/>
          <w:color w:val="auto"/>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附件2</w:t>
      </w:r>
    </w:p>
    <w:p w14:paraId="011A0513">
      <w:pPr>
        <w:pStyle w:val="4"/>
        <w:jc w:val="center"/>
        <w:rPr>
          <w:rFonts w:hint="eastAsia" w:ascii="宋体" w:hAnsi="宋体" w:cs="宋体"/>
          <w:color w:val="auto"/>
          <w:highlight w:val="none"/>
        </w:rPr>
      </w:pPr>
      <w:bookmarkStart w:id="108" w:name="_Toc26746"/>
      <w:r>
        <w:rPr>
          <w:rFonts w:hint="eastAsia" w:ascii="宋体" w:hAnsi="宋体" w:cs="宋体"/>
          <w:color w:val="auto"/>
          <w:highlight w:val="none"/>
        </w:rPr>
        <w:t>诚信投标承诺书 </w:t>
      </w:r>
      <w:bookmarkEnd w:id="108"/>
    </w:p>
    <w:p w14:paraId="476051C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本人以企业法定代表人的身份郑重承诺：</w:t>
      </w:r>
    </w:p>
    <w:p w14:paraId="2E9223A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一、将遵循公开、公正和诚实信用的原则自愿参加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w:t>
      </w:r>
    </w:p>
    <w:p w14:paraId="57C43A1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二、所提供的一切材料都是真实、有效、合法的；</w:t>
      </w:r>
    </w:p>
    <w:p w14:paraId="6F4B6C2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三、不出借、转让资质证书，不让他人挂靠投标，不以他人名义投标或者以其他方式弄虚作假，骗取中标；</w:t>
      </w:r>
    </w:p>
    <w:p w14:paraId="0F51339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四、不与其他投标人相互串通投标报价，不排挤其他投标人的公平竞争、损害招标人的合法权益；</w:t>
      </w:r>
    </w:p>
    <w:p w14:paraId="1580B82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五、不与招标人、招标代理机构或其他投标人串通投标，损害国家利益、社会公共利益或者他人的合法权益；</w:t>
      </w:r>
    </w:p>
    <w:p w14:paraId="5148197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六、 我公司 没有下列情形：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r>
        <w:rPr>
          <w:rFonts w:hint="eastAsia" w:ascii="宋体" w:hAnsi="宋体" w:cs="宋体"/>
          <w:color w:val="auto"/>
          <w:szCs w:val="21"/>
          <w:highlight w:val="none"/>
          <w:lang w:eastAsia="zh-CN"/>
        </w:rPr>
        <w:t>。</w:t>
      </w:r>
    </w:p>
    <w:p w14:paraId="239FFFE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七、严格遵守开标现场纪律，服从监管人员管理；</w:t>
      </w:r>
    </w:p>
    <w:p w14:paraId="45E60BF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八、保证企业及所属相关人员在本次投标中无行贿等犯罪行为；</w:t>
      </w:r>
    </w:p>
    <w:p w14:paraId="2ED53B0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九、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32F9342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以上内容我已仔细阅读，本公司若有违反承诺内容的行为，自愿依法接受取消投标资格、记入信用档案、取消中标资格等有关处理，愿意承担法律责任，给招标人造成损失的，依法承担赔偿责任。</w:t>
      </w:r>
    </w:p>
    <w:p w14:paraId="726DB1CB">
      <w:pPr>
        <w:spacing w:line="440" w:lineRule="exact"/>
        <w:jc w:val="left"/>
        <w:rPr>
          <w:rFonts w:hint="eastAsia" w:ascii="宋体" w:hAnsi="宋体" w:cs="宋体"/>
          <w:color w:val="auto"/>
          <w:szCs w:val="21"/>
          <w:highlight w:val="none"/>
        </w:rPr>
      </w:pPr>
    </w:p>
    <w:p w14:paraId="01E80B4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开户银行：                   基本账户：</w:t>
      </w:r>
    </w:p>
    <w:p w14:paraId="046FB07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投标人（盖章）：             法定代表人（签字或盖章）：</w:t>
      </w:r>
    </w:p>
    <w:p w14:paraId="07391BE1">
      <w:pPr>
        <w:spacing w:line="440" w:lineRule="exact"/>
        <w:ind w:firstLine="3360" w:firstLineChars="1600"/>
        <w:jc w:val="left"/>
        <w:rPr>
          <w:rFonts w:hint="eastAsia" w:ascii="宋体" w:hAnsi="宋体" w:cs="宋体"/>
          <w:color w:val="auto"/>
          <w:sz w:val="28"/>
          <w:szCs w:val="28"/>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5CAD0F2">
      <w:pPr>
        <w:pStyle w:val="47"/>
        <w:ind w:left="0" w:leftChars="0" w:firstLine="0" w:firstLineChars="0"/>
        <w:jc w:val="left"/>
        <w:rPr>
          <w:rFonts w:hint="eastAsia" w:ascii="宋体" w:hAnsi="宋体" w:cs="宋体"/>
          <w:b/>
          <w:color w:val="auto"/>
          <w:sz w:val="28"/>
          <w:szCs w:val="44"/>
          <w:highlight w:val="none"/>
          <w:lang w:val="en-US" w:eastAsia="zh-CN"/>
        </w:rPr>
      </w:pPr>
      <w:r>
        <w:rPr>
          <w:rFonts w:hint="eastAsia" w:ascii="宋体" w:hAnsi="宋体" w:cs="宋体"/>
          <w:b/>
          <w:color w:val="auto"/>
          <w:sz w:val="28"/>
          <w:szCs w:val="44"/>
          <w:highlight w:val="none"/>
        </w:rPr>
        <w:br w:type="page"/>
      </w:r>
      <w:r>
        <w:rPr>
          <w:rFonts w:hint="eastAsia" w:ascii="宋体" w:hAnsi="宋体" w:eastAsia="宋体" w:cs="宋体"/>
          <w:b/>
          <w:color w:val="auto"/>
          <w:sz w:val="28"/>
          <w:szCs w:val="28"/>
          <w:highlight w:val="none"/>
          <w:lang w:val="en-US" w:eastAsia="zh-CN"/>
        </w:rPr>
        <w:t>附件3</w:t>
      </w:r>
    </w:p>
    <w:p w14:paraId="6416C505">
      <w:pPr>
        <w:pStyle w:val="4"/>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服务承诺书</w:t>
      </w:r>
    </w:p>
    <w:p w14:paraId="7D460468">
      <w:pPr>
        <w:ind w:firstLine="480" w:firstLineChars="200"/>
        <w:rPr>
          <w:rFonts w:ascii="宋体"/>
          <w:color w:val="auto"/>
          <w:sz w:val="24"/>
          <w:highlight w:val="none"/>
        </w:rPr>
      </w:pPr>
    </w:p>
    <w:p w14:paraId="67864494">
      <w:pP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w:t>
      </w:r>
      <w:r>
        <w:rPr>
          <w:rFonts w:hint="eastAsia" w:ascii="宋体"/>
          <w:color w:val="auto"/>
          <w:sz w:val="24"/>
          <w:highlight w:val="none"/>
          <w:u w:val="single"/>
          <w:lang w:val="en-US" w:eastAsia="zh-CN"/>
        </w:rPr>
        <w:t>招标</w:t>
      </w:r>
      <w:r>
        <w:rPr>
          <w:rFonts w:hint="eastAsia" w:ascii="宋体"/>
          <w:color w:val="auto"/>
          <w:sz w:val="24"/>
          <w:highlight w:val="none"/>
          <w:u w:val="single"/>
        </w:rPr>
        <w:t>人）</w:t>
      </w:r>
      <w:r>
        <w:rPr>
          <w:rFonts w:hint="eastAsia" w:ascii="宋体"/>
          <w:color w:val="auto"/>
          <w:sz w:val="24"/>
          <w:highlight w:val="none"/>
        </w:rPr>
        <w:t>：</w:t>
      </w:r>
    </w:p>
    <w:p w14:paraId="3A47A897">
      <w:pP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495E625C">
      <w:pP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115458EC">
      <w:pPr>
        <w:spacing w:line="600" w:lineRule="exact"/>
        <w:rPr>
          <w:rFonts w:ascii="宋体"/>
          <w:color w:val="auto"/>
          <w:sz w:val="24"/>
          <w:highlight w:val="none"/>
        </w:rPr>
      </w:pPr>
      <w:r>
        <w:rPr>
          <w:rFonts w:hint="eastAsia" w:ascii="宋体"/>
          <w:color w:val="auto"/>
          <w:sz w:val="24"/>
          <w:highlight w:val="none"/>
        </w:rPr>
        <w:t> </w:t>
      </w:r>
    </w:p>
    <w:p w14:paraId="066E863A">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D6C5EC6">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2820C41D">
      <w:pPr>
        <w:pStyle w:val="47"/>
        <w:ind w:left="0" w:leftChars="0" w:firstLine="0" w:firstLineChars="0"/>
        <w:rPr>
          <w:rFonts w:hint="eastAsia" w:ascii="宋体" w:hAnsi="宋体" w:eastAsia="宋体" w:cs="宋体"/>
          <w:b/>
          <w:color w:val="auto"/>
          <w:sz w:val="28"/>
          <w:szCs w:val="28"/>
          <w:highlight w:val="none"/>
          <w:lang w:eastAsia="zh-CN"/>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r>
        <w:rPr>
          <w:rFonts w:hint="eastAsia" w:ascii="宋体" w:hAnsi="宋体" w:cs="宋体"/>
          <w:b/>
          <w:color w:val="auto"/>
          <w:sz w:val="28"/>
          <w:szCs w:val="44"/>
          <w:highlight w:val="none"/>
        </w:rPr>
        <w:br w:type="page"/>
      </w:r>
      <w:r>
        <w:rPr>
          <w:rFonts w:hint="eastAsia" w:ascii="宋体" w:hAnsi="宋体" w:cs="宋体"/>
          <w:b/>
          <w:color w:val="auto"/>
          <w:sz w:val="28"/>
          <w:szCs w:val="28"/>
          <w:highlight w:val="none"/>
        </w:rPr>
        <w:t>附件</w:t>
      </w:r>
      <w:r>
        <w:rPr>
          <w:rFonts w:hint="eastAsia" w:ascii="宋体" w:hAnsi="宋体" w:cs="宋体"/>
          <w:b/>
          <w:color w:val="auto"/>
          <w:sz w:val="28"/>
          <w:szCs w:val="28"/>
          <w:highlight w:val="none"/>
          <w:lang w:val="en-US" w:eastAsia="zh-CN"/>
        </w:rPr>
        <w:t>4</w:t>
      </w:r>
    </w:p>
    <w:p w14:paraId="3BB48F52">
      <w:pPr>
        <w:pStyle w:val="47"/>
        <w:ind w:left="0" w:leftChars="0" w:firstLine="0" w:firstLineChars="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投标函</w:t>
      </w:r>
    </w:p>
    <w:p w14:paraId="6D49E326">
      <w:pPr>
        <w:spacing w:line="520" w:lineRule="exact"/>
        <w:ind w:left="-199" w:leftChars="-95" w:firstLine="174" w:firstLineChars="83"/>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(招标人)</w:t>
      </w:r>
    </w:p>
    <w:p w14:paraId="5F8E530E">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1、我们决定参加贵单位组织的“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 xml:space="preserve">”的采购。我方授权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(姓名和职务)代表我方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（投标单位的名称）全权处理本项目投标的有关事宜。</w:t>
      </w:r>
    </w:p>
    <w:p w14:paraId="388863FC">
      <w:pPr>
        <w:spacing w:line="520" w:lineRule="exact"/>
        <w:ind w:firstLine="42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cs="宋体"/>
          <w:color w:val="auto"/>
          <w:szCs w:val="21"/>
          <w:highlight w:val="none"/>
        </w:rPr>
        <w:t xml:space="preserve">2、我方愿意按照招标文件规定的各项要求，向招标人提供“ </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 xml:space="preserve">”项目的服务，其投标总报价为（大写)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（小写）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元</w:t>
      </w:r>
      <w:r>
        <w:rPr>
          <w:rFonts w:hint="eastAsia" w:ascii="宋体" w:hAnsi="宋体" w:eastAsia="宋体" w:cs="宋体"/>
          <w:color w:val="auto"/>
          <w:kern w:val="0"/>
          <w:sz w:val="24"/>
          <w:szCs w:val="24"/>
          <w:highlight w:val="none"/>
          <w:u w:val="single"/>
          <w:lang w:val="en-US" w:eastAsia="zh-CN"/>
        </w:rPr>
        <w:t>。</w:t>
      </w:r>
    </w:p>
    <w:p w14:paraId="1466E247">
      <w:pPr>
        <w:spacing w:line="52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3、一旦我方成为合同签字人，我方将严格履行合同规定的责任和义务。</w:t>
      </w:r>
      <w:r>
        <w:rPr>
          <w:rFonts w:hint="eastAsia" w:ascii="宋体" w:hAnsi="宋体" w:eastAsia="宋体" w:cs="宋体"/>
          <w:color w:val="auto"/>
          <w:sz w:val="21"/>
          <w:szCs w:val="21"/>
          <w:highlight w:val="none"/>
          <w:lang w:val="en-US" w:eastAsia="zh-CN"/>
        </w:rPr>
        <w:t>自合同签订之日起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个日历天内完成供货。</w:t>
      </w:r>
    </w:p>
    <w:p w14:paraId="0C37B029">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4、我方愿意提供可能另外要求的、与采购投标有关的文件资料，并保证我方已提供和将要提供的文件是真实的、准确的。</w:t>
      </w:r>
    </w:p>
    <w:p w14:paraId="6B35B852">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5、我单位提供如下通讯地址：</w:t>
      </w:r>
      <w:r>
        <w:rPr>
          <w:rFonts w:hint="eastAsia" w:ascii="宋体" w:hAnsi="宋体" w:cs="宋体"/>
          <w:color w:val="auto"/>
          <w:szCs w:val="21"/>
          <w:highlight w:val="none"/>
          <w:u w:val="single"/>
        </w:rPr>
        <w:t xml:space="preserve">                电子邮箱（地址），</w:t>
      </w:r>
      <w:r>
        <w:rPr>
          <w:rFonts w:hint="eastAsia" w:ascii="宋体" w:hAnsi="宋体" w:cs="宋体"/>
          <w:color w:val="auto"/>
          <w:szCs w:val="21"/>
          <w:highlight w:val="none"/>
        </w:rPr>
        <w:t>确认本项目相关法律文书均通过提供的以上地址送达，相关文书只要发送至以上电子邮箱（地址）即视为送达，投标人愿意承担一切法律后果。</w:t>
      </w:r>
    </w:p>
    <w:p w14:paraId="7F3E50C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14:paraId="50736A9D">
      <w:pPr>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投标单位名称</w:t>
      </w:r>
      <w:r>
        <w:rPr>
          <w:rFonts w:hint="eastAsia" w:ascii="宋体" w:hAnsi="宋体" w:cs="宋体"/>
          <w:color w:val="auto"/>
          <w:szCs w:val="21"/>
          <w:highlight w:val="none"/>
          <w:u w:val="single"/>
        </w:rPr>
        <w:t>：                        （盖章）</w:t>
      </w:r>
      <w:r>
        <w:rPr>
          <w:rFonts w:hint="eastAsia" w:ascii="宋体" w:hAnsi="宋体" w:cs="宋体"/>
          <w:color w:val="auto"/>
          <w:szCs w:val="21"/>
          <w:highlight w:val="none"/>
        </w:rPr>
        <w:t xml:space="preserve">              </w:t>
      </w:r>
    </w:p>
    <w:p w14:paraId="43A9B2AD">
      <w:pPr>
        <w:spacing w:line="560" w:lineRule="exact"/>
        <w:rPr>
          <w:rFonts w:hint="eastAsia" w:ascii="宋体" w:hAnsi="宋体" w:cs="宋体"/>
          <w:color w:val="auto"/>
          <w:szCs w:val="21"/>
          <w:highlight w:val="none"/>
          <w:u w:val="singl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（签字或盖章）</w:t>
      </w:r>
    </w:p>
    <w:p w14:paraId="5CAD7FD1">
      <w:pPr>
        <w:spacing w:line="560" w:lineRule="exact"/>
        <w:ind w:firstLine="2205" w:firstLineChars="105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0311C0C9">
      <w:pPr>
        <w:spacing w:line="560" w:lineRule="exact"/>
        <w:ind w:firstLine="2205" w:firstLineChars="1050"/>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E18F11B">
      <w:pPr>
        <w:spacing w:line="560" w:lineRule="exact"/>
        <w:ind w:firstLine="2205" w:firstLineChars="105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26DE98CA">
      <w:pPr>
        <w:spacing w:line="560" w:lineRule="exact"/>
        <w:ind w:right="-178" w:rightChars="-85" w:firstLine="2205" w:firstLineChars="105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4E196D04">
      <w:pPr>
        <w:spacing w:before="156" w:beforeLines="50" w:after="156" w:afterLines="50"/>
        <w:jc w:val="center"/>
        <w:rPr>
          <w:rFonts w:hint="eastAsia" w:ascii="宋体" w:hAnsi="宋体" w:cs="宋体"/>
          <w:color w:val="auto"/>
          <w:highlight w:val="none"/>
        </w:rPr>
      </w:pPr>
    </w:p>
    <w:p w14:paraId="202B2AA1">
      <w:pPr>
        <w:pStyle w:val="216"/>
        <w:spacing w:line="500" w:lineRule="exact"/>
        <w:ind w:firstLine="0" w:firstLineChars="0"/>
        <w:jc w:val="both"/>
        <w:rPr>
          <w:rFonts w:hint="eastAsia" w:ascii="宋体" w:hAnsi="宋体" w:cs="宋体"/>
          <w:b/>
          <w:bCs/>
          <w:color w:val="auto"/>
          <w:sz w:val="28"/>
          <w:szCs w:val="28"/>
          <w:highlight w:val="none"/>
        </w:rPr>
        <w:sectPr>
          <w:footerReference r:id="rId14" w:type="default"/>
          <w:pgSz w:w="11906" w:h="16838"/>
          <w:pgMar w:top="1134" w:right="1361" w:bottom="1077" w:left="1361" w:header="680" w:footer="680" w:gutter="0"/>
          <w:pgNumType w:fmt="numberInDash"/>
          <w:cols w:space="720" w:num="1"/>
          <w:docGrid w:type="lines" w:linePitch="312" w:charSpace="0"/>
        </w:sectPr>
      </w:pPr>
    </w:p>
    <w:p w14:paraId="76176052">
      <w:pPr>
        <w:pStyle w:val="47"/>
        <w:ind w:left="0" w:leftChars="0" w:firstLine="0" w:firstLineChars="0"/>
        <w:rPr>
          <w:rFonts w:hint="eastAsia" w:ascii="宋体" w:hAnsi="宋体" w:eastAsia="宋体" w:cs="宋体"/>
          <w:b/>
          <w:color w:val="auto"/>
          <w:sz w:val="28"/>
          <w:szCs w:val="28"/>
          <w:highlight w:val="none"/>
          <w:lang w:eastAsia="zh-CN"/>
        </w:rPr>
      </w:pPr>
      <w:bookmarkStart w:id="109" w:name="_Toc11481"/>
      <w:bookmarkStart w:id="110" w:name="_Toc21970"/>
      <w:r>
        <w:rPr>
          <w:rFonts w:hint="eastAsia" w:ascii="宋体" w:hAnsi="宋体" w:cs="宋体"/>
          <w:b/>
          <w:color w:val="auto"/>
          <w:sz w:val="28"/>
          <w:szCs w:val="28"/>
          <w:highlight w:val="none"/>
        </w:rPr>
        <w:t>附件</w:t>
      </w:r>
      <w:r>
        <w:rPr>
          <w:rFonts w:hint="eastAsia" w:ascii="宋体" w:hAnsi="宋体" w:cs="宋体"/>
          <w:b/>
          <w:color w:val="auto"/>
          <w:sz w:val="28"/>
          <w:szCs w:val="28"/>
          <w:highlight w:val="none"/>
          <w:lang w:val="en-US" w:eastAsia="zh-CN"/>
        </w:rPr>
        <w:t>5</w:t>
      </w:r>
    </w:p>
    <w:p w14:paraId="4E0C5B69">
      <w:pPr>
        <w:pStyle w:val="3"/>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分项报价清单</w:t>
      </w:r>
    </w:p>
    <w:tbl>
      <w:tblPr>
        <w:tblStyle w:val="49"/>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436"/>
        <w:gridCol w:w="945"/>
        <w:gridCol w:w="1065"/>
        <w:gridCol w:w="2443"/>
        <w:gridCol w:w="1371"/>
        <w:gridCol w:w="1371"/>
      </w:tblGrid>
      <w:tr w14:paraId="02BD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39084A1F">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bCs/>
                <w:color w:val="auto"/>
                <w:kern w:val="2"/>
                <w:sz w:val="24"/>
                <w:szCs w:val="24"/>
                <w:highlight w:val="none"/>
                <w:u w:val="none"/>
                <w:vertAlign w:val="baseline"/>
                <w:lang w:val="en-US" w:eastAsia="zh-CN" w:bidi="ar-SA"/>
              </w:rPr>
            </w:pPr>
            <w:r>
              <w:rPr>
                <w:rFonts w:hint="eastAsia" w:ascii="宋体" w:hAnsi="宋体" w:eastAsia="宋体" w:cs="宋体"/>
                <w:b/>
                <w:bCs/>
                <w:color w:val="auto"/>
                <w:kern w:val="2"/>
                <w:sz w:val="24"/>
                <w:szCs w:val="24"/>
                <w:highlight w:val="none"/>
                <w:u w:val="none"/>
                <w:vertAlign w:val="baseline"/>
                <w:lang w:val="en-US" w:eastAsia="zh-CN" w:bidi="ar-SA"/>
              </w:rPr>
              <w:t>序号</w:t>
            </w:r>
          </w:p>
        </w:tc>
        <w:tc>
          <w:tcPr>
            <w:tcW w:w="1436" w:type="dxa"/>
            <w:noWrap w:val="0"/>
            <w:vAlign w:val="center"/>
          </w:tcPr>
          <w:p w14:paraId="1DC1A7F0">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bCs/>
                <w:color w:val="auto"/>
                <w:kern w:val="2"/>
                <w:sz w:val="24"/>
                <w:szCs w:val="24"/>
                <w:highlight w:val="none"/>
                <w:u w:val="none"/>
                <w:vertAlign w:val="baseline"/>
                <w:lang w:val="en-US" w:eastAsia="zh-CN" w:bidi="ar-SA"/>
              </w:rPr>
            </w:pPr>
            <w:r>
              <w:rPr>
                <w:rFonts w:hint="eastAsia" w:ascii="宋体" w:hAnsi="宋体" w:eastAsia="宋体" w:cs="宋体"/>
                <w:b/>
                <w:bCs/>
                <w:color w:val="auto"/>
                <w:kern w:val="2"/>
                <w:sz w:val="24"/>
                <w:szCs w:val="24"/>
                <w:highlight w:val="none"/>
                <w:u w:val="none"/>
                <w:vertAlign w:val="baseline"/>
                <w:lang w:val="en-US" w:eastAsia="zh-CN" w:bidi="ar-SA"/>
              </w:rPr>
              <w:t>名称</w:t>
            </w:r>
          </w:p>
        </w:tc>
        <w:tc>
          <w:tcPr>
            <w:tcW w:w="945" w:type="dxa"/>
            <w:noWrap w:val="0"/>
            <w:vAlign w:val="center"/>
          </w:tcPr>
          <w:p w14:paraId="0827265F">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bCs/>
                <w:color w:val="auto"/>
                <w:kern w:val="2"/>
                <w:sz w:val="24"/>
                <w:szCs w:val="24"/>
                <w:highlight w:val="none"/>
                <w:u w:val="none"/>
                <w:vertAlign w:val="baseline"/>
                <w:lang w:val="en-US" w:eastAsia="zh-CN" w:bidi="ar-SA"/>
              </w:rPr>
            </w:pPr>
            <w:r>
              <w:rPr>
                <w:rFonts w:hint="eastAsia" w:ascii="宋体" w:hAnsi="宋体" w:eastAsia="宋体" w:cs="宋体"/>
                <w:b/>
                <w:bCs/>
                <w:color w:val="auto"/>
                <w:kern w:val="2"/>
                <w:sz w:val="24"/>
                <w:szCs w:val="24"/>
                <w:highlight w:val="none"/>
                <w:u w:val="none"/>
                <w:vertAlign w:val="baseline"/>
                <w:lang w:val="en-US" w:eastAsia="zh-CN" w:bidi="ar-SA"/>
              </w:rPr>
              <w:t>单位</w:t>
            </w:r>
          </w:p>
        </w:tc>
        <w:tc>
          <w:tcPr>
            <w:tcW w:w="1065" w:type="dxa"/>
            <w:noWrap w:val="0"/>
            <w:vAlign w:val="center"/>
          </w:tcPr>
          <w:p w14:paraId="5E007343">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bCs/>
                <w:color w:val="auto"/>
                <w:kern w:val="2"/>
                <w:sz w:val="24"/>
                <w:szCs w:val="24"/>
                <w:highlight w:val="none"/>
                <w:u w:val="none"/>
                <w:vertAlign w:val="baseline"/>
                <w:lang w:val="en-US" w:eastAsia="zh-CN" w:bidi="ar-SA"/>
              </w:rPr>
            </w:pPr>
            <w:r>
              <w:rPr>
                <w:rFonts w:hint="eastAsia" w:ascii="宋体" w:hAnsi="宋体" w:eastAsia="宋体" w:cs="宋体"/>
                <w:b/>
                <w:bCs/>
                <w:color w:val="auto"/>
                <w:kern w:val="2"/>
                <w:sz w:val="24"/>
                <w:szCs w:val="24"/>
                <w:highlight w:val="none"/>
                <w:u w:val="none"/>
                <w:vertAlign w:val="baseline"/>
                <w:lang w:val="en-US" w:eastAsia="zh-CN" w:bidi="ar-SA"/>
              </w:rPr>
              <w:t>数量</w:t>
            </w:r>
          </w:p>
        </w:tc>
        <w:tc>
          <w:tcPr>
            <w:tcW w:w="2443" w:type="dxa"/>
            <w:noWrap w:val="0"/>
            <w:vAlign w:val="center"/>
          </w:tcPr>
          <w:p w14:paraId="1B28C70C">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default" w:ascii="宋体" w:hAnsi="宋体" w:eastAsia="宋体" w:cs="宋体"/>
                <w:b/>
                <w:bCs/>
                <w:color w:val="auto"/>
                <w:kern w:val="2"/>
                <w:sz w:val="24"/>
                <w:szCs w:val="24"/>
                <w:highlight w:val="none"/>
                <w:u w:val="none"/>
                <w:vertAlign w:val="baseline"/>
                <w:lang w:val="en-US" w:eastAsia="zh-CN" w:bidi="ar-SA"/>
              </w:rPr>
            </w:pPr>
            <w:r>
              <w:rPr>
                <w:rFonts w:hint="eastAsia" w:ascii="宋体" w:hAnsi="宋体" w:eastAsia="宋体" w:cs="宋体"/>
                <w:b/>
                <w:bCs/>
                <w:color w:val="auto"/>
                <w:kern w:val="2"/>
                <w:sz w:val="24"/>
                <w:szCs w:val="24"/>
                <w:highlight w:val="none"/>
                <w:u w:val="none"/>
                <w:vertAlign w:val="baseline"/>
                <w:lang w:val="en-US" w:eastAsia="zh-CN" w:bidi="ar-SA"/>
              </w:rPr>
              <w:t>综合单价（元）</w:t>
            </w:r>
          </w:p>
        </w:tc>
        <w:tc>
          <w:tcPr>
            <w:tcW w:w="1371" w:type="dxa"/>
            <w:noWrap w:val="0"/>
            <w:vAlign w:val="center"/>
          </w:tcPr>
          <w:p w14:paraId="75D6606C">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default" w:ascii="宋体" w:hAnsi="宋体" w:eastAsia="宋体" w:cs="宋体"/>
                <w:b/>
                <w:bCs/>
                <w:color w:val="auto"/>
                <w:kern w:val="2"/>
                <w:sz w:val="24"/>
                <w:szCs w:val="24"/>
                <w:highlight w:val="none"/>
                <w:u w:val="none"/>
                <w:vertAlign w:val="baseline"/>
                <w:lang w:val="en-US" w:eastAsia="zh-CN" w:bidi="ar-SA"/>
              </w:rPr>
            </w:pPr>
            <w:r>
              <w:rPr>
                <w:rFonts w:hint="eastAsia" w:ascii="宋体" w:hAnsi="宋体" w:eastAsia="宋体" w:cs="宋体"/>
                <w:b/>
                <w:bCs/>
                <w:color w:val="auto"/>
                <w:kern w:val="2"/>
                <w:sz w:val="24"/>
                <w:szCs w:val="24"/>
                <w:highlight w:val="none"/>
                <w:u w:val="none"/>
                <w:vertAlign w:val="baseline"/>
                <w:lang w:val="en-US" w:eastAsia="zh-CN" w:bidi="ar-SA"/>
              </w:rPr>
              <w:t>小计（元）</w:t>
            </w:r>
          </w:p>
        </w:tc>
        <w:tc>
          <w:tcPr>
            <w:tcW w:w="1371" w:type="dxa"/>
            <w:noWrap w:val="0"/>
            <w:vAlign w:val="center"/>
          </w:tcPr>
          <w:p w14:paraId="34F22092">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default" w:ascii="宋体" w:hAnsi="宋体" w:eastAsia="宋体" w:cs="宋体"/>
                <w:b/>
                <w:bCs/>
                <w:color w:val="auto"/>
                <w:kern w:val="2"/>
                <w:sz w:val="24"/>
                <w:szCs w:val="24"/>
                <w:highlight w:val="none"/>
                <w:u w:val="none"/>
                <w:vertAlign w:val="baseline"/>
                <w:lang w:val="en-US" w:eastAsia="zh-CN" w:bidi="ar-SA"/>
              </w:rPr>
            </w:pPr>
            <w:r>
              <w:rPr>
                <w:rFonts w:hint="eastAsia" w:ascii="宋体" w:hAnsi="宋体" w:eastAsia="宋体" w:cs="宋体"/>
                <w:b/>
                <w:bCs/>
                <w:color w:val="auto"/>
                <w:kern w:val="2"/>
                <w:sz w:val="24"/>
                <w:szCs w:val="24"/>
                <w:highlight w:val="none"/>
                <w:u w:val="none"/>
                <w:vertAlign w:val="baseline"/>
                <w:lang w:val="en-US" w:eastAsia="zh-CN" w:bidi="ar-SA"/>
              </w:rPr>
              <w:t>备注</w:t>
            </w:r>
          </w:p>
        </w:tc>
      </w:tr>
      <w:tr w14:paraId="51E3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67" w:type="dxa"/>
            <w:noWrap w:val="0"/>
            <w:vAlign w:val="center"/>
          </w:tcPr>
          <w:p w14:paraId="34C5BFBB">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val="0"/>
                <w:bCs w:val="0"/>
                <w:color w:val="auto"/>
                <w:kern w:val="2"/>
                <w:sz w:val="24"/>
                <w:szCs w:val="24"/>
                <w:highlight w:val="none"/>
                <w:u w:val="none"/>
                <w:vertAlign w:val="baseline"/>
                <w:lang w:val="en-US" w:eastAsia="zh-CN" w:bidi="ar-SA"/>
              </w:rPr>
            </w:pPr>
            <w:r>
              <w:rPr>
                <w:rFonts w:hint="eastAsia" w:ascii="宋体" w:hAnsi="宋体" w:eastAsia="宋体" w:cs="宋体"/>
                <w:b w:val="0"/>
                <w:bCs w:val="0"/>
                <w:color w:val="auto"/>
                <w:kern w:val="2"/>
                <w:sz w:val="24"/>
                <w:szCs w:val="24"/>
                <w:highlight w:val="none"/>
                <w:u w:val="none"/>
                <w:vertAlign w:val="baseline"/>
                <w:lang w:val="en-US" w:eastAsia="zh-CN" w:bidi="ar-SA"/>
              </w:rPr>
              <w:t>1</w:t>
            </w:r>
          </w:p>
        </w:tc>
        <w:tc>
          <w:tcPr>
            <w:tcW w:w="1436" w:type="dxa"/>
            <w:noWrap w:val="0"/>
            <w:vAlign w:val="center"/>
          </w:tcPr>
          <w:p w14:paraId="36FAB9DB">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val="0"/>
                <w:bCs w:val="0"/>
                <w:color w:val="auto"/>
                <w:kern w:val="2"/>
                <w:sz w:val="24"/>
                <w:szCs w:val="24"/>
                <w:highlight w:val="none"/>
                <w:u w:val="none"/>
                <w:vertAlign w:val="baseline"/>
                <w:lang w:val="en-US" w:eastAsia="zh-CN" w:bidi="ar-SA"/>
              </w:rPr>
            </w:pPr>
            <w:r>
              <w:rPr>
                <w:rFonts w:hint="eastAsia" w:ascii="宋体" w:hAnsi="宋体" w:eastAsia="宋体" w:cs="宋体"/>
                <w:b w:val="0"/>
                <w:bCs w:val="0"/>
                <w:color w:val="auto"/>
                <w:kern w:val="2"/>
                <w:sz w:val="24"/>
                <w:szCs w:val="24"/>
                <w:highlight w:val="none"/>
                <w:u w:val="none"/>
                <w:vertAlign w:val="baseline"/>
                <w:lang w:val="en-US" w:eastAsia="zh-CN" w:bidi="ar-SA"/>
              </w:rPr>
              <w:t>冷链车</w:t>
            </w:r>
          </w:p>
        </w:tc>
        <w:tc>
          <w:tcPr>
            <w:tcW w:w="945" w:type="dxa"/>
            <w:noWrap w:val="0"/>
            <w:vAlign w:val="center"/>
          </w:tcPr>
          <w:p w14:paraId="3D009D8F">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val="0"/>
                <w:bCs w:val="0"/>
                <w:color w:val="auto"/>
                <w:kern w:val="2"/>
                <w:sz w:val="24"/>
                <w:szCs w:val="24"/>
                <w:highlight w:val="none"/>
                <w:u w:val="none"/>
                <w:vertAlign w:val="baseline"/>
                <w:lang w:val="en-US" w:eastAsia="zh-CN" w:bidi="ar-SA"/>
              </w:rPr>
            </w:pPr>
            <w:r>
              <w:rPr>
                <w:rFonts w:hint="eastAsia" w:ascii="宋体" w:hAnsi="宋体" w:eastAsia="宋体" w:cs="宋体"/>
                <w:b w:val="0"/>
                <w:bCs w:val="0"/>
                <w:color w:val="auto"/>
                <w:kern w:val="2"/>
                <w:sz w:val="24"/>
                <w:szCs w:val="24"/>
                <w:highlight w:val="none"/>
                <w:u w:val="none"/>
                <w:vertAlign w:val="baseline"/>
                <w:lang w:val="en-US" w:eastAsia="zh-CN" w:bidi="ar-SA"/>
              </w:rPr>
              <w:t>台</w:t>
            </w:r>
          </w:p>
        </w:tc>
        <w:tc>
          <w:tcPr>
            <w:tcW w:w="1065" w:type="dxa"/>
            <w:noWrap w:val="0"/>
            <w:vAlign w:val="center"/>
          </w:tcPr>
          <w:p w14:paraId="4E5E6783">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default" w:ascii="宋体" w:hAnsi="宋体" w:eastAsia="宋体" w:cs="宋体"/>
                <w:b w:val="0"/>
                <w:bCs w:val="0"/>
                <w:color w:val="auto"/>
                <w:kern w:val="2"/>
                <w:sz w:val="24"/>
                <w:szCs w:val="24"/>
                <w:highlight w:val="none"/>
                <w:u w:val="none"/>
                <w:vertAlign w:val="baseline"/>
                <w:lang w:val="en-US" w:eastAsia="zh-CN" w:bidi="ar-SA"/>
              </w:rPr>
            </w:pPr>
            <w:r>
              <w:rPr>
                <w:rFonts w:hint="eastAsia" w:ascii="宋体" w:hAnsi="宋体" w:eastAsia="宋体" w:cs="宋体"/>
                <w:b w:val="0"/>
                <w:bCs w:val="0"/>
                <w:color w:val="auto"/>
                <w:kern w:val="2"/>
                <w:sz w:val="24"/>
                <w:szCs w:val="24"/>
                <w:highlight w:val="none"/>
                <w:u w:val="none"/>
                <w:vertAlign w:val="baseline"/>
                <w:lang w:val="en-US" w:eastAsia="zh-CN" w:bidi="ar-SA"/>
              </w:rPr>
              <w:t>1</w:t>
            </w:r>
          </w:p>
        </w:tc>
        <w:tc>
          <w:tcPr>
            <w:tcW w:w="2443" w:type="dxa"/>
            <w:noWrap w:val="0"/>
            <w:vAlign w:val="center"/>
          </w:tcPr>
          <w:p w14:paraId="0B383883">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val="0"/>
                <w:bCs w:val="0"/>
                <w:color w:val="auto"/>
                <w:kern w:val="2"/>
                <w:sz w:val="24"/>
                <w:szCs w:val="24"/>
                <w:highlight w:val="none"/>
                <w:u w:val="none"/>
                <w:vertAlign w:val="baseline"/>
                <w:lang w:val="en-US" w:eastAsia="zh-CN" w:bidi="ar-SA"/>
              </w:rPr>
            </w:pPr>
          </w:p>
        </w:tc>
        <w:tc>
          <w:tcPr>
            <w:tcW w:w="1371" w:type="dxa"/>
            <w:noWrap w:val="0"/>
            <w:vAlign w:val="center"/>
          </w:tcPr>
          <w:p w14:paraId="4FB74A08">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val="0"/>
                <w:bCs w:val="0"/>
                <w:color w:val="auto"/>
                <w:kern w:val="2"/>
                <w:sz w:val="24"/>
                <w:szCs w:val="24"/>
                <w:highlight w:val="none"/>
                <w:u w:val="none"/>
                <w:vertAlign w:val="baseline"/>
                <w:lang w:val="en-US" w:eastAsia="zh-CN" w:bidi="ar-SA"/>
              </w:rPr>
            </w:pPr>
          </w:p>
        </w:tc>
        <w:tc>
          <w:tcPr>
            <w:tcW w:w="1371" w:type="dxa"/>
            <w:noWrap w:val="0"/>
            <w:vAlign w:val="center"/>
          </w:tcPr>
          <w:p w14:paraId="21066377">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val="0"/>
                <w:bCs w:val="0"/>
                <w:color w:val="auto"/>
                <w:kern w:val="2"/>
                <w:sz w:val="24"/>
                <w:szCs w:val="24"/>
                <w:highlight w:val="none"/>
                <w:u w:val="none"/>
                <w:vertAlign w:val="baseline"/>
                <w:lang w:val="en-US" w:eastAsia="zh-CN" w:bidi="ar-SA"/>
              </w:rPr>
            </w:pPr>
          </w:p>
        </w:tc>
      </w:tr>
      <w:tr w14:paraId="3CFA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67" w:type="dxa"/>
            <w:noWrap w:val="0"/>
            <w:vAlign w:val="center"/>
          </w:tcPr>
          <w:p w14:paraId="6F3368DD">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default" w:ascii="宋体" w:hAnsi="宋体" w:eastAsia="宋体" w:cs="宋体"/>
                <w:b w:val="0"/>
                <w:bCs w:val="0"/>
                <w:color w:val="auto"/>
                <w:kern w:val="2"/>
                <w:sz w:val="24"/>
                <w:szCs w:val="24"/>
                <w:highlight w:val="none"/>
                <w:u w:val="none"/>
                <w:vertAlign w:val="baseline"/>
                <w:lang w:val="en-US" w:eastAsia="zh-CN" w:bidi="ar-SA"/>
              </w:rPr>
            </w:pPr>
            <w:r>
              <w:rPr>
                <w:rFonts w:hint="eastAsia" w:ascii="宋体" w:hAnsi="宋体" w:eastAsia="宋体" w:cs="宋体"/>
                <w:b w:val="0"/>
                <w:bCs w:val="0"/>
                <w:color w:val="auto"/>
                <w:kern w:val="2"/>
                <w:sz w:val="24"/>
                <w:szCs w:val="24"/>
                <w:highlight w:val="none"/>
                <w:u w:val="none"/>
                <w:vertAlign w:val="baseline"/>
                <w:lang w:val="en-US" w:eastAsia="zh-CN" w:bidi="ar-SA"/>
              </w:rPr>
              <w:t>2</w:t>
            </w:r>
          </w:p>
        </w:tc>
        <w:tc>
          <w:tcPr>
            <w:tcW w:w="1436" w:type="dxa"/>
            <w:noWrap w:val="0"/>
            <w:vAlign w:val="center"/>
          </w:tcPr>
          <w:p w14:paraId="53E7F5E2">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val="0"/>
                <w:bCs w:val="0"/>
                <w:color w:val="auto"/>
                <w:kern w:val="2"/>
                <w:sz w:val="24"/>
                <w:szCs w:val="24"/>
                <w:highlight w:val="none"/>
                <w:u w:val="none"/>
                <w:vertAlign w:val="baseline"/>
                <w:lang w:val="en-US" w:eastAsia="zh-CN" w:bidi="ar-SA"/>
              </w:rPr>
            </w:pPr>
            <w:r>
              <w:rPr>
                <w:rFonts w:hint="eastAsia" w:ascii="宋体" w:hAnsi="宋体" w:eastAsia="宋体" w:cs="宋体"/>
                <w:b w:val="0"/>
                <w:bCs w:val="0"/>
                <w:color w:val="auto"/>
                <w:kern w:val="2"/>
                <w:sz w:val="24"/>
                <w:szCs w:val="24"/>
                <w:highlight w:val="none"/>
                <w:u w:val="none"/>
                <w:vertAlign w:val="baseline"/>
                <w:lang w:val="en-US" w:eastAsia="zh-CN" w:bidi="ar-SA"/>
              </w:rPr>
              <w:t>厢式货车</w:t>
            </w:r>
          </w:p>
        </w:tc>
        <w:tc>
          <w:tcPr>
            <w:tcW w:w="945" w:type="dxa"/>
            <w:noWrap w:val="0"/>
            <w:vAlign w:val="center"/>
          </w:tcPr>
          <w:p w14:paraId="7FF49215">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val="0"/>
                <w:bCs w:val="0"/>
                <w:color w:val="auto"/>
                <w:kern w:val="2"/>
                <w:sz w:val="24"/>
                <w:szCs w:val="24"/>
                <w:highlight w:val="none"/>
                <w:u w:val="none"/>
                <w:vertAlign w:val="baseline"/>
                <w:lang w:val="en-US" w:eastAsia="zh-CN" w:bidi="ar-SA"/>
              </w:rPr>
            </w:pPr>
            <w:r>
              <w:rPr>
                <w:rFonts w:hint="eastAsia" w:ascii="宋体" w:hAnsi="宋体" w:eastAsia="宋体" w:cs="宋体"/>
                <w:b w:val="0"/>
                <w:bCs w:val="0"/>
                <w:color w:val="auto"/>
                <w:kern w:val="2"/>
                <w:sz w:val="24"/>
                <w:szCs w:val="24"/>
                <w:highlight w:val="none"/>
                <w:u w:val="none"/>
                <w:vertAlign w:val="baseline"/>
                <w:lang w:val="en-US" w:eastAsia="zh-CN" w:bidi="ar-SA"/>
              </w:rPr>
              <w:t>台</w:t>
            </w:r>
          </w:p>
        </w:tc>
        <w:tc>
          <w:tcPr>
            <w:tcW w:w="1065" w:type="dxa"/>
            <w:noWrap w:val="0"/>
            <w:vAlign w:val="center"/>
          </w:tcPr>
          <w:p w14:paraId="29BC3AB5">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val="0"/>
                <w:bCs w:val="0"/>
                <w:color w:val="auto"/>
                <w:kern w:val="2"/>
                <w:sz w:val="24"/>
                <w:szCs w:val="24"/>
                <w:highlight w:val="none"/>
                <w:u w:val="none"/>
                <w:vertAlign w:val="baseline"/>
                <w:lang w:val="en-US" w:eastAsia="zh-CN" w:bidi="ar-SA"/>
              </w:rPr>
            </w:pPr>
            <w:r>
              <w:rPr>
                <w:rFonts w:hint="eastAsia" w:ascii="宋体" w:hAnsi="宋体" w:eastAsia="宋体" w:cs="宋体"/>
                <w:b w:val="0"/>
                <w:bCs w:val="0"/>
                <w:color w:val="auto"/>
                <w:kern w:val="2"/>
                <w:sz w:val="24"/>
                <w:szCs w:val="24"/>
                <w:highlight w:val="none"/>
                <w:u w:val="none"/>
                <w:vertAlign w:val="baseline"/>
                <w:lang w:val="en-US" w:eastAsia="zh-CN" w:bidi="ar-SA"/>
              </w:rPr>
              <w:t>1</w:t>
            </w:r>
          </w:p>
        </w:tc>
        <w:tc>
          <w:tcPr>
            <w:tcW w:w="2443" w:type="dxa"/>
            <w:noWrap w:val="0"/>
            <w:vAlign w:val="center"/>
          </w:tcPr>
          <w:p w14:paraId="45521D4B">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val="0"/>
                <w:bCs w:val="0"/>
                <w:color w:val="auto"/>
                <w:kern w:val="2"/>
                <w:sz w:val="24"/>
                <w:szCs w:val="24"/>
                <w:highlight w:val="none"/>
                <w:u w:val="none"/>
                <w:vertAlign w:val="baseline"/>
                <w:lang w:val="en-US" w:eastAsia="zh-CN" w:bidi="ar-SA"/>
              </w:rPr>
            </w:pPr>
          </w:p>
        </w:tc>
        <w:tc>
          <w:tcPr>
            <w:tcW w:w="1371" w:type="dxa"/>
            <w:noWrap w:val="0"/>
            <w:vAlign w:val="center"/>
          </w:tcPr>
          <w:p w14:paraId="10BBA11E">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val="0"/>
                <w:bCs w:val="0"/>
                <w:color w:val="auto"/>
                <w:kern w:val="2"/>
                <w:sz w:val="24"/>
                <w:szCs w:val="24"/>
                <w:highlight w:val="none"/>
                <w:u w:val="none"/>
                <w:vertAlign w:val="baseline"/>
                <w:lang w:val="en-US" w:eastAsia="zh-CN" w:bidi="ar-SA"/>
              </w:rPr>
            </w:pPr>
          </w:p>
        </w:tc>
        <w:tc>
          <w:tcPr>
            <w:tcW w:w="1371" w:type="dxa"/>
            <w:noWrap w:val="0"/>
            <w:vAlign w:val="center"/>
          </w:tcPr>
          <w:p w14:paraId="62DA2158">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val="0"/>
                <w:bCs w:val="0"/>
                <w:color w:val="auto"/>
                <w:kern w:val="2"/>
                <w:sz w:val="24"/>
                <w:szCs w:val="24"/>
                <w:highlight w:val="none"/>
                <w:u w:val="none"/>
                <w:vertAlign w:val="baseline"/>
                <w:lang w:val="en-US" w:eastAsia="zh-CN" w:bidi="ar-SA"/>
              </w:rPr>
            </w:pPr>
          </w:p>
        </w:tc>
      </w:tr>
      <w:tr w14:paraId="30E1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98" w:type="dxa"/>
            <w:gridSpan w:val="7"/>
            <w:noWrap w:val="0"/>
            <w:vAlign w:val="center"/>
          </w:tcPr>
          <w:p w14:paraId="31BE8047">
            <w:pPr>
              <w:pStyle w:val="2"/>
              <w:keepNext/>
              <w:keepLines/>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rFonts w:hint="default" w:ascii="宋体" w:hAnsi="宋体" w:eastAsia="宋体" w:cs="宋体"/>
                <w:b w:val="0"/>
                <w:bCs w:val="0"/>
                <w:color w:val="auto"/>
                <w:kern w:val="2"/>
                <w:sz w:val="24"/>
                <w:szCs w:val="24"/>
                <w:highlight w:val="none"/>
                <w:u w:val="none"/>
                <w:vertAlign w:val="baseline"/>
                <w:lang w:val="en-US" w:eastAsia="zh-CN" w:bidi="ar-SA"/>
              </w:rPr>
            </w:pPr>
            <w:r>
              <w:rPr>
                <w:rFonts w:hint="eastAsia" w:ascii="宋体" w:hAnsi="宋体" w:eastAsia="宋体" w:cs="宋体"/>
                <w:b w:val="0"/>
                <w:bCs w:val="0"/>
                <w:color w:val="auto"/>
                <w:kern w:val="2"/>
                <w:sz w:val="24"/>
                <w:szCs w:val="24"/>
                <w:highlight w:val="none"/>
                <w:u w:val="none"/>
                <w:vertAlign w:val="baseline"/>
                <w:lang w:val="en-US" w:eastAsia="zh-CN" w:bidi="ar-SA"/>
              </w:rPr>
              <w:t>投标总价：（大写）            （小写）       元</w:t>
            </w:r>
          </w:p>
        </w:tc>
      </w:tr>
    </w:tbl>
    <w:p w14:paraId="49CCA50B">
      <w:pPr>
        <w:spacing w:line="560" w:lineRule="exact"/>
        <w:rPr>
          <w:rFonts w:hint="default" w:ascii="宋体" w:hAnsi="宋体" w:eastAsia="宋体" w:cs="宋体"/>
          <w:b/>
          <w:bCs/>
          <w:color w:val="auto"/>
          <w:kern w:val="2"/>
          <w:sz w:val="24"/>
          <w:szCs w:val="24"/>
          <w:highlight w:val="none"/>
          <w:u w:val="none"/>
          <w:vertAlign w:val="baseline"/>
          <w:lang w:val="en-US" w:eastAsia="zh-CN" w:bidi="ar-SA"/>
        </w:rPr>
      </w:pPr>
      <w:r>
        <w:rPr>
          <w:rFonts w:hint="eastAsia" w:ascii="宋体" w:hAnsi="宋体" w:eastAsia="宋体" w:cs="宋体"/>
          <w:b/>
          <w:bCs/>
          <w:color w:val="auto"/>
          <w:kern w:val="2"/>
          <w:sz w:val="24"/>
          <w:szCs w:val="24"/>
          <w:highlight w:val="none"/>
          <w:u w:val="none"/>
          <w:vertAlign w:val="baseline"/>
          <w:lang w:val="en-US" w:eastAsia="zh-CN" w:bidi="ar-SA"/>
        </w:rPr>
        <w:t>注：中标后，综合单价不予调整，具体数量以实际供货合格数量为准。</w:t>
      </w:r>
    </w:p>
    <w:p w14:paraId="3D82506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color w:val="auto"/>
          <w:szCs w:val="21"/>
          <w:highlight w:val="none"/>
        </w:rPr>
      </w:pPr>
    </w:p>
    <w:p w14:paraId="6E43C99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color w:val="auto"/>
          <w:szCs w:val="21"/>
          <w:highlight w:val="none"/>
        </w:rPr>
      </w:pPr>
    </w:p>
    <w:p w14:paraId="095FB90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投标单位名称</w:t>
      </w:r>
      <w:r>
        <w:rPr>
          <w:rFonts w:hint="eastAsia" w:ascii="宋体" w:hAnsi="宋体" w:cs="宋体"/>
          <w:color w:val="auto"/>
          <w:sz w:val="24"/>
          <w:szCs w:val="24"/>
          <w:highlight w:val="none"/>
          <w:u w:val="single"/>
        </w:rPr>
        <w:t>：                        （盖章）</w:t>
      </w:r>
      <w:r>
        <w:rPr>
          <w:rFonts w:hint="eastAsia" w:ascii="宋体" w:hAnsi="宋体" w:cs="宋体"/>
          <w:color w:val="auto"/>
          <w:sz w:val="24"/>
          <w:szCs w:val="24"/>
          <w:highlight w:val="none"/>
        </w:rPr>
        <w:t xml:space="preserve">              </w:t>
      </w:r>
    </w:p>
    <w:p w14:paraId="6F8ACFF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法定代表人或委托代理人：</w:t>
      </w:r>
      <w:r>
        <w:rPr>
          <w:rFonts w:hint="eastAsia" w:ascii="宋体" w:hAnsi="宋体" w:cs="宋体"/>
          <w:color w:val="auto"/>
          <w:sz w:val="24"/>
          <w:szCs w:val="24"/>
          <w:highlight w:val="none"/>
          <w:u w:val="single"/>
        </w:rPr>
        <w:t xml:space="preserve">        （签字或盖章）</w:t>
      </w:r>
    </w:p>
    <w:p w14:paraId="4AC77DD0">
      <w:pPr>
        <w:spacing w:line="560" w:lineRule="exact"/>
        <w:ind w:firstLine="2520" w:firstLineChars="105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7DE910CE">
      <w:pPr>
        <w:pStyle w:val="3"/>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color w:val="auto"/>
          <w:sz w:val="32"/>
          <w:szCs w:val="32"/>
          <w:highlight w:val="none"/>
        </w:rPr>
        <w:t xml:space="preserve">  招标单位、招标代理机构对本招标文件的确认</w:t>
      </w:r>
      <w:bookmarkEnd w:id="109"/>
      <w:bookmarkEnd w:id="110"/>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5"/>
      </w:tblGrid>
      <w:tr w14:paraId="1DE8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2" w:hRule="atLeast"/>
          <w:jc w:val="center"/>
        </w:trPr>
        <w:tc>
          <w:tcPr>
            <w:tcW w:w="9395" w:type="dxa"/>
            <w:noWrap w:val="0"/>
            <w:vAlign w:val="top"/>
          </w:tcPr>
          <w:p w14:paraId="7721DFE7">
            <w:pPr>
              <w:adjustRightInd w:val="0"/>
              <w:snapToGrid w:val="0"/>
              <w:spacing w:line="560" w:lineRule="exact"/>
              <w:rPr>
                <w:rFonts w:hint="eastAsia" w:ascii="宋体" w:hAnsi="宋体" w:cs="宋体"/>
                <w:color w:val="auto"/>
                <w:sz w:val="30"/>
                <w:highlight w:val="none"/>
              </w:rPr>
            </w:pPr>
          </w:p>
          <w:p w14:paraId="73CC2B73">
            <w:pPr>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我单位对</w:t>
            </w:r>
            <w:r>
              <w:rPr>
                <w:rFonts w:hint="eastAsia" w:ascii="宋体" w:hAnsi="宋体" w:cs="宋体"/>
                <w:b/>
                <w:color w:val="auto"/>
                <w:kern w:val="0"/>
                <w:sz w:val="28"/>
                <w:szCs w:val="28"/>
                <w:highlight w:val="none"/>
                <w:u w:val="single"/>
              </w:rPr>
              <w:t xml:space="preserve"> </w:t>
            </w:r>
            <w:r>
              <w:rPr>
                <w:rFonts w:hint="eastAsia" w:ascii="宋体" w:hAnsi="宋体" w:cs="宋体"/>
                <w:b/>
                <w:color w:val="auto"/>
                <w:kern w:val="0"/>
                <w:sz w:val="28"/>
                <w:szCs w:val="28"/>
                <w:highlight w:val="none"/>
                <w:u w:val="single"/>
                <w:lang w:eastAsia="zh-CN"/>
              </w:rPr>
              <w:t>滁州市军粮供应站货车采购项目</w:t>
            </w:r>
            <w:r>
              <w:rPr>
                <w:rFonts w:hint="eastAsia" w:ascii="宋体" w:hAnsi="宋体" w:cs="宋体"/>
                <w:color w:val="auto"/>
                <w:sz w:val="28"/>
                <w:szCs w:val="28"/>
                <w:highlight w:val="none"/>
              </w:rPr>
              <w:t>的招标文件进行确认。</w:t>
            </w:r>
          </w:p>
          <w:p w14:paraId="72471572">
            <w:pPr>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val="en-US" w:eastAsia="zh-CN"/>
              </w:rPr>
              <w:t>滁州市军粮供应站有限公司</w:t>
            </w:r>
            <w:r>
              <w:rPr>
                <w:rFonts w:hint="eastAsia" w:ascii="宋体" w:hAnsi="宋体" w:cs="宋体"/>
                <w:color w:val="auto"/>
                <w:sz w:val="28"/>
                <w:szCs w:val="28"/>
                <w:highlight w:val="none"/>
              </w:rPr>
              <w:t xml:space="preserve"> </w:t>
            </w:r>
          </w:p>
          <w:p w14:paraId="742AE918">
            <w:pPr>
              <w:spacing w:line="56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 xml:space="preserve">经 办 人：钟庆阳 </w:t>
            </w:r>
          </w:p>
          <w:p w14:paraId="07B5FD4F">
            <w:pPr>
              <w:spacing w:line="56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联系电话：13665505859</w:t>
            </w:r>
          </w:p>
          <w:p w14:paraId="3F708486">
            <w:pPr>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52564270">
            <w:pPr>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279AE853">
            <w:pPr>
              <w:spacing w:line="560" w:lineRule="exact"/>
              <w:ind w:firstLine="6160" w:firstLineChars="2200"/>
              <w:rPr>
                <w:rFonts w:hint="eastAsia" w:ascii="宋体" w:hAnsi="宋体" w:cs="宋体"/>
                <w:color w:val="auto"/>
                <w:sz w:val="28"/>
                <w:szCs w:val="28"/>
                <w:highlight w:val="none"/>
              </w:rPr>
            </w:pPr>
            <w:r>
              <w:rPr>
                <w:rFonts w:hint="eastAsia" w:ascii="宋体" w:hAnsi="宋体" w:cs="宋体"/>
                <w:color w:val="auto"/>
                <w:sz w:val="28"/>
                <w:szCs w:val="28"/>
                <w:highlight w:val="none"/>
              </w:rPr>
              <w:t>（单位盖章）</w:t>
            </w:r>
          </w:p>
          <w:p w14:paraId="0EE445C2">
            <w:pPr>
              <w:spacing w:line="560" w:lineRule="exact"/>
              <w:ind w:firstLine="5040" w:firstLineChars="1800"/>
              <w:rPr>
                <w:rFonts w:hint="eastAsia" w:ascii="宋体" w:hAnsi="宋体" w:cs="宋体"/>
                <w:color w:val="auto"/>
                <w:sz w:val="30"/>
                <w:highlight w:val="none"/>
              </w:rPr>
            </w:pPr>
            <w:r>
              <w:rPr>
                <w:rFonts w:hint="eastAsia" w:ascii="宋体" w:hAnsi="宋体" w:cs="宋体"/>
                <w:color w:val="auto"/>
                <w:sz w:val="28"/>
                <w:szCs w:val="28"/>
                <w:highlight w:val="none"/>
              </w:rPr>
              <w:t xml:space="preserve">         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 xml:space="preserve">月 </w:t>
            </w:r>
          </w:p>
        </w:tc>
      </w:tr>
      <w:tr w14:paraId="1266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1" w:hRule="atLeast"/>
          <w:jc w:val="center"/>
        </w:trPr>
        <w:tc>
          <w:tcPr>
            <w:tcW w:w="9395" w:type="dxa"/>
            <w:noWrap w:val="0"/>
            <w:vAlign w:val="top"/>
          </w:tcPr>
          <w:p w14:paraId="0984C742">
            <w:pPr>
              <w:spacing w:line="560" w:lineRule="exact"/>
              <w:ind w:firstLine="600" w:firstLineChars="200"/>
              <w:rPr>
                <w:rFonts w:hint="eastAsia" w:ascii="宋体" w:hAnsi="宋体" w:cs="宋体"/>
                <w:color w:val="auto"/>
                <w:sz w:val="30"/>
                <w:highlight w:val="none"/>
              </w:rPr>
            </w:pPr>
          </w:p>
          <w:p w14:paraId="13F1114E">
            <w:pPr>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招标代理机构：</w:t>
            </w:r>
            <w:r>
              <w:rPr>
                <w:rFonts w:hint="eastAsia" w:ascii="宋体" w:hAnsi="宋体" w:cs="宋体"/>
                <w:color w:val="auto"/>
                <w:sz w:val="30"/>
                <w:highlight w:val="none"/>
              </w:rPr>
              <w:t>滁州市城投工程咨询管理有限公司</w:t>
            </w:r>
          </w:p>
          <w:p w14:paraId="7F84259E">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经 办 人：杨韦</w:t>
            </w:r>
          </w:p>
          <w:p w14:paraId="61C39AE5">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w:t>
            </w:r>
            <w:r>
              <w:rPr>
                <w:rFonts w:hint="eastAsia" w:ascii="宋体" w:hAnsi="宋体" w:cs="宋体"/>
                <w:color w:val="auto"/>
                <w:kern w:val="0"/>
                <w:sz w:val="30"/>
                <w:szCs w:val="30"/>
                <w:highlight w:val="none"/>
              </w:rPr>
              <w:t>电话：0550-3519590、18005501210</w:t>
            </w:r>
          </w:p>
          <w:p w14:paraId="5923A3DB">
            <w:pPr>
              <w:spacing w:line="560" w:lineRule="exact"/>
              <w:ind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34A1873A">
            <w:pPr>
              <w:spacing w:line="560" w:lineRule="exact"/>
              <w:ind w:firstLine="280" w:firstLineChars="100"/>
              <w:rPr>
                <w:rFonts w:hint="eastAsia" w:ascii="宋体" w:hAnsi="宋体" w:cs="宋体"/>
                <w:color w:val="auto"/>
                <w:sz w:val="28"/>
                <w:szCs w:val="28"/>
                <w:highlight w:val="none"/>
              </w:rPr>
            </w:pPr>
          </w:p>
          <w:p w14:paraId="0EE444E4">
            <w:pPr>
              <w:spacing w:line="560" w:lineRule="exact"/>
              <w:ind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21230D50">
            <w:pPr>
              <w:spacing w:line="560" w:lineRule="exact"/>
              <w:ind w:firstLine="280" w:firstLineChars="1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（单位盖章）</w:t>
            </w:r>
          </w:p>
          <w:p w14:paraId="1F884044">
            <w:pPr>
              <w:spacing w:line="560" w:lineRule="exact"/>
              <w:ind w:firstLine="4900" w:firstLineChars="1750"/>
              <w:rPr>
                <w:rFonts w:ascii="宋体" w:hAnsi="宋体" w:cs="宋体"/>
                <w:color w:val="auto"/>
                <w:sz w:val="30"/>
                <w:highlight w:val="none"/>
              </w:rPr>
            </w:pPr>
            <w:r>
              <w:rPr>
                <w:rFonts w:hint="eastAsia" w:ascii="宋体" w:hAnsi="宋体" w:cs="宋体"/>
                <w:color w:val="auto"/>
                <w:sz w:val="28"/>
                <w:szCs w:val="28"/>
                <w:highlight w:val="none"/>
              </w:rPr>
              <w:t xml:space="preserve">           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月</w:t>
            </w:r>
          </w:p>
        </w:tc>
      </w:tr>
    </w:tbl>
    <w:p w14:paraId="303FD242">
      <w:pPr>
        <w:pStyle w:val="188"/>
        <w:ind w:firstLine="420"/>
        <w:rPr>
          <w:rFonts w:hint="eastAsia" w:ascii="宋体" w:hAnsi="宋体" w:cs="宋体"/>
          <w:color w:val="auto"/>
          <w:highlight w:val="none"/>
        </w:rPr>
      </w:pPr>
    </w:p>
    <w:p w14:paraId="7FB284A6">
      <w:pPr>
        <w:jc w:val="left"/>
        <w:rPr>
          <w:rFonts w:hint="eastAsia" w:ascii="宋体" w:hAnsi="宋体" w:cs="宋体"/>
          <w:color w:val="auto"/>
          <w:szCs w:val="21"/>
          <w:highlight w:val="none"/>
        </w:rPr>
      </w:pPr>
    </w:p>
    <w:p w14:paraId="318876B3">
      <w:pPr>
        <w:pStyle w:val="47"/>
        <w:rPr>
          <w:rFonts w:hint="eastAsia" w:ascii="宋体" w:hAnsi="宋体" w:cs="宋体"/>
          <w:color w:val="auto"/>
          <w:szCs w:val="21"/>
          <w:highlight w:val="none"/>
        </w:rPr>
      </w:pPr>
    </w:p>
    <w:p w14:paraId="7D4D9354">
      <w:pPr>
        <w:rPr>
          <w:rFonts w:hint="eastAsia"/>
          <w:color w:val="auto"/>
          <w:highlight w:val="none"/>
        </w:rPr>
      </w:pPr>
    </w:p>
    <w:sectPr>
      <w:pgSz w:w="11906" w:h="16838"/>
      <w:pgMar w:top="1134" w:right="1361" w:bottom="1077" w:left="1361" w:header="680"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D0E4">
    <w:pPr>
      <w:pStyle w:val="29"/>
      <w:ind w:right="360"/>
      <w:rPr>
        <w:rFonts w:hint="eastAsia"/>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2B012"/>
                      </w:txbxContent>
                    </wps:txbx>
                    <wps:bodyPr wrap="none" lIns="0" tIns="0" rIns="0" bIns="0" upright="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26KMsBAACc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4CJZYbHPj5+7fzj1/nn1/J&#10;snhbJoV6DxUmPnlMjcOdG1L25Ad0JuJDG0z6IiWCcdT3dNFXDpGI9KhclWWBIYGx+YI47Pm5DxDf&#10;S2dIMmoacIBZV358hDimzimpmnX3Smv080rbvxyImTws9T72mKw47Iap8Z1rTsinx9nX1OKqU6If&#10;LEqb1mQ2wmzsZuPgg9p3eY9SPfC3h4hN5N5ShRF2KoxDy+ymBUtb8ec9Zz3/VJ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SNuijLAQAAnAMAAA4AAAAAAAAAAQAgAAAAHgEAAGRycy9lMm9E&#10;b2MueG1sUEsFBgAAAAAGAAYAWQEAAFsFAAAAAA==&#10;">
              <v:fill on="f" focussize="0,0"/>
              <v:stroke on="f"/>
              <v:imagedata o:title=""/>
              <o:lock v:ext="edit" aspectratio="f"/>
              <v:textbox inset="0mm,0mm,0mm,0mm" style="mso-fit-shape-to-text:t;">
                <w:txbxContent>
                  <w:p w14:paraId="64E2B01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D2EB">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D3EB8A">
                          <w:pPr>
                            <w:pStyle w:val="29"/>
                          </w:pPr>
                          <w:r>
                            <w:fldChar w:fldCharType="begin"/>
                          </w:r>
                          <w:r>
                            <w:instrText xml:space="preserve"> PAGE  \* MERGEFORMAT </w:instrText>
                          </w:r>
                          <w:r>
                            <w:fldChar w:fldCharType="separate"/>
                          </w:r>
                          <w:r>
                            <w:t>- 139 -</w:t>
                          </w:r>
                          <w: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fAHs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rihx3OLAL9+/XX78uvz8SpbV&#10;y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RfAHsoBAACcAwAADgAAAAAAAAABACAAAAAeAQAAZHJzL2Uyb0Rv&#10;Yy54bWxQSwUGAAAAAAYABgBZAQAAWgUAAAAA&#10;">
              <v:fill on="f" focussize="0,0"/>
              <v:stroke on="f"/>
              <v:imagedata o:title=""/>
              <o:lock v:ext="edit" aspectratio="f"/>
              <v:textbox inset="0mm,0mm,0mm,0mm" style="mso-fit-shape-to-text:t;">
                <w:txbxContent>
                  <w:p w14:paraId="63D3EB8A">
                    <w:pPr>
                      <w:pStyle w:val="29"/>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A9EBB">
    <w:pPr>
      <w:pStyle w:val="29"/>
      <w:ind w:right="360"/>
      <w:rPr>
        <w:rFonts w:hint="eastAsia"/>
        <w:kern w:val="0"/>
        <w:szCs w:val="21"/>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3B2B22">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8"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Yebd13gEAAL8DAAAOAAAAAAAA&#10;AAEAIAAAAB4BAABkcnMvZTJvRG9jLnhtbFBLBQYAAAAABgAGAFkBAABuBQAAAAA=&#10;">
              <v:fill on="f" focussize="0,0"/>
              <v:stroke on="f"/>
              <v:imagedata o:title=""/>
              <o:lock v:ext="edit" aspectratio="f"/>
              <v:textbox inset="0mm,0mm,0mm,0mm" style="mso-fit-shape-to-text:t;">
                <w:txbxContent>
                  <w:p w14:paraId="683B2B22">
                    <w:pPr>
                      <w:pStyle w:val="2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636C1F"/>
                      </w:txbxContent>
                    </wps:txbx>
                    <wps:bodyPr wrap="none" lIns="0" tIns="0" rIns="0" bIns="0" upright="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MaW6jLAQAAnAMAAA4AAAAAAAAAAQAgAAAAHgEAAGRycy9lMm9E&#10;b2MueG1sUEsFBgAAAAAGAAYAWQEAAFsFAAAAAA==&#10;">
              <v:fill on="f" focussize="0,0"/>
              <v:stroke on="f"/>
              <v:imagedata o:title=""/>
              <o:lock v:ext="edit" aspectratio="f"/>
              <v:textbox inset="0mm,0mm,0mm,0mm" style="mso-fit-shape-to-text:t;">
                <w:txbxContent>
                  <w:p w14:paraId="71636C1F"/>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A20BE">
    <w:pPr>
      <w:pStyle w:val="243"/>
      <w:tabs>
        <w:tab w:val="clear" w:pos="4153"/>
        <w:tab w:val="clear" w:pos="8306"/>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EB9701">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9"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swLf3gEAAL8DAAAOAAAAAAAA&#10;AAEAIAAAAB4BAABkcnMvZTJvRG9jLnhtbFBLBQYAAAAABgAGAFkBAABuBQAAAAA=&#10;">
              <v:fill on="f" focussize="0,0"/>
              <v:stroke on="f"/>
              <v:imagedata o:title=""/>
              <o:lock v:ext="edit" aspectratio="f"/>
              <v:textbox inset="0mm,0mm,0mm,0mm" style="mso-fit-shape-to-text:t;">
                <w:txbxContent>
                  <w:p w14:paraId="34EB9701">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420F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851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7E266">
    <w:pPr>
      <w:pStyle w:val="29"/>
      <w:ind w:right="360"/>
      <w:rPr>
        <w:rFonts w:hint="eastAsia"/>
        <w:kern w:val="0"/>
        <w:szCs w:val="21"/>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F72A0C">
                          <w:pPr>
                            <w:pStyle w:val="29"/>
                          </w:pPr>
                          <w:r>
                            <w:fldChar w:fldCharType="begin"/>
                          </w:r>
                          <w:r>
                            <w:instrText xml:space="preserve"> PAGE  \* MERGEFORMAT </w:instrText>
                          </w:r>
                          <w:r>
                            <w:fldChar w:fldCharType="separate"/>
                          </w:r>
                          <w:r>
                            <w:t>17</w:t>
                          </w:r>
                          <w:r>
                            <w:fldChar w:fldCharType="end"/>
                          </w:r>
                        </w:p>
                      </w:txbxContent>
                    </wps:txbx>
                    <wps:bodyPr vert="horz" wrap="none" lIns="0" tIns="0" rIns="0" bIns="0" anchor="t" anchorCtr="0" upright="0">
                      <a:spAutoFit/>
                    </wps:bodyPr>
                  </wps:wsp>
                </a:graphicData>
              </a:graphic>
            </wp:anchor>
          </w:drawing>
        </mc:Choice>
        <mc:Fallback>
          <w:pict>
            <v:shape id="文本框 30"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RwNfj3gEAAL8DAAAOAAAAAAAA&#10;AAEAIAAAAB4BAABkcnMvZTJvRG9jLnhtbFBLBQYAAAAABgAGAFkBAABuBQAAAAA=&#10;">
              <v:fill on="f" focussize="0,0"/>
              <v:stroke on="f"/>
              <v:imagedata o:title=""/>
              <o:lock v:ext="edit" aspectratio="f"/>
              <v:textbox inset="0mm,0mm,0mm,0mm" style="mso-fit-shape-to-text:t;">
                <w:txbxContent>
                  <w:p w14:paraId="40F72A0C">
                    <w:pPr>
                      <w:pStyle w:val="29"/>
                    </w:pPr>
                    <w:r>
                      <w:fldChar w:fldCharType="begin"/>
                    </w:r>
                    <w:r>
                      <w:instrText xml:space="preserve"> PAGE  \* MERGEFORMAT </w:instrText>
                    </w:r>
                    <w:r>
                      <w:fldChar w:fldCharType="separate"/>
                    </w:r>
                    <w:r>
                      <w:t>17</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68E247"/>
                      </w:txbxContent>
                    </wps:txbx>
                    <wps:bodyPr wrap="none" lIns="0" tIns="0" rIns="0" bIns="0" upright="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DswF/LAQAAnAMAAA4AAAAAAAAAAQAgAAAAHgEAAGRycy9lMm9E&#10;b2MueG1sUEsFBgAAAAAGAAYAWQEAAFsFAAAAAA==&#10;">
              <v:fill on="f" focussize="0,0"/>
              <v:stroke on="f"/>
              <v:imagedata o:title=""/>
              <o:lock v:ext="edit" aspectratio="f"/>
              <v:textbox inset="0mm,0mm,0mm,0mm" style="mso-fit-shape-to-text:t;">
                <w:txbxContent>
                  <w:p w14:paraId="0A68E2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7AA4F">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395E">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32E5C">
    <w:pPr>
      <w:pStyle w:val="242"/>
      <w:pBdr>
        <w:top w:val="none" w:color="000000" w:sz="0" w:space="0"/>
        <w:left w:val="none" w:color="000000" w:sz="0" w:space="0"/>
        <w:bottom w:val="none" w:color="000000" w:sz="0" w:space="0"/>
        <w:right w:val="none" w:color="000000"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27FE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09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AA821"/>
    <w:multiLevelType w:val="singleLevel"/>
    <w:tmpl w:val="92BAA821"/>
    <w:lvl w:ilvl="0" w:tentative="0">
      <w:start w:val="1"/>
      <w:numFmt w:val="chineseCounting"/>
      <w:suff w:val="space"/>
      <w:lvlText w:val="第%1章"/>
      <w:lvlJc w:val="left"/>
      <w:rPr>
        <w:rFonts w:hint="eastAsia"/>
      </w:rPr>
    </w:lvl>
  </w:abstractNum>
  <w:abstractNum w:abstractNumId="1">
    <w:nsid w:val="0F81FFA8"/>
    <w:multiLevelType w:val="singleLevel"/>
    <w:tmpl w:val="0F81FFA8"/>
    <w:lvl w:ilvl="0" w:tentative="0">
      <w:start w:val="1"/>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00F03"/>
    <w:rsid w:val="0000102C"/>
    <w:rsid w:val="00002296"/>
    <w:rsid w:val="00003341"/>
    <w:rsid w:val="00004FB3"/>
    <w:rsid w:val="00006820"/>
    <w:rsid w:val="00006B16"/>
    <w:rsid w:val="00006E9C"/>
    <w:rsid w:val="0000765B"/>
    <w:rsid w:val="000133FD"/>
    <w:rsid w:val="00013CDB"/>
    <w:rsid w:val="000149CE"/>
    <w:rsid w:val="00014BE3"/>
    <w:rsid w:val="000152EF"/>
    <w:rsid w:val="00015E33"/>
    <w:rsid w:val="000163F2"/>
    <w:rsid w:val="00016B49"/>
    <w:rsid w:val="0002000D"/>
    <w:rsid w:val="0002070E"/>
    <w:rsid w:val="000210A3"/>
    <w:rsid w:val="00021731"/>
    <w:rsid w:val="0002303F"/>
    <w:rsid w:val="00025652"/>
    <w:rsid w:val="00027350"/>
    <w:rsid w:val="000275A3"/>
    <w:rsid w:val="00027B66"/>
    <w:rsid w:val="000301A2"/>
    <w:rsid w:val="0003022F"/>
    <w:rsid w:val="00030431"/>
    <w:rsid w:val="00031287"/>
    <w:rsid w:val="00034333"/>
    <w:rsid w:val="000346D8"/>
    <w:rsid w:val="00034D00"/>
    <w:rsid w:val="000369B9"/>
    <w:rsid w:val="00036E1B"/>
    <w:rsid w:val="00037222"/>
    <w:rsid w:val="00041DC0"/>
    <w:rsid w:val="00043152"/>
    <w:rsid w:val="000455A4"/>
    <w:rsid w:val="00045A6A"/>
    <w:rsid w:val="000466F8"/>
    <w:rsid w:val="0004671B"/>
    <w:rsid w:val="00047776"/>
    <w:rsid w:val="000520E9"/>
    <w:rsid w:val="000534C0"/>
    <w:rsid w:val="0005604E"/>
    <w:rsid w:val="0005658A"/>
    <w:rsid w:val="00056830"/>
    <w:rsid w:val="00056A2D"/>
    <w:rsid w:val="00056E3D"/>
    <w:rsid w:val="00061677"/>
    <w:rsid w:val="00063BED"/>
    <w:rsid w:val="00063C44"/>
    <w:rsid w:val="0006566F"/>
    <w:rsid w:val="0006584B"/>
    <w:rsid w:val="00065940"/>
    <w:rsid w:val="00065AAB"/>
    <w:rsid w:val="00070B50"/>
    <w:rsid w:val="00071845"/>
    <w:rsid w:val="00071A8F"/>
    <w:rsid w:val="000738CE"/>
    <w:rsid w:val="00077AAD"/>
    <w:rsid w:val="00080440"/>
    <w:rsid w:val="00080971"/>
    <w:rsid w:val="000818D5"/>
    <w:rsid w:val="000826E7"/>
    <w:rsid w:val="0008469B"/>
    <w:rsid w:val="0008521D"/>
    <w:rsid w:val="00085D26"/>
    <w:rsid w:val="00086AF9"/>
    <w:rsid w:val="00087577"/>
    <w:rsid w:val="00090F13"/>
    <w:rsid w:val="0009199E"/>
    <w:rsid w:val="00091D2B"/>
    <w:rsid w:val="0009306E"/>
    <w:rsid w:val="000944D8"/>
    <w:rsid w:val="00094759"/>
    <w:rsid w:val="00096398"/>
    <w:rsid w:val="00096946"/>
    <w:rsid w:val="000A0086"/>
    <w:rsid w:val="000A1B93"/>
    <w:rsid w:val="000A2A89"/>
    <w:rsid w:val="000A3A88"/>
    <w:rsid w:val="000A4579"/>
    <w:rsid w:val="000A48D0"/>
    <w:rsid w:val="000A65C5"/>
    <w:rsid w:val="000A7358"/>
    <w:rsid w:val="000A77AA"/>
    <w:rsid w:val="000B026F"/>
    <w:rsid w:val="000B02B3"/>
    <w:rsid w:val="000B1296"/>
    <w:rsid w:val="000B1E9D"/>
    <w:rsid w:val="000B41C7"/>
    <w:rsid w:val="000B4E0B"/>
    <w:rsid w:val="000B5789"/>
    <w:rsid w:val="000B5D69"/>
    <w:rsid w:val="000B609D"/>
    <w:rsid w:val="000B6844"/>
    <w:rsid w:val="000B734D"/>
    <w:rsid w:val="000B767F"/>
    <w:rsid w:val="000B7C36"/>
    <w:rsid w:val="000C2ACE"/>
    <w:rsid w:val="000C37F8"/>
    <w:rsid w:val="000C3844"/>
    <w:rsid w:val="000C423F"/>
    <w:rsid w:val="000C4FA9"/>
    <w:rsid w:val="000C5DC5"/>
    <w:rsid w:val="000C7A2C"/>
    <w:rsid w:val="000D069B"/>
    <w:rsid w:val="000D15D2"/>
    <w:rsid w:val="000D18C0"/>
    <w:rsid w:val="000D1BC7"/>
    <w:rsid w:val="000D2370"/>
    <w:rsid w:val="000D2998"/>
    <w:rsid w:val="000D2DEB"/>
    <w:rsid w:val="000D4F76"/>
    <w:rsid w:val="000D5B18"/>
    <w:rsid w:val="000E0ADA"/>
    <w:rsid w:val="000E0D9F"/>
    <w:rsid w:val="000E1E50"/>
    <w:rsid w:val="000E47C8"/>
    <w:rsid w:val="000E521D"/>
    <w:rsid w:val="000E6FF8"/>
    <w:rsid w:val="000F069A"/>
    <w:rsid w:val="000F0C54"/>
    <w:rsid w:val="000F1705"/>
    <w:rsid w:val="000F195C"/>
    <w:rsid w:val="000F1B02"/>
    <w:rsid w:val="000F294F"/>
    <w:rsid w:val="000F2FFA"/>
    <w:rsid w:val="000F309A"/>
    <w:rsid w:val="000F3685"/>
    <w:rsid w:val="000F36ED"/>
    <w:rsid w:val="000F3D46"/>
    <w:rsid w:val="000F5817"/>
    <w:rsid w:val="000F68F0"/>
    <w:rsid w:val="000F6B36"/>
    <w:rsid w:val="000F6D52"/>
    <w:rsid w:val="0010017C"/>
    <w:rsid w:val="00102075"/>
    <w:rsid w:val="00102231"/>
    <w:rsid w:val="00102B71"/>
    <w:rsid w:val="0010493B"/>
    <w:rsid w:val="00104F30"/>
    <w:rsid w:val="0010777D"/>
    <w:rsid w:val="001106F4"/>
    <w:rsid w:val="00113041"/>
    <w:rsid w:val="0011328D"/>
    <w:rsid w:val="00113314"/>
    <w:rsid w:val="0011590D"/>
    <w:rsid w:val="0011593A"/>
    <w:rsid w:val="00116B46"/>
    <w:rsid w:val="00117639"/>
    <w:rsid w:val="001204FF"/>
    <w:rsid w:val="001205BC"/>
    <w:rsid w:val="00120BCE"/>
    <w:rsid w:val="00121F96"/>
    <w:rsid w:val="00122B94"/>
    <w:rsid w:val="00124517"/>
    <w:rsid w:val="00124902"/>
    <w:rsid w:val="00124A35"/>
    <w:rsid w:val="00125CD2"/>
    <w:rsid w:val="0012615C"/>
    <w:rsid w:val="001262D5"/>
    <w:rsid w:val="00126B13"/>
    <w:rsid w:val="00132AAF"/>
    <w:rsid w:val="0013331F"/>
    <w:rsid w:val="0013358F"/>
    <w:rsid w:val="001335D9"/>
    <w:rsid w:val="00133BE1"/>
    <w:rsid w:val="001347A9"/>
    <w:rsid w:val="00136C6C"/>
    <w:rsid w:val="001377FE"/>
    <w:rsid w:val="00140703"/>
    <w:rsid w:val="0014118D"/>
    <w:rsid w:val="001423BD"/>
    <w:rsid w:val="0014526A"/>
    <w:rsid w:val="00146FE8"/>
    <w:rsid w:val="00147D4A"/>
    <w:rsid w:val="00152C59"/>
    <w:rsid w:val="00153023"/>
    <w:rsid w:val="00153877"/>
    <w:rsid w:val="00153D68"/>
    <w:rsid w:val="00154767"/>
    <w:rsid w:val="00155483"/>
    <w:rsid w:val="0015793D"/>
    <w:rsid w:val="00161FAA"/>
    <w:rsid w:val="00164B9C"/>
    <w:rsid w:val="001653B4"/>
    <w:rsid w:val="00165EFD"/>
    <w:rsid w:val="00165F9F"/>
    <w:rsid w:val="001669A2"/>
    <w:rsid w:val="00166E69"/>
    <w:rsid w:val="00167272"/>
    <w:rsid w:val="00167E01"/>
    <w:rsid w:val="00167FF5"/>
    <w:rsid w:val="00170B58"/>
    <w:rsid w:val="00170CC2"/>
    <w:rsid w:val="0017116A"/>
    <w:rsid w:val="00171479"/>
    <w:rsid w:val="00171A33"/>
    <w:rsid w:val="00172644"/>
    <w:rsid w:val="00176EEA"/>
    <w:rsid w:val="00177929"/>
    <w:rsid w:val="00177A7A"/>
    <w:rsid w:val="00177B8F"/>
    <w:rsid w:val="00182E57"/>
    <w:rsid w:val="00184289"/>
    <w:rsid w:val="00184ABA"/>
    <w:rsid w:val="001858BE"/>
    <w:rsid w:val="00185A56"/>
    <w:rsid w:val="001864BC"/>
    <w:rsid w:val="00187590"/>
    <w:rsid w:val="00190C31"/>
    <w:rsid w:val="00191140"/>
    <w:rsid w:val="0019139D"/>
    <w:rsid w:val="001918E9"/>
    <w:rsid w:val="00192BDE"/>
    <w:rsid w:val="00193CE6"/>
    <w:rsid w:val="00194B8E"/>
    <w:rsid w:val="00194FDC"/>
    <w:rsid w:val="00195E66"/>
    <w:rsid w:val="001961BA"/>
    <w:rsid w:val="001975C9"/>
    <w:rsid w:val="001A0716"/>
    <w:rsid w:val="001A343D"/>
    <w:rsid w:val="001A435B"/>
    <w:rsid w:val="001A4465"/>
    <w:rsid w:val="001A49CE"/>
    <w:rsid w:val="001A5FB8"/>
    <w:rsid w:val="001A6F91"/>
    <w:rsid w:val="001B1526"/>
    <w:rsid w:val="001B1BD2"/>
    <w:rsid w:val="001B3012"/>
    <w:rsid w:val="001B520E"/>
    <w:rsid w:val="001B5BEF"/>
    <w:rsid w:val="001B6816"/>
    <w:rsid w:val="001B7766"/>
    <w:rsid w:val="001C5534"/>
    <w:rsid w:val="001C6CAF"/>
    <w:rsid w:val="001C7251"/>
    <w:rsid w:val="001C7C71"/>
    <w:rsid w:val="001D06AD"/>
    <w:rsid w:val="001D2114"/>
    <w:rsid w:val="001D318D"/>
    <w:rsid w:val="001D693B"/>
    <w:rsid w:val="001D70EE"/>
    <w:rsid w:val="001D7320"/>
    <w:rsid w:val="001D73C1"/>
    <w:rsid w:val="001D7424"/>
    <w:rsid w:val="001D750D"/>
    <w:rsid w:val="001E00E0"/>
    <w:rsid w:val="001E0EF7"/>
    <w:rsid w:val="001E191A"/>
    <w:rsid w:val="001E33F3"/>
    <w:rsid w:val="001E3C44"/>
    <w:rsid w:val="001E3DE5"/>
    <w:rsid w:val="001E452F"/>
    <w:rsid w:val="001E4B4F"/>
    <w:rsid w:val="001E535B"/>
    <w:rsid w:val="001E56A2"/>
    <w:rsid w:val="001E6B1C"/>
    <w:rsid w:val="001E6CD4"/>
    <w:rsid w:val="001E6FE6"/>
    <w:rsid w:val="001E6FFF"/>
    <w:rsid w:val="001F0084"/>
    <w:rsid w:val="001F064B"/>
    <w:rsid w:val="001F1335"/>
    <w:rsid w:val="001F16F3"/>
    <w:rsid w:val="001F1743"/>
    <w:rsid w:val="001F1CE0"/>
    <w:rsid w:val="001F2980"/>
    <w:rsid w:val="001F3B7C"/>
    <w:rsid w:val="001F403F"/>
    <w:rsid w:val="001F4495"/>
    <w:rsid w:val="001F471C"/>
    <w:rsid w:val="001F5059"/>
    <w:rsid w:val="001F50BB"/>
    <w:rsid w:val="001F7A46"/>
    <w:rsid w:val="0020030D"/>
    <w:rsid w:val="00202078"/>
    <w:rsid w:val="00202131"/>
    <w:rsid w:val="0020229C"/>
    <w:rsid w:val="0020229E"/>
    <w:rsid w:val="002026A6"/>
    <w:rsid w:val="00203622"/>
    <w:rsid w:val="00203E74"/>
    <w:rsid w:val="002069FA"/>
    <w:rsid w:val="00207055"/>
    <w:rsid w:val="002075D4"/>
    <w:rsid w:val="00207958"/>
    <w:rsid w:val="002103CB"/>
    <w:rsid w:val="00210CEC"/>
    <w:rsid w:val="00211704"/>
    <w:rsid w:val="002125CB"/>
    <w:rsid w:val="0021262F"/>
    <w:rsid w:val="00217547"/>
    <w:rsid w:val="00220B91"/>
    <w:rsid w:val="002217F8"/>
    <w:rsid w:val="00225D3C"/>
    <w:rsid w:val="00227089"/>
    <w:rsid w:val="002306F3"/>
    <w:rsid w:val="00230AE3"/>
    <w:rsid w:val="00230C04"/>
    <w:rsid w:val="002314D2"/>
    <w:rsid w:val="0023165F"/>
    <w:rsid w:val="0023272C"/>
    <w:rsid w:val="00233E6F"/>
    <w:rsid w:val="00234477"/>
    <w:rsid w:val="00234A29"/>
    <w:rsid w:val="002361C8"/>
    <w:rsid w:val="002364B7"/>
    <w:rsid w:val="0023659C"/>
    <w:rsid w:val="00237147"/>
    <w:rsid w:val="00237352"/>
    <w:rsid w:val="002374BB"/>
    <w:rsid w:val="00237506"/>
    <w:rsid w:val="00240600"/>
    <w:rsid w:val="002417C1"/>
    <w:rsid w:val="00242BA3"/>
    <w:rsid w:val="00243C2B"/>
    <w:rsid w:val="00244312"/>
    <w:rsid w:val="00247A47"/>
    <w:rsid w:val="00247C5C"/>
    <w:rsid w:val="00250167"/>
    <w:rsid w:val="00251029"/>
    <w:rsid w:val="0025449E"/>
    <w:rsid w:val="0025467B"/>
    <w:rsid w:val="002551F6"/>
    <w:rsid w:val="002554CE"/>
    <w:rsid w:val="00255771"/>
    <w:rsid w:val="00255A95"/>
    <w:rsid w:val="002572D8"/>
    <w:rsid w:val="00260EB0"/>
    <w:rsid w:val="00262F82"/>
    <w:rsid w:val="00264BBB"/>
    <w:rsid w:val="002667A5"/>
    <w:rsid w:val="00266FC3"/>
    <w:rsid w:val="002676DA"/>
    <w:rsid w:val="00270D00"/>
    <w:rsid w:val="00271288"/>
    <w:rsid w:val="00272A64"/>
    <w:rsid w:val="002731BD"/>
    <w:rsid w:val="0027387D"/>
    <w:rsid w:val="0027549B"/>
    <w:rsid w:val="00276C5E"/>
    <w:rsid w:val="00277233"/>
    <w:rsid w:val="002776CD"/>
    <w:rsid w:val="002803FA"/>
    <w:rsid w:val="00281D13"/>
    <w:rsid w:val="002827C7"/>
    <w:rsid w:val="00283A63"/>
    <w:rsid w:val="00283EE2"/>
    <w:rsid w:val="0028592E"/>
    <w:rsid w:val="002859F8"/>
    <w:rsid w:val="0028605D"/>
    <w:rsid w:val="00286788"/>
    <w:rsid w:val="0028772F"/>
    <w:rsid w:val="002905A9"/>
    <w:rsid w:val="002906FB"/>
    <w:rsid w:val="002929A8"/>
    <w:rsid w:val="00293838"/>
    <w:rsid w:val="00293E15"/>
    <w:rsid w:val="00295785"/>
    <w:rsid w:val="00295C9B"/>
    <w:rsid w:val="00297553"/>
    <w:rsid w:val="00297DCF"/>
    <w:rsid w:val="002A006B"/>
    <w:rsid w:val="002A0361"/>
    <w:rsid w:val="002A046B"/>
    <w:rsid w:val="002A2504"/>
    <w:rsid w:val="002A3922"/>
    <w:rsid w:val="002A4679"/>
    <w:rsid w:val="002A47B5"/>
    <w:rsid w:val="002A47BA"/>
    <w:rsid w:val="002A65E6"/>
    <w:rsid w:val="002A7F0C"/>
    <w:rsid w:val="002B1205"/>
    <w:rsid w:val="002B16F4"/>
    <w:rsid w:val="002B1B17"/>
    <w:rsid w:val="002B3094"/>
    <w:rsid w:val="002B4D0B"/>
    <w:rsid w:val="002B651F"/>
    <w:rsid w:val="002C3199"/>
    <w:rsid w:val="002C40AB"/>
    <w:rsid w:val="002C5707"/>
    <w:rsid w:val="002C6355"/>
    <w:rsid w:val="002C7E67"/>
    <w:rsid w:val="002D0466"/>
    <w:rsid w:val="002D21A0"/>
    <w:rsid w:val="002D3B50"/>
    <w:rsid w:val="002D430E"/>
    <w:rsid w:val="002D45F8"/>
    <w:rsid w:val="002D500A"/>
    <w:rsid w:val="002D619C"/>
    <w:rsid w:val="002D61D5"/>
    <w:rsid w:val="002D7D16"/>
    <w:rsid w:val="002E0AA9"/>
    <w:rsid w:val="002E2295"/>
    <w:rsid w:val="002E31E3"/>
    <w:rsid w:val="002E349E"/>
    <w:rsid w:val="002E5DF0"/>
    <w:rsid w:val="002E6A21"/>
    <w:rsid w:val="002E6C2C"/>
    <w:rsid w:val="002E6EA9"/>
    <w:rsid w:val="002E74CD"/>
    <w:rsid w:val="002F04F4"/>
    <w:rsid w:val="002F0F7B"/>
    <w:rsid w:val="002F1AD0"/>
    <w:rsid w:val="002F1B12"/>
    <w:rsid w:val="002F2ADD"/>
    <w:rsid w:val="002F3268"/>
    <w:rsid w:val="002F3CA0"/>
    <w:rsid w:val="002F4C7B"/>
    <w:rsid w:val="002F5F35"/>
    <w:rsid w:val="002F6F23"/>
    <w:rsid w:val="0030036D"/>
    <w:rsid w:val="00301E56"/>
    <w:rsid w:val="00302DA4"/>
    <w:rsid w:val="00303C49"/>
    <w:rsid w:val="003043D3"/>
    <w:rsid w:val="00304853"/>
    <w:rsid w:val="00305612"/>
    <w:rsid w:val="00306E36"/>
    <w:rsid w:val="00307A50"/>
    <w:rsid w:val="00310228"/>
    <w:rsid w:val="00310232"/>
    <w:rsid w:val="00311D50"/>
    <w:rsid w:val="00312AF4"/>
    <w:rsid w:val="003138BA"/>
    <w:rsid w:val="00313B69"/>
    <w:rsid w:val="003141E9"/>
    <w:rsid w:val="003158DD"/>
    <w:rsid w:val="003169B1"/>
    <w:rsid w:val="0031701A"/>
    <w:rsid w:val="0031777C"/>
    <w:rsid w:val="00320EB5"/>
    <w:rsid w:val="00321760"/>
    <w:rsid w:val="00321CF0"/>
    <w:rsid w:val="003222D9"/>
    <w:rsid w:val="00323DA3"/>
    <w:rsid w:val="00323F93"/>
    <w:rsid w:val="00324852"/>
    <w:rsid w:val="00324A98"/>
    <w:rsid w:val="00324C0D"/>
    <w:rsid w:val="00324D18"/>
    <w:rsid w:val="0032587D"/>
    <w:rsid w:val="00326B4A"/>
    <w:rsid w:val="00327297"/>
    <w:rsid w:val="003302B5"/>
    <w:rsid w:val="003302C4"/>
    <w:rsid w:val="0033132E"/>
    <w:rsid w:val="0033158A"/>
    <w:rsid w:val="00331F03"/>
    <w:rsid w:val="003342B7"/>
    <w:rsid w:val="00335113"/>
    <w:rsid w:val="0033662A"/>
    <w:rsid w:val="00337E67"/>
    <w:rsid w:val="003401B5"/>
    <w:rsid w:val="00342330"/>
    <w:rsid w:val="00344118"/>
    <w:rsid w:val="003443AF"/>
    <w:rsid w:val="0034546A"/>
    <w:rsid w:val="00346627"/>
    <w:rsid w:val="00346C50"/>
    <w:rsid w:val="00346EA4"/>
    <w:rsid w:val="003475EF"/>
    <w:rsid w:val="00347664"/>
    <w:rsid w:val="003511A6"/>
    <w:rsid w:val="00351636"/>
    <w:rsid w:val="003524FA"/>
    <w:rsid w:val="0035298B"/>
    <w:rsid w:val="003536AA"/>
    <w:rsid w:val="00355A17"/>
    <w:rsid w:val="0035744E"/>
    <w:rsid w:val="00360343"/>
    <w:rsid w:val="00364C68"/>
    <w:rsid w:val="00364E31"/>
    <w:rsid w:val="00365426"/>
    <w:rsid w:val="003663FF"/>
    <w:rsid w:val="0036743A"/>
    <w:rsid w:val="00371602"/>
    <w:rsid w:val="00371A69"/>
    <w:rsid w:val="00371DCC"/>
    <w:rsid w:val="00372DA3"/>
    <w:rsid w:val="00372FCD"/>
    <w:rsid w:val="0037516A"/>
    <w:rsid w:val="00375399"/>
    <w:rsid w:val="003761A0"/>
    <w:rsid w:val="003761C3"/>
    <w:rsid w:val="0037637D"/>
    <w:rsid w:val="00376403"/>
    <w:rsid w:val="0038095F"/>
    <w:rsid w:val="00382134"/>
    <w:rsid w:val="00383809"/>
    <w:rsid w:val="00383C57"/>
    <w:rsid w:val="00384D38"/>
    <w:rsid w:val="0038572D"/>
    <w:rsid w:val="00387FB5"/>
    <w:rsid w:val="00390F55"/>
    <w:rsid w:val="003937D5"/>
    <w:rsid w:val="003943F6"/>
    <w:rsid w:val="00395BBA"/>
    <w:rsid w:val="0039655F"/>
    <w:rsid w:val="003965D8"/>
    <w:rsid w:val="00397438"/>
    <w:rsid w:val="003975C9"/>
    <w:rsid w:val="003A0B6C"/>
    <w:rsid w:val="003A0C50"/>
    <w:rsid w:val="003A1E88"/>
    <w:rsid w:val="003A20C8"/>
    <w:rsid w:val="003A262E"/>
    <w:rsid w:val="003A2D98"/>
    <w:rsid w:val="003A3492"/>
    <w:rsid w:val="003A644A"/>
    <w:rsid w:val="003A7366"/>
    <w:rsid w:val="003B0EB7"/>
    <w:rsid w:val="003B2002"/>
    <w:rsid w:val="003B2911"/>
    <w:rsid w:val="003B3740"/>
    <w:rsid w:val="003B4EF8"/>
    <w:rsid w:val="003B5149"/>
    <w:rsid w:val="003C03B5"/>
    <w:rsid w:val="003C22A2"/>
    <w:rsid w:val="003C2A63"/>
    <w:rsid w:val="003C4F26"/>
    <w:rsid w:val="003C5296"/>
    <w:rsid w:val="003C56F1"/>
    <w:rsid w:val="003C59FB"/>
    <w:rsid w:val="003C5D63"/>
    <w:rsid w:val="003C6FD5"/>
    <w:rsid w:val="003D17A0"/>
    <w:rsid w:val="003D26E9"/>
    <w:rsid w:val="003D4696"/>
    <w:rsid w:val="003D7DB9"/>
    <w:rsid w:val="003E2E02"/>
    <w:rsid w:val="003E2FF1"/>
    <w:rsid w:val="003E373D"/>
    <w:rsid w:val="003E68BB"/>
    <w:rsid w:val="003E6AC9"/>
    <w:rsid w:val="003E6F9D"/>
    <w:rsid w:val="003E74A0"/>
    <w:rsid w:val="003F0472"/>
    <w:rsid w:val="003F09CD"/>
    <w:rsid w:val="003F0FFD"/>
    <w:rsid w:val="003F17A7"/>
    <w:rsid w:val="003F20F4"/>
    <w:rsid w:val="003F41C1"/>
    <w:rsid w:val="003F5AE6"/>
    <w:rsid w:val="003F79A3"/>
    <w:rsid w:val="0040223B"/>
    <w:rsid w:val="004031CE"/>
    <w:rsid w:val="00403273"/>
    <w:rsid w:val="004037B7"/>
    <w:rsid w:val="00403850"/>
    <w:rsid w:val="004041B9"/>
    <w:rsid w:val="00405D43"/>
    <w:rsid w:val="00406D2A"/>
    <w:rsid w:val="00407710"/>
    <w:rsid w:val="00410283"/>
    <w:rsid w:val="004105DD"/>
    <w:rsid w:val="00411467"/>
    <w:rsid w:val="0041233E"/>
    <w:rsid w:val="00412398"/>
    <w:rsid w:val="00412AC0"/>
    <w:rsid w:val="0041327B"/>
    <w:rsid w:val="00414D10"/>
    <w:rsid w:val="004157B9"/>
    <w:rsid w:val="00415B46"/>
    <w:rsid w:val="00416ABA"/>
    <w:rsid w:val="0041712A"/>
    <w:rsid w:val="00420B93"/>
    <w:rsid w:val="00420C62"/>
    <w:rsid w:val="00421651"/>
    <w:rsid w:val="00421C59"/>
    <w:rsid w:val="004225D0"/>
    <w:rsid w:val="00424D5D"/>
    <w:rsid w:val="004253E4"/>
    <w:rsid w:val="00426BDD"/>
    <w:rsid w:val="00427693"/>
    <w:rsid w:val="00427A07"/>
    <w:rsid w:val="004302AF"/>
    <w:rsid w:val="00430BDB"/>
    <w:rsid w:val="004328AC"/>
    <w:rsid w:val="00432ABD"/>
    <w:rsid w:val="0043366A"/>
    <w:rsid w:val="0043376F"/>
    <w:rsid w:val="00435256"/>
    <w:rsid w:val="004353DC"/>
    <w:rsid w:val="00435B05"/>
    <w:rsid w:val="0043732A"/>
    <w:rsid w:val="004400DA"/>
    <w:rsid w:val="004416C1"/>
    <w:rsid w:val="00444AD0"/>
    <w:rsid w:val="00446296"/>
    <w:rsid w:val="004468C6"/>
    <w:rsid w:val="004468CB"/>
    <w:rsid w:val="00447841"/>
    <w:rsid w:val="00447AAA"/>
    <w:rsid w:val="0045023F"/>
    <w:rsid w:val="0045025A"/>
    <w:rsid w:val="00455DDC"/>
    <w:rsid w:val="004600E6"/>
    <w:rsid w:val="004603B0"/>
    <w:rsid w:val="0046040E"/>
    <w:rsid w:val="0046061F"/>
    <w:rsid w:val="00460DA7"/>
    <w:rsid w:val="00460DDB"/>
    <w:rsid w:val="00461843"/>
    <w:rsid w:val="00461BA1"/>
    <w:rsid w:val="00464B9D"/>
    <w:rsid w:val="004656AF"/>
    <w:rsid w:val="0046571A"/>
    <w:rsid w:val="00465895"/>
    <w:rsid w:val="0046617E"/>
    <w:rsid w:val="00466BBB"/>
    <w:rsid w:val="0047080E"/>
    <w:rsid w:val="00470E9B"/>
    <w:rsid w:val="004713DB"/>
    <w:rsid w:val="0047228F"/>
    <w:rsid w:val="00472BAD"/>
    <w:rsid w:val="004736CC"/>
    <w:rsid w:val="00474761"/>
    <w:rsid w:val="00476C92"/>
    <w:rsid w:val="00476DDE"/>
    <w:rsid w:val="00480FD2"/>
    <w:rsid w:val="00482713"/>
    <w:rsid w:val="004855C6"/>
    <w:rsid w:val="0048589A"/>
    <w:rsid w:val="00487CA1"/>
    <w:rsid w:val="004901BC"/>
    <w:rsid w:val="00490C17"/>
    <w:rsid w:val="00496A03"/>
    <w:rsid w:val="00496EA9"/>
    <w:rsid w:val="0049719D"/>
    <w:rsid w:val="004975BD"/>
    <w:rsid w:val="004977AC"/>
    <w:rsid w:val="00497D2A"/>
    <w:rsid w:val="004A0266"/>
    <w:rsid w:val="004A107E"/>
    <w:rsid w:val="004A14BB"/>
    <w:rsid w:val="004A19A5"/>
    <w:rsid w:val="004A2C79"/>
    <w:rsid w:val="004A4A83"/>
    <w:rsid w:val="004A59B8"/>
    <w:rsid w:val="004A6F04"/>
    <w:rsid w:val="004A701E"/>
    <w:rsid w:val="004A7435"/>
    <w:rsid w:val="004B08FF"/>
    <w:rsid w:val="004B0D22"/>
    <w:rsid w:val="004B2353"/>
    <w:rsid w:val="004B275B"/>
    <w:rsid w:val="004B3355"/>
    <w:rsid w:val="004B5590"/>
    <w:rsid w:val="004B5FC4"/>
    <w:rsid w:val="004B65AA"/>
    <w:rsid w:val="004B7C6E"/>
    <w:rsid w:val="004C09BE"/>
    <w:rsid w:val="004C10CE"/>
    <w:rsid w:val="004C22BD"/>
    <w:rsid w:val="004C244A"/>
    <w:rsid w:val="004C2E4C"/>
    <w:rsid w:val="004C37DC"/>
    <w:rsid w:val="004C4475"/>
    <w:rsid w:val="004C4B61"/>
    <w:rsid w:val="004C507C"/>
    <w:rsid w:val="004C5142"/>
    <w:rsid w:val="004D08FC"/>
    <w:rsid w:val="004D1A10"/>
    <w:rsid w:val="004D2711"/>
    <w:rsid w:val="004D3DC9"/>
    <w:rsid w:val="004D404C"/>
    <w:rsid w:val="004D42D2"/>
    <w:rsid w:val="004D4592"/>
    <w:rsid w:val="004D4B74"/>
    <w:rsid w:val="004D64ED"/>
    <w:rsid w:val="004D682D"/>
    <w:rsid w:val="004D6BD5"/>
    <w:rsid w:val="004D77BA"/>
    <w:rsid w:val="004E0814"/>
    <w:rsid w:val="004E2450"/>
    <w:rsid w:val="004E28A4"/>
    <w:rsid w:val="004E4F3A"/>
    <w:rsid w:val="004E62B4"/>
    <w:rsid w:val="004E6950"/>
    <w:rsid w:val="004F1398"/>
    <w:rsid w:val="004F18A1"/>
    <w:rsid w:val="004F37DA"/>
    <w:rsid w:val="004F4318"/>
    <w:rsid w:val="004F449E"/>
    <w:rsid w:val="004F46CA"/>
    <w:rsid w:val="004F5D47"/>
    <w:rsid w:val="004F623E"/>
    <w:rsid w:val="004F642B"/>
    <w:rsid w:val="004F6987"/>
    <w:rsid w:val="004F6A86"/>
    <w:rsid w:val="004F7068"/>
    <w:rsid w:val="004F7369"/>
    <w:rsid w:val="004F7AC3"/>
    <w:rsid w:val="004F7E98"/>
    <w:rsid w:val="00500C1C"/>
    <w:rsid w:val="00501999"/>
    <w:rsid w:val="00502495"/>
    <w:rsid w:val="00502A52"/>
    <w:rsid w:val="005032B2"/>
    <w:rsid w:val="00503834"/>
    <w:rsid w:val="00503E36"/>
    <w:rsid w:val="00504163"/>
    <w:rsid w:val="005072D6"/>
    <w:rsid w:val="00510889"/>
    <w:rsid w:val="00510D92"/>
    <w:rsid w:val="00512402"/>
    <w:rsid w:val="005135C5"/>
    <w:rsid w:val="005150CB"/>
    <w:rsid w:val="005151EE"/>
    <w:rsid w:val="00515BB3"/>
    <w:rsid w:val="00516B05"/>
    <w:rsid w:val="00517F92"/>
    <w:rsid w:val="0052099E"/>
    <w:rsid w:val="00520D69"/>
    <w:rsid w:val="00521401"/>
    <w:rsid w:val="005239B8"/>
    <w:rsid w:val="005242A3"/>
    <w:rsid w:val="00525A4E"/>
    <w:rsid w:val="00525F54"/>
    <w:rsid w:val="005301F8"/>
    <w:rsid w:val="005309C6"/>
    <w:rsid w:val="00530D02"/>
    <w:rsid w:val="00531AF8"/>
    <w:rsid w:val="00531D68"/>
    <w:rsid w:val="00535CD7"/>
    <w:rsid w:val="00535D1E"/>
    <w:rsid w:val="00536151"/>
    <w:rsid w:val="00536C24"/>
    <w:rsid w:val="00537E97"/>
    <w:rsid w:val="00541866"/>
    <w:rsid w:val="00542234"/>
    <w:rsid w:val="0054274E"/>
    <w:rsid w:val="005430D1"/>
    <w:rsid w:val="0054452A"/>
    <w:rsid w:val="00545C7C"/>
    <w:rsid w:val="00546957"/>
    <w:rsid w:val="00546D32"/>
    <w:rsid w:val="00547C0D"/>
    <w:rsid w:val="005509E2"/>
    <w:rsid w:val="00551737"/>
    <w:rsid w:val="00551EEF"/>
    <w:rsid w:val="00552084"/>
    <w:rsid w:val="00552AC0"/>
    <w:rsid w:val="0055306C"/>
    <w:rsid w:val="00553DAD"/>
    <w:rsid w:val="00554E3C"/>
    <w:rsid w:val="005552E6"/>
    <w:rsid w:val="0055588D"/>
    <w:rsid w:val="005565B5"/>
    <w:rsid w:val="00557CFD"/>
    <w:rsid w:val="00557E1B"/>
    <w:rsid w:val="00561D45"/>
    <w:rsid w:val="00562961"/>
    <w:rsid w:val="00562AA3"/>
    <w:rsid w:val="00564171"/>
    <w:rsid w:val="00564373"/>
    <w:rsid w:val="0056463A"/>
    <w:rsid w:val="00566D7A"/>
    <w:rsid w:val="0056759A"/>
    <w:rsid w:val="00567DAC"/>
    <w:rsid w:val="005708B7"/>
    <w:rsid w:val="0057184E"/>
    <w:rsid w:val="00571B93"/>
    <w:rsid w:val="00571E2A"/>
    <w:rsid w:val="00572BEE"/>
    <w:rsid w:val="00574020"/>
    <w:rsid w:val="005741F7"/>
    <w:rsid w:val="005744A3"/>
    <w:rsid w:val="005749B6"/>
    <w:rsid w:val="0057517D"/>
    <w:rsid w:val="00575403"/>
    <w:rsid w:val="00577AA3"/>
    <w:rsid w:val="00581688"/>
    <w:rsid w:val="0058258E"/>
    <w:rsid w:val="0058263E"/>
    <w:rsid w:val="00582DAB"/>
    <w:rsid w:val="00583264"/>
    <w:rsid w:val="00583B5A"/>
    <w:rsid w:val="00584D4C"/>
    <w:rsid w:val="00584F8C"/>
    <w:rsid w:val="0058512E"/>
    <w:rsid w:val="00585A64"/>
    <w:rsid w:val="00585B54"/>
    <w:rsid w:val="00585CA5"/>
    <w:rsid w:val="00586A21"/>
    <w:rsid w:val="00587C36"/>
    <w:rsid w:val="00587D43"/>
    <w:rsid w:val="0059095F"/>
    <w:rsid w:val="00591589"/>
    <w:rsid w:val="00593083"/>
    <w:rsid w:val="00596A84"/>
    <w:rsid w:val="00597F8B"/>
    <w:rsid w:val="005A00B3"/>
    <w:rsid w:val="005A12A2"/>
    <w:rsid w:val="005A1DAD"/>
    <w:rsid w:val="005A29EF"/>
    <w:rsid w:val="005A2FE4"/>
    <w:rsid w:val="005A3BBC"/>
    <w:rsid w:val="005A46D0"/>
    <w:rsid w:val="005A5510"/>
    <w:rsid w:val="005A6DD8"/>
    <w:rsid w:val="005A756A"/>
    <w:rsid w:val="005A75A5"/>
    <w:rsid w:val="005A769F"/>
    <w:rsid w:val="005A796D"/>
    <w:rsid w:val="005B0436"/>
    <w:rsid w:val="005B18CB"/>
    <w:rsid w:val="005B29BA"/>
    <w:rsid w:val="005B376A"/>
    <w:rsid w:val="005B38AF"/>
    <w:rsid w:val="005B5E46"/>
    <w:rsid w:val="005B6E96"/>
    <w:rsid w:val="005B7245"/>
    <w:rsid w:val="005C0379"/>
    <w:rsid w:val="005C0BA9"/>
    <w:rsid w:val="005C0CEA"/>
    <w:rsid w:val="005C12B1"/>
    <w:rsid w:val="005C191F"/>
    <w:rsid w:val="005C35BD"/>
    <w:rsid w:val="005C3ECE"/>
    <w:rsid w:val="005C73E4"/>
    <w:rsid w:val="005D2D33"/>
    <w:rsid w:val="005D3A6E"/>
    <w:rsid w:val="005D47B3"/>
    <w:rsid w:val="005D4810"/>
    <w:rsid w:val="005D4EC1"/>
    <w:rsid w:val="005D5680"/>
    <w:rsid w:val="005D6F4D"/>
    <w:rsid w:val="005E15BA"/>
    <w:rsid w:val="005E21F1"/>
    <w:rsid w:val="005E2E7D"/>
    <w:rsid w:val="005E3F07"/>
    <w:rsid w:val="005E548C"/>
    <w:rsid w:val="005E7AEA"/>
    <w:rsid w:val="005E7B30"/>
    <w:rsid w:val="005F0F4B"/>
    <w:rsid w:val="005F5D7E"/>
    <w:rsid w:val="005F66CB"/>
    <w:rsid w:val="00600161"/>
    <w:rsid w:val="00601BDC"/>
    <w:rsid w:val="00601E1B"/>
    <w:rsid w:val="00602ADB"/>
    <w:rsid w:val="00603E5B"/>
    <w:rsid w:val="006042BB"/>
    <w:rsid w:val="00604878"/>
    <w:rsid w:val="006057D0"/>
    <w:rsid w:val="006072F8"/>
    <w:rsid w:val="0060732C"/>
    <w:rsid w:val="006108D5"/>
    <w:rsid w:val="00610B96"/>
    <w:rsid w:val="00612246"/>
    <w:rsid w:val="006152B5"/>
    <w:rsid w:val="00615692"/>
    <w:rsid w:val="00615703"/>
    <w:rsid w:val="00615BCD"/>
    <w:rsid w:val="00617513"/>
    <w:rsid w:val="00620484"/>
    <w:rsid w:val="00622E88"/>
    <w:rsid w:val="00623183"/>
    <w:rsid w:val="0062395D"/>
    <w:rsid w:val="00624573"/>
    <w:rsid w:val="006268A1"/>
    <w:rsid w:val="00626ADD"/>
    <w:rsid w:val="00626DE0"/>
    <w:rsid w:val="00626F74"/>
    <w:rsid w:val="00630A6B"/>
    <w:rsid w:val="00634896"/>
    <w:rsid w:val="00634D10"/>
    <w:rsid w:val="00637ADC"/>
    <w:rsid w:val="0064323F"/>
    <w:rsid w:val="006436C9"/>
    <w:rsid w:val="006453A0"/>
    <w:rsid w:val="00645845"/>
    <w:rsid w:val="006464E3"/>
    <w:rsid w:val="006468BE"/>
    <w:rsid w:val="006532AF"/>
    <w:rsid w:val="00653948"/>
    <w:rsid w:val="00653A4D"/>
    <w:rsid w:val="00654C94"/>
    <w:rsid w:val="00656435"/>
    <w:rsid w:val="0065645F"/>
    <w:rsid w:val="00656C0D"/>
    <w:rsid w:val="00656C74"/>
    <w:rsid w:val="00657718"/>
    <w:rsid w:val="00660BBB"/>
    <w:rsid w:val="006615E0"/>
    <w:rsid w:val="006634B6"/>
    <w:rsid w:val="00664644"/>
    <w:rsid w:val="00664836"/>
    <w:rsid w:val="006651EA"/>
    <w:rsid w:val="0067051E"/>
    <w:rsid w:val="00670558"/>
    <w:rsid w:val="00671228"/>
    <w:rsid w:val="00671FDF"/>
    <w:rsid w:val="00673439"/>
    <w:rsid w:val="00673900"/>
    <w:rsid w:val="006741F7"/>
    <w:rsid w:val="006749F3"/>
    <w:rsid w:val="00674D6B"/>
    <w:rsid w:val="00674EFD"/>
    <w:rsid w:val="0067543E"/>
    <w:rsid w:val="006757BA"/>
    <w:rsid w:val="00675E3C"/>
    <w:rsid w:val="00677085"/>
    <w:rsid w:val="00680234"/>
    <w:rsid w:val="006807DE"/>
    <w:rsid w:val="00680AD3"/>
    <w:rsid w:val="00680FFC"/>
    <w:rsid w:val="006812B6"/>
    <w:rsid w:val="00681ED3"/>
    <w:rsid w:val="006846D8"/>
    <w:rsid w:val="0068518B"/>
    <w:rsid w:val="00685705"/>
    <w:rsid w:val="00685A38"/>
    <w:rsid w:val="0068633D"/>
    <w:rsid w:val="00694297"/>
    <w:rsid w:val="00695253"/>
    <w:rsid w:val="006953DF"/>
    <w:rsid w:val="0069570F"/>
    <w:rsid w:val="00697625"/>
    <w:rsid w:val="00697A1E"/>
    <w:rsid w:val="00697A7A"/>
    <w:rsid w:val="006A0EDC"/>
    <w:rsid w:val="006A135B"/>
    <w:rsid w:val="006A19BE"/>
    <w:rsid w:val="006A1D37"/>
    <w:rsid w:val="006A2999"/>
    <w:rsid w:val="006A3699"/>
    <w:rsid w:val="006A520E"/>
    <w:rsid w:val="006A5DC3"/>
    <w:rsid w:val="006A621D"/>
    <w:rsid w:val="006A6696"/>
    <w:rsid w:val="006A7072"/>
    <w:rsid w:val="006A768A"/>
    <w:rsid w:val="006A7898"/>
    <w:rsid w:val="006B1F6A"/>
    <w:rsid w:val="006B2CDB"/>
    <w:rsid w:val="006B2D22"/>
    <w:rsid w:val="006B4710"/>
    <w:rsid w:val="006B5C9D"/>
    <w:rsid w:val="006B5F07"/>
    <w:rsid w:val="006B611B"/>
    <w:rsid w:val="006B79ED"/>
    <w:rsid w:val="006C095F"/>
    <w:rsid w:val="006C1D99"/>
    <w:rsid w:val="006C1E14"/>
    <w:rsid w:val="006C1F48"/>
    <w:rsid w:val="006C2335"/>
    <w:rsid w:val="006C2D83"/>
    <w:rsid w:val="006C40BB"/>
    <w:rsid w:val="006C40D2"/>
    <w:rsid w:val="006C41C4"/>
    <w:rsid w:val="006C465B"/>
    <w:rsid w:val="006C4B8F"/>
    <w:rsid w:val="006C5436"/>
    <w:rsid w:val="006C5A59"/>
    <w:rsid w:val="006C66F6"/>
    <w:rsid w:val="006C7CE3"/>
    <w:rsid w:val="006D0E50"/>
    <w:rsid w:val="006D30AB"/>
    <w:rsid w:val="006D6654"/>
    <w:rsid w:val="006D6DEC"/>
    <w:rsid w:val="006E0E73"/>
    <w:rsid w:val="006E1BA8"/>
    <w:rsid w:val="006E3A98"/>
    <w:rsid w:val="006E465D"/>
    <w:rsid w:val="006E504F"/>
    <w:rsid w:val="006E59DA"/>
    <w:rsid w:val="006E76C8"/>
    <w:rsid w:val="006F2FE8"/>
    <w:rsid w:val="006F3628"/>
    <w:rsid w:val="006F3D66"/>
    <w:rsid w:val="006F45F4"/>
    <w:rsid w:val="006F4F0D"/>
    <w:rsid w:val="006F580F"/>
    <w:rsid w:val="006F74C9"/>
    <w:rsid w:val="007001C2"/>
    <w:rsid w:val="00700D62"/>
    <w:rsid w:val="00701808"/>
    <w:rsid w:val="00701D18"/>
    <w:rsid w:val="007044B8"/>
    <w:rsid w:val="00704877"/>
    <w:rsid w:val="00706809"/>
    <w:rsid w:val="007070E8"/>
    <w:rsid w:val="00710D04"/>
    <w:rsid w:val="0071173E"/>
    <w:rsid w:val="00711929"/>
    <w:rsid w:val="00711BDE"/>
    <w:rsid w:val="0071205D"/>
    <w:rsid w:val="00714616"/>
    <w:rsid w:val="007153D8"/>
    <w:rsid w:val="00717703"/>
    <w:rsid w:val="00717AC6"/>
    <w:rsid w:val="00717C59"/>
    <w:rsid w:val="00717E25"/>
    <w:rsid w:val="007200A1"/>
    <w:rsid w:val="00720EE1"/>
    <w:rsid w:val="00721824"/>
    <w:rsid w:val="00721D94"/>
    <w:rsid w:val="0072291C"/>
    <w:rsid w:val="00723AC9"/>
    <w:rsid w:val="00724184"/>
    <w:rsid w:val="00724FC3"/>
    <w:rsid w:val="0072542E"/>
    <w:rsid w:val="00725A14"/>
    <w:rsid w:val="00725BA1"/>
    <w:rsid w:val="00725C03"/>
    <w:rsid w:val="007266A4"/>
    <w:rsid w:val="007268AE"/>
    <w:rsid w:val="00727733"/>
    <w:rsid w:val="00731E06"/>
    <w:rsid w:val="00733098"/>
    <w:rsid w:val="00735067"/>
    <w:rsid w:val="00735690"/>
    <w:rsid w:val="007405BD"/>
    <w:rsid w:val="0074065A"/>
    <w:rsid w:val="007418BD"/>
    <w:rsid w:val="007418DD"/>
    <w:rsid w:val="00742073"/>
    <w:rsid w:val="007438BB"/>
    <w:rsid w:val="007439CB"/>
    <w:rsid w:val="0074472C"/>
    <w:rsid w:val="007457FD"/>
    <w:rsid w:val="007461C9"/>
    <w:rsid w:val="0074662A"/>
    <w:rsid w:val="0074673E"/>
    <w:rsid w:val="00746A2E"/>
    <w:rsid w:val="00746B88"/>
    <w:rsid w:val="00751074"/>
    <w:rsid w:val="0075204F"/>
    <w:rsid w:val="00753614"/>
    <w:rsid w:val="007539EB"/>
    <w:rsid w:val="00753CB2"/>
    <w:rsid w:val="00755446"/>
    <w:rsid w:val="0075655D"/>
    <w:rsid w:val="00756723"/>
    <w:rsid w:val="00756EE8"/>
    <w:rsid w:val="00757D67"/>
    <w:rsid w:val="007608CF"/>
    <w:rsid w:val="00761469"/>
    <w:rsid w:val="007617AB"/>
    <w:rsid w:val="00761D59"/>
    <w:rsid w:val="00761E3D"/>
    <w:rsid w:val="00762A00"/>
    <w:rsid w:val="00763F41"/>
    <w:rsid w:val="00764279"/>
    <w:rsid w:val="007645CE"/>
    <w:rsid w:val="007718D9"/>
    <w:rsid w:val="00771C55"/>
    <w:rsid w:val="007727DC"/>
    <w:rsid w:val="00772924"/>
    <w:rsid w:val="007740E7"/>
    <w:rsid w:val="007742F2"/>
    <w:rsid w:val="0077509A"/>
    <w:rsid w:val="00775258"/>
    <w:rsid w:val="007760E4"/>
    <w:rsid w:val="00777707"/>
    <w:rsid w:val="00777E42"/>
    <w:rsid w:val="00780362"/>
    <w:rsid w:val="007804C2"/>
    <w:rsid w:val="007822F8"/>
    <w:rsid w:val="00782692"/>
    <w:rsid w:val="00782E4C"/>
    <w:rsid w:val="00783A74"/>
    <w:rsid w:val="00783ED4"/>
    <w:rsid w:val="007862DD"/>
    <w:rsid w:val="00786863"/>
    <w:rsid w:val="007879B7"/>
    <w:rsid w:val="007904D3"/>
    <w:rsid w:val="00790EF3"/>
    <w:rsid w:val="00791C31"/>
    <w:rsid w:val="00793378"/>
    <w:rsid w:val="00793B2F"/>
    <w:rsid w:val="0079540A"/>
    <w:rsid w:val="00796AA5"/>
    <w:rsid w:val="00797AC5"/>
    <w:rsid w:val="007A0590"/>
    <w:rsid w:val="007A1353"/>
    <w:rsid w:val="007A1D36"/>
    <w:rsid w:val="007A2739"/>
    <w:rsid w:val="007A446C"/>
    <w:rsid w:val="007A479A"/>
    <w:rsid w:val="007A699A"/>
    <w:rsid w:val="007A7280"/>
    <w:rsid w:val="007A7600"/>
    <w:rsid w:val="007A77D5"/>
    <w:rsid w:val="007A7B59"/>
    <w:rsid w:val="007B0591"/>
    <w:rsid w:val="007B070B"/>
    <w:rsid w:val="007B1390"/>
    <w:rsid w:val="007B1597"/>
    <w:rsid w:val="007B16B9"/>
    <w:rsid w:val="007B1C08"/>
    <w:rsid w:val="007B1CF4"/>
    <w:rsid w:val="007B21B3"/>
    <w:rsid w:val="007B3869"/>
    <w:rsid w:val="007B5297"/>
    <w:rsid w:val="007B5E1E"/>
    <w:rsid w:val="007B6240"/>
    <w:rsid w:val="007B6AF6"/>
    <w:rsid w:val="007C100C"/>
    <w:rsid w:val="007C1342"/>
    <w:rsid w:val="007C3517"/>
    <w:rsid w:val="007C40C9"/>
    <w:rsid w:val="007C5870"/>
    <w:rsid w:val="007C6B82"/>
    <w:rsid w:val="007C6CA1"/>
    <w:rsid w:val="007C7D44"/>
    <w:rsid w:val="007D1565"/>
    <w:rsid w:val="007D19D5"/>
    <w:rsid w:val="007D353E"/>
    <w:rsid w:val="007D5307"/>
    <w:rsid w:val="007D642B"/>
    <w:rsid w:val="007D6827"/>
    <w:rsid w:val="007D6A3D"/>
    <w:rsid w:val="007D6E9F"/>
    <w:rsid w:val="007D75A3"/>
    <w:rsid w:val="007D7750"/>
    <w:rsid w:val="007D7CC1"/>
    <w:rsid w:val="007E115D"/>
    <w:rsid w:val="007E195E"/>
    <w:rsid w:val="007E2EC9"/>
    <w:rsid w:val="007E45BC"/>
    <w:rsid w:val="007E7C3A"/>
    <w:rsid w:val="007F0B8F"/>
    <w:rsid w:val="007F0CDB"/>
    <w:rsid w:val="007F0FEE"/>
    <w:rsid w:val="007F16BE"/>
    <w:rsid w:val="007F2CB0"/>
    <w:rsid w:val="007F4D77"/>
    <w:rsid w:val="007F602C"/>
    <w:rsid w:val="007F625C"/>
    <w:rsid w:val="007F68FA"/>
    <w:rsid w:val="00800AA5"/>
    <w:rsid w:val="008017C1"/>
    <w:rsid w:val="008019A2"/>
    <w:rsid w:val="008025AA"/>
    <w:rsid w:val="00802AA3"/>
    <w:rsid w:val="00803D69"/>
    <w:rsid w:val="00803F30"/>
    <w:rsid w:val="00803F4D"/>
    <w:rsid w:val="00804B2B"/>
    <w:rsid w:val="00804BB8"/>
    <w:rsid w:val="00805D51"/>
    <w:rsid w:val="00806ED0"/>
    <w:rsid w:val="008072C4"/>
    <w:rsid w:val="00807816"/>
    <w:rsid w:val="008102F1"/>
    <w:rsid w:val="00810845"/>
    <w:rsid w:val="00811A4E"/>
    <w:rsid w:val="00811B14"/>
    <w:rsid w:val="00812C6B"/>
    <w:rsid w:val="0081302E"/>
    <w:rsid w:val="00813B68"/>
    <w:rsid w:val="008152F4"/>
    <w:rsid w:val="00815D46"/>
    <w:rsid w:val="0082132C"/>
    <w:rsid w:val="00822ADF"/>
    <w:rsid w:val="00824EBF"/>
    <w:rsid w:val="00825763"/>
    <w:rsid w:val="00830C08"/>
    <w:rsid w:val="00832103"/>
    <w:rsid w:val="008346D4"/>
    <w:rsid w:val="00835EAA"/>
    <w:rsid w:val="008360AA"/>
    <w:rsid w:val="0083752C"/>
    <w:rsid w:val="00841390"/>
    <w:rsid w:val="00841609"/>
    <w:rsid w:val="008427BE"/>
    <w:rsid w:val="00842E23"/>
    <w:rsid w:val="00843DD3"/>
    <w:rsid w:val="00846315"/>
    <w:rsid w:val="00847A35"/>
    <w:rsid w:val="00847E3C"/>
    <w:rsid w:val="0085009F"/>
    <w:rsid w:val="008502E3"/>
    <w:rsid w:val="008513E1"/>
    <w:rsid w:val="00852177"/>
    <w:rsid w:val="00852490"/>
    <w:rsid w:val="00853388"/>
    <w:rsid w:val="00853941"/>
    <w:rsid w:val="008540F4"/>
    <w:rsid w:val="0085435A"/>
    <w:rsid w:val="0085436C"/>
    <w:rsid w:val="0085479A"/>
    <w:rsid w:val="00855726"/>
    <w:rsid w:val="008571DA"/>
    <w:rsid w:val="00857F81"/>
    <w:rsid w:val="008608B9"/>
    <w:rsid w:val="00861E2A"/>
    <w:rsid w:val="0086270A"/>
    <w:rsid w:val="008649AA"/>
    <w:rsid w:val="008657A8"/>
    <w:rsid w:val="008662E0"/>
    <w:rsid w:val="008670EB"/>
    <w:rsid w:val="00867B45"/>
    <w:rsid w:val="008701D6"/>
    <w:rsid w:val="00870C16"/>
    <w:rsid w:val="00872B85"/>
    <w:rsid w:val="00873D11"/>
    <w:rsid w:val="00874E64"/>
    <w:rsid w:val="008772D8"/>
    <w:rsid w:val="0087734D"/>
    <w:rsid w:val="00877A42"/>
    <w:rsid w:val="00880451"/>
    <w:rsid w:val="008828FA"/>
    <w:rsid w:val="00883ECC"/>
    <w:rsid w:val="008850BA"/>
    <w:rsid w:val="00885DBC"/>
    <w:rsid w:val="00886656"/>
    <w:rsid w:val="008868B6"/>
    <w:rsid w:val="00886F05"/>
    <w:rsid w:val="0088726B"/>
    <w:rsid w:val="00887B47"/>
    <w:rsid w:val="00890AC6"/>
    <w:rsid w:val="00890BBB"/>
    <w:rsid w:val="00890C90"/>
    <w:rsid w:val="00890FDA"/>
    <w:rsid w:val="00891D2C"/>
    <w:rsid w:val="008935BC"/>
    <w:rsid w:val="00893C10"/>
    <w:rsid w:val="00893CD8"/>
    <w:rsid w:val="00894DED"/>
    <w:rsid w:val="00895BD6"/>
    <w:rsid w:val="00895CDD"/>
    <w:rsid w:val="008A004B"/>
    <w:rsid w:val="008A19E4"/>
    <w:rsid w:val="008A25C5"/>
    <w:rsid w:val="008A3234"/>
    <w:rsid w:val="008A4655"/>
    <w:rsid w:val="008A4B33"/>
    <w:rsid w:val="008A4CCA"/>
    <w:rsid w:val="008A5BE8"/>
    <w:rsid w:val="008A6556"/>
    <w:rsid w:val="008A6672"/>
    <w:rsid w:val="008A6EB3"/>
    <w:rsid w:val="008A7342"/>
    <w:rsid w:val="008A7D31"/>
    <w:rsid w:val="008A7EC1"/>
    <w:rsid w:val="008B05E0"/>
    <w:rsid w:val="008B272F"/>
    <w:rsid w:val="008B3CE2"/>
    <w:rsid w:val="008B3F10"/>
    <w:rsid w:val="008B45F0"/>
    <w:rsid w:val="008B4C41"/>
    <w:rsid w:val="008B5A51"/>
    <w:rsid w:val="008B5DD4"/>
    <w:rsid w:val="008B5DD5"/>
    <w:rsid w:val="008B6DCB"/>
    <w:rsid w:val="008B7144"/>
    <w:rsid w:val="008C04D4"/>
    <w:rsid w:val="008C1894"/>
    <w:rsid w:val="008C6033"/>
    <w:rsid w:val="008D0A4B"/>
    <w:rsid w:val="008D1071"/>
    <w:rsid w:val="008D11A5"/>
    <w:rsid w:val="008D1A13"/>
    <w:rsid w:val="008D210C"/>
    <w:rsid w:val="008D31E5"/>
    <w:rsid w:val="008D4A0B"/>
    <w:rsid w:val="008D4AFE"/>
    <w:rsid w:val="008D5DEB"/>
    <w:rsid w:val="008D6B33"/>
    <w:rsid w:val="008D7835"/>
    <w:rsid w:val="008E0064"/>
    <w:rsid w:val="008E0448"/>
    <w:rsid w:val="008E0818"/>
    <w:rsid w:val="008E12A4"/>
    <w:rsid w:val="008E2413"/>
    <w:rsid w:val="008E2D08"/>
    <w:rsid w:val="008E3227"/>
    <w:rsid w:val="008E38E2"/>
    <w:rsid w:val="008E4876"/>
    <w:rsid w:val="008E51D1"/>
    <w:rsid w:val="008F39E4"/>
    <w:rsid w:val="008F4224"/>
    <w:rsid w:val="008F6A8A"/>
    <w:rsid w:val="008F7C44"/>
    <w:rsid w:val="009012C8"/>
    <w:rsid w:val="009015F6"/>
    <w:rsid w:val="0090539D"/>
    <w:rsid w:val="00906786"/>
    <w:rsid w:val="00910F20"/>
    <w:rsid w:val="00911704"/>
    <w:rsid w:val="0091363E"/>
    <w:rsid w:val="00914016"/>
    <w:rsid w:val="0091660C"/>
    <w:rsid w:val="0092108B"/>
    <w:rsid w:val="009211B2"/>
    <w:rsid w:val="00921A5C"/>
    <w:rsid w:val="00922315"/>
    <w:rsid w:val="00923218"/>
    <w:rsid w:val="00923F57"/>
    <w:rsid w:val="00924180"/>
    <w:rsid w:val="009245FC"/>
    <w:rsid w:val="00925375"/>
    <w:rsid w:val="00925887"/>
    <w:rsid w:val="00927312"/>
    <w:rsid w:val="009330A4"/>
    <w:rsid w:val="009340B8"/>
    <w:rsid w:val="00934534"/>
    <w:rsid w:val="00934732"/>
    <w:rsid w:val="00934E35"/>
    <w:rsid w:val="009373EB"/>
    <w:rsid w:val="0094209E"/>
    <w:rsid w:val="00942C94"/>
    <w:rsid w:val="00944548"/>
    <w:rsid w:val="00945CD8"/>
    <w:rsid w:val="00946731"/>
    <w:rsid w:val="009471E0"/>
    <w:rsid w:val="00950140"/>
    <w:rsid w:val="009513E7"/>
    <w:rsid w:val="00951517"/>
    <w:rsid w:val="00951775"/>
    <w:rsid w:val="00951E68"/>
    <w:rsid w:val="0095200B"/>
    <w:rsid w:val="00953D9C"/>
    <w:rsid w:val="009544E5"/>
    <w:rsid w:val="009549EF"/>
    <w:rsid w:val="009558C2"/>
    <w:rsid w:val="00955B49"/>
    <w:rsid w:val="00955DBA"/>
    <w:rsid w:val="009560FD"/>
    <w:rsid w:val="009561AF"/>
    <w:rsid w:val="00960639"/>
    <w:rsid w:val="00960DAB"/>
    <w:rsid w:val="00961EDE"/>
    <w:rsid w:val="009626CF"/>
    <w:rsid w:val="00962AC0"/>
    <w:rsid w:val="0097231C"/>
    <w:rsid w:val="00972519"/>
    <w:rsid w:val="00972835"/>
    <w:rsid w:val="00973169"/>
    <w:rsid w:val="0097364E"/>
    <w:rsid w:val="009736C5"/>
    <w:rsid w:val="00973991"/>
    <w:rsid w:val="00974260"/>
    <w:rsid w:val="00974598"/>
    <w:rsid w:val="00975072"/>
    <w:rsid w:val="009764EE"/>
    <w:rsid w:val="009775D6"/>
    <w:rsid w:val="009808AD"/>
    <w:rsid w:val="00980C18"/>
    <w:rsid w:val="00981CEE"/>
    <w:rsid w:val="009824BD"/>
    <w:rsid w:val="00982BA1"/>
    <w:rsid w:val="00983575"/>
    <w:rsid w:val="009849EF"/>
    <w:rsid w:val="00985176"/>
    <w:rsid w:val="00986703"/>
    <w:rsid w:val="00986D91"/>
    <w:rsid w:val="00990A46"/>
    <w:rsid w:val="009913A5"/>
    <w:rsid w:val="00991678"/>
    <w:rsid w:val="00992639"/>
    <w:rsid w:val="00993654"/>
    <w:rsid w:val="00994B6F"/>
    <w:rsid w:val="009958C4"/>
    <w:rsid w:val="00995D95"/>
    <w:rsid w:val="00997965"/>
    <w:rsid w:val="00997EA3"/>
    <w:rsid w:val="009A05F4"/>
    <w:rsid w:val="009A1197"/>
    <w:rsid w:val="009A15A3"/>
    <w:rsid w:val="009A22FE"/>
    <w:rsid w:val="009A2492"/>
    <w:rsid w:val="009A27D1"/>
    <w:rsid w:val="009A32AB"/>
    <w:rsid w:val="009A3F43"/>
    <w:rsid w:val="009A4237"/>
    <w:rsid w:val="009A4671"/>
    <w:rsid w:val="009A514D"/>
    <w:rsid w:val="009A55E9"/>
    <w:rsid w:val="009A666A"/>
    <w:rsid w:val="009A6B7D"/>
    <w:rsid w:val="009A6BA0"/>
    <w:rsid w:val="009A6F8A"/>
    <w:rsid w:val="009B0690"/>
    <w:rsid w:val="009B06F4"/>
    <w:rsid w:val="009B2AEB"/>
    <w:rsid w:val="009B2C80"/>
    <w:rsid w:val="009B427C"/>
    <w:rsid w:val="009B57EF"/>
    <w:rsid w:val="009B5858"/>
    <w:rsid w:val="009B5FC2"/>
    <w:rsid w:val="009B6F54"/>
    <w:rsid w:val="009C0917"/>
    <w:rsid w:val="009C282C"/>
    <w:rsid w:val="009C2FFD"/>
    <w:rsid w:val="009C3B97"/>
    <w:rsid w:val="009C3FEE"/>
    <w:rsid w:val="009C4D37"/>
    <w:rsid w:val="009C4D99"/>
    <w:rsid w:val="009C6E20"/>
    <w:rsid w:val="009C79B7"/>
    <w:rsid w:val="009D07C1"/>
    <w:rsid w:val="009D0C76"/>
    <w:rsid w:val="009D0E0C"/>
    <w:rsid w:val="009D1121"/>
    <w:rsid w:val="009D1440"/>
    <w:rsid w:val="009D1F58"/>
    <w:rsid w:val="009D5584"/>
    <w:rsid w:val="009D623A"/>
    <w:rsid w:val="009D6A23"/>
    <w:rsid w:val="009E26A3"/>
    <w:rsid w:val="009E34E0"/>
    <w:rsid w:val="009E4244"/>
    <w:rsid w:val="009E6222"/>
    <w:rsid w:val="009F020D"/>
    <w:rsid w:val="009F3B47"/>
    <w:rsid w:val="009F45E1"/>
    <w:rsid w:val="009F4A7F"/>
    <w:rsid w:val="009F4CC3"/>
    <w:rsid w:val="00A020A3"/>
    <w:rsid w:val="00A02D76"/>
    <w:rsid w:val="00A03E16"/>
    <w:rsid w:val="00A050AF"/>
    <w:rsid w:val="00A05700"/>
    <w:rsid w:val="00A06DE8"/>
    <w:rsid w:val="00A06FF2"/>
    <w:rsid w:val="00A07105"/>
    <w:rsid w:val="00A07B99"/>
    <w:rsid w:val="00A07E93"/>
    <w:rsid w:val="00A1003F"/>
    <w:rsid w:val="00A104B5"/>
    <w:rsid w:val="00A10FA2"/>
    <w:rsid w:val="00A11377"/>
    <w:rsid w:val="00A114D8"/>
    <w:rsid w:val="00A117E8"/>
    <w:rsid w:val="00A11932"/>
    <w:rsid w:val="00A11A83"/>
    <w:rsid w:val="00A12983"/>
    <w:rsid w:val="00A12BFA"/>
    <w:rsid w:val="00A12F46"/>
    <w:rsid w:val="00A134B6"/>
    <w:rsid w:val="00A13737"/>
    <w:rsid w:val="00A139A6"/>
    <w:rsid w:val="00A13BF1"/>
    <w:rsid w:val="00A1596A"/>
    <w:rsid w:val="00A20282"/>
    <w:rsid w:val="00A21F13"/>
    <w:rsid w:val="00A22342"/>
    <w:rsid w:val="00A23E8C"/>
    <w:rsid w:val="00A24378"/>
    <w:rsid w:val="00A249BC"/>
    <w:rsid w:val="00A2509C"/>
    <w:rsid w:val="00A250B0"/>
    <w:rsid w:val="00A269BA"/>
    <w:rsid w:val="00A26AF6"/>
    <w:rsid w:val="00A26E06"/>
    <w:rsid w:val="00A27338"/>
    <w:rsid w:val="00A334D3"/>
    <w:rsid w:val="00A340DC"/>
    <w:rsid w:val="00A34463"/>
    <w:rsid w:val="00A34BF7"/>
    <w:rsid w:val="00A34D15"/>
    <w:rsid w:val="00A3583F"/>
    <w:rsid w:val="00A35BE1"/>
    <w:rsid w:val="00A36839"/>
    <w:rsid w:val="00A36B32"/>
    <w:rsid w:val="00A37FC0"/>
    <w:rsid w:val="00A407DB"/>
    <w:rsid w:val="00A40CCD"/>
    <w:rsid w:val="00A41417"/>
    <w:rsid w:val="00A42EB2"/>
    <w:rsid w:val="00A44F0B"/>
    <w:rsid w:val="00A4507F"/>
    <w:rsid w:val="00A45877"/>
    <w:rsid w:val="00A46D49"/>
    <w:rsid w:val="00A478CF"/>
    <w:rsid w:val="00A5059B"/>
    <w:rsid w:val="00A539BF"/>
    <w:rsid w:val="00A54D52"/>
    <w:rsid w:val="00A54E02"/>
    <w:rsid w:val="00A564AB"/>
    <w:rsid w:val="00A57619"/>
    <w:rsid w:val="00A57735"/>
    <w:rsid w:val="00A57EFA"/>
    <w:rsid w:val="00A60914"/>
    <w:rsid w:val="00A60E71"/>
    <w:rsid w:val="00A63045"/>
    <w:rsid w:val="00A63E8E"/>
    <w:rsid w:val="00A65558"/>
    <w:rsid w:val="00A65EB0"/>
    <w:rsid w:val="00A670D5"/>
    <w:rsid w:val="00A67664"/>
    <w:rsid w:val="00A67ADE"/>
    <w:rsid w:val="00A67EBC"/>
    <w:rsid w:val="00A70F16"/>
    <w:rsid w:val="00A72750"/>
    <w:rsid w:val="00A74BF3"/>
    <w:rsid w:val="00A7795C"/>
    <w:rsid w:val="00A81FF0"/>
    <w:rsid w:val="00A8302D"/>
    <w:rsid w:val="00A8408D"/>
    <w:rsid w:val="00A8471F"/>
    <w:rsid w:val="00A85218"/>
    <w:rsid w:val="00A858C1"/>
    <w:rsid w:val="00A901AC"/>
    <w:rsid w:val="00A910FA"/>
    <w:rsid w:val="00A921B3"/>
    <w:rsid w:val="00A92FAA"/>
    <w:rsid w:val="00A93A82"/>
    <w:rsid w:val="00A93FFA"/>
    <w:rsid w:val="00A94C6F"/>
    <w:rsid w:val="00A958A5"/>
    <w:rsid w:val="00A95C93"/>
    <w:rsid w:val="00A963F3"/>
    <w:rsid w:val="00A96438"/>
    <w:rsid w:val="00A97618"/>
    <w:rsid w:val="00A9794D"/>
    <w:rsid w:val="00AA232C"/>
    <w:rsid w:val="00AA26AA"/>
    <w:rsid w:val="00AA431E"/>
    <w:rsid w:val="00AA511A"/>
    <w:rsid w:val="00AA58FF"/>
    <w:rsid w:val="00AA5FE1"/>
    <w:rsid w:val="00AA61A1"/>
    <w:rsid w:val="00AA7100"/>
    <w:rsid w:val="00AB13AE"/>
    <w:rsid w:val="00AB2E6C"/>
    <w:rsid w:val="00AB33C3"/>
    <w:rsid w:val="00AB3523"/>
    <w:rsid w:val="00AB475F"/>
    <w:rsid w:val="00AB518C"/>
    <w:rsid w:val="00AB69B8"/>
    <w:rsid w:val="00AB7CE0"/>
    <w:rsid w:val="00AB7E8A"/>
    <w:rsid w:val="00AC0FA4"/>
    <w:rsid w:val="00AC1D8B"/>
    <w:rsid w:val="00AC3AC0"/>
    <w:rsid w:val="00AC589C"/>
    <w:rsid w:val="00AC661F"/>
    <w:rsid w:val="00AC6A21"/>
    <w:rsid w:val="00AC7295"/>
    <w:rsid w:val="00AC7F66"/>
    <w:rsid w:val="00AD124B"/>
    <w:rsid w:val="00AD1B2A"/>
    <w:rsid w:val="00AD1B43"/>
    <w:rsid w:val="00AD2630"/>
    <w:rsid w:val="00AD2F5A"/>
    <w:rsid w:val="00AD70A0"/>
    <w:rsid w:val="00AD7E77"/>
    <w:rsid w:val="00AD7FFD"/>
    <w:rsid w:val="00AE072C"/>
    <w:rsid w:val="00AE0734"/>
    <w:rsid w:val="00AE1018"/>
    <w:rsid w:val="00AE2E50"/>
    <w:rsid w:val="00AE31AF"/>
    <w:rsid w:val="00AE58B8"/>
    <w:rsid w:val="00AE5948"/>
    <w:rsid w:val="00AF00C1"/>
    <w:rsid w:val="00AF0B91"/>
    <w:rsid w:val="00AF0B93"/>
    <w:rsid w:val="00AF0E09"/>
    <w:rsid w:val="00AF381F"/>
    <w:rsid w:val="00AF38BF"/>
    <w:rsid w:val="00AF522C"/>
    <w:rsid w:val="00AF5297"/>
    <w:rsid w:val="00AF584E"/>
    <w:rsid w:val="00AF6750"/>
    <w:rsid w:val="00AF6B87"/>
    <w:rsid w:val="00AF6D59"/>
    <w:rsid w:val="00B00230"/>
    <w:rsid w:val="00B00AF0"/>
    <w:rsid w:val="00B01FDC"/>
    <w:rsid w:val="00B02546"/>
    <w:rsid w:val="00B0400E"/>
    <w:rsid w:val="00B053D1"/>
    <w:rsid w:val="00B11306"/>
    <w:rsid w:val="00B11AE3"/>
    <w:rsid w:val="00B11FE9"/>
    <w:rsid w:val="00B12433"/>
    <w:rsid w:val="00B1287F"/>
    <w:rsid w:val="00B13C03"/>
    <w:rsid w:val="00B14B4F"/>
    <w:rsid w:val="00B14C46"/>
    <w:rsid w:val="00B14D75"/>
    <w:rsid w:val="00B15FA8"/>
    <w:rsid w:val="00B16067"/>
    <w:rsid w:val="00B16AD8"/>
    <w:rsid w:val="00B172A7"/>
    <w:rsid w:val="00B1743C"/>
    <w:rsid w:val="00B17516"/>
    <w:rsid w:val="00B20265"/>
    <w:rsid w:val="00B206A0"/>
    <w:rsid w:val="00B20E9B"/>
    <w:rsid w:val="00B215C5"/>
    <w:rsid w:val="00B220D1"/>
    <w:rsid w:val="00B22550"/>
    <w:rsid w:val="00B23830"/>
    <w:rsid w:val="00B24BA3"/>
    <w:rsid w:val="00B252DB"/>
    <w:rsid w:val="00B3008F"/>
    <w:rsid w:val="00B304CC"/>
    <w:rsid w:val="00B309E5"/>
    <w:rsid w:val="00B311AF"/>
    <w:rsid w:val="00B31322"/>
    <w:rsid w:val="00B32963"/>
    <w:rsid w:val="00B32B8F"/>
    <w:rsid w:val="00B338D0"/>
    <w:rsid w:val="00B34748"/>
    <w:rsid w:val="00B347CD"/>
    <w:rsid w:val="00B35D1E"/>
    <w:rsid w:val="00B364C5"/>
    <w:rsid w:val="00B3763B"/>
    <w:rsid w:val="00B37B56"/>
    <w:rsid w:val="00B37C5E"/>
    <w:rsid w:val="00B407FF"/>
    <w:rsid w:val="00B43532"/>
    <w:rsid w:val="00B44B34"/>
    <w:rsid w:val="00B4665F"/>
    <w:rsid w:val="00B46F06"/>
    <w:rsid w:val="00B52115"/>
    <w:rsid w:val="00B52806"/>
    <w:rsid w:val="00B543A3"/>
    <w:rsid w:val="00B566BD"/>
    <w:rsid w:val="00B57605"/>
    <w:rsid w:val="00B600F4"/>
    <w:rsid w:val="00B60F2F"/>
    <w:rsid w:val="00B61818"/>
    <w:rsid w:val="00B61F22"/>
    <w:rsid w:val="00B632B1"/>
    <w:rsid w:val="00B64656"/>
    <w:rsid w:val="00B64B16"/>
    <w:rsid w:val="00B65881"/>
    <w:rsid w:val="00B65B5E"/>
    <w:rsid w:val="00B67FF5"/>
    <w:rsid w:val="00B704E1"/>
    <w:rsid w:val="00B7098D"/>
    <w:rsid w:val="00B7138B"/>
    <w:rsid w:val="00B720BF"/>
    <w:rsid w:val="00B735A7"/>
    <w:rsid w:val="00B735D1"/>
    <w:rsid w:val="00B744C7"/>
    <w:rsid w:val="00B74B7B"/>
    <w:rsid w:val="00B76106"/>
    <w:rsid w:val="00B765D5"/>
    <w:rsid w:val="00B765DD"/>
    <w:rsid w:val="00B769C1"/>
    <w:rsid w:val="00B76B5E"/>
    <w:rsid w:val="00B77E0A"/>
    <w:rsid w:val="00B77F5D"/>
    <w:rsid w:val="00B806C9"/>
    <w:rsid w:val="00B81D85"/>
    <w:rsid w:val="00B81F66"/>
    <w:rsid w:val="00B8388E"/>
    <w:rsid w:val="00B85724"/>
    <w:rsid w:val="00B86867"/>
    <w:rsid w:val="00B86FCE"/>
    <w:rsid w:val="00B87F94"/>
    <w:rsid w:val="00B901EB"/>
    <w:rsid w:val="00B907CA"/>
    <w:rsid w:val="00B9208B"/>
    <w:rsid w:val="00B9221A"/>
    <w:rsid w:val="00B92C54"/>
    <w:rsid w:val="00B936C1"/>
    <w:rsid w:val="00B946B3"/>
    <w:rsid w:val="00B94B45"/>
    <w:rsid w:val="00B9502E"/>
    <w:rsid w:val="00B95527"/>
    <w:rsid w:val="00B9599F"/>
    <w:rsid w:val="00B96673"/>
    <w:rsid w:val="00B97999"/>
    <w:rsid w:val="00BA0936"/>
    <w:rsid w:val="00BA217D"/>
    <w:rsid w:val="00BA26EA"/>
    <w:rsid w:val="00BA3803"/>
    <w:rsid w:val="00BA3CD4"/>
    <w:rsid w:val="00BA4277"/>
    <w:rsid w:val="00BB61AA"/>
    <w:rsid w:val="00BB692C"/>
    <w:rsid w:val="00BC0A51"/>
    <w:rsid w:val="00BC0A55"/>
    <w:rsid w:val="00BC0B0C"/>
    <w:rsid w:val="00BC1696"/>
    <w:rsid w:val="00BC2D37"/>
    <w:rsid w:val="00BC2DBF"/>
    <w:rsid w:val="00BC30A8"/>
    <w:rsid w:val="00BC3B48"/>
    <w:rsid w:val="00BC3E38"/>
    <w:rsid w:val="00BC5473"/>
    <w:rsid w:val="00BC549F"/>
    <w:rsid w:val="00BC5B03"/>
    <w:rsid w:val="00BC7AFC"/>
    <w:rsid w:val="00BD00E8"/>
    <w:rsid w:val="00BD130F"/>
    <w:rsid w:val="00BD182B"/>
    <w:rsid w:val="00BD19E7"/>
    <w:rsid w:val="00BD1A2F"/>
    <w:rsid w:val="00BD2289"/>
    <w:rsid w:val="00BD2493"/>
    <w:rsid w:val="00BD3442"/>
    <w:rsid w:val="00BD43DE"/>
    <w:rsid w:val="00BD4FD4"/>
    <w:rsid w:val="00BD5575"/>
    <w:rsid w:val="00BD5969"/>
    <w:rsid w:val="00BD6ED6"/>
    <w:rsid w:val="00BE0A69"/>
    <w:rsid w:val="00BE1106"/>
    <w:rsid w:val="00BE2F1C"/>
    <w:rsid w:val="00BE3470"/>
    <w:rsid w:val="00BE348A"/>
    <w:rsid w:val="00BE487F"/>
    <w:rsid w:val="00BE6850"/>
    <w:rsid w:val="00BF1162"/>
    <w:rsid w:val="00BF5431"/>
    <w:rsid w:val="00BF5702"/>
    <w:rsid w:val="00BF6DD9"/>
    <w:rsid w:val="00C001DE"/>
    <w:rsid w:val="00C00309"/>
    <w:rsid w:val="00C00BCC"/>
    <w:rsid w:val="00C00F80"/>
    <w:rsid w:val="00C01552"/>
    <w:rsid w:val="00C0308C"/>
    <w:rsid w:val="00C0439B"/>
    <w:rsid w:val="00C04EC9"/>
    <w:rsid w:val="00C052E4"/>
    <w:rsid w:val="00C06E39"/>
    <w:rsid w:val="00C07541"/>
    <w:rsid w:val="00C12619"/>
    <w:rsid w:val="00C1338E"/>
    <w:rsid w:val="00C1519C"/>
    <w:rsid w:val="00C15742"/>
    <w:rsid w:val="00C16C62"/>
    <w:rsid w:val="00C20032"/>
    <w:rsid w:val="00C20121"/>
    <w:rsid w:val="00C21E98"/>
    <w:rsid w:val="00C22DC2"/>
    <w:rsid w:val="00C22EAA"/>
    <w:rsid w:val="00C23A19"/>
    <w:rsid w:val="00C23B0D"/>
    <w:rsid w:val="00C2496D"/>
    <w:rsid w:val="00C250F5"/>
    <w:rsid w:val="00C26D09"/>
    <w:rsid w:val="00C30A43"/>
    <w:rsid w:val="00C3247F"/>
    <w:rsid w:val="00C324C4"/>
    <w:rsid w:val="00C3285C"/>
    <w:rsid w:val="00C3289D"/>
    <w:rsid w:val="00C332C5"/>
    <w:rsid w:val="00C362C7"/>
    <w:rsid w:val="00C378A4"/>
    <w:rsid w:val="00C406FE"/>
    <w:rsid w:val="00C43A24"/>
    <w:rsid w:val="00C445B3"/>
    <w:rsid w:val="00C46637"/>
    <w:rsid w:val="00C47389"/>
    <w:rsid w:val="00C47569"/>
    <w:rsid w:val="00C50A40"/>
    <w:rsid w:val="00C524FD"/>
    <w:rsid w:val="00C533EC"/>
    <w:rsid w:val="00C53DA6"/>
    <w:rsid w:val="00C54861"/>
    <w:rsid w:val="00C5498D"/>
    <w:rsid w:val="00C564A2"/>
    <w:rsid w:val="00C577BF"/>
    <w:rsid w:val="00C57B3C"/>
    <w:rsid w:val="00C6036A"/>
    <w:rsid w:val="00C60A5B"/>
    <w:rsid w:val="00C60F14"/>
    <w:rsid w:val="00C61EEF"/>
    <w:rsid w:val="00C629EB"/>
    <w:rsid w:val="00C63F46"/>
    <w:rsid w:val="00C64375"/>
    <w:rsid w:val="00C64E69"/>
    <w:rsid w:val="00C65102"/>
    <w:rsid w:val="00C65198"/>
    <w:rsid w:val="00C653B6"/>
    <w:rsid w:val="00C65B17"/>
    <w:rsid w:val="00C66142"/>
    <w:rsid w:val="00C6635A"/>
    <w:rsid w:val="00C66693"/>
    <w:rsid w:val="00C6683B"/>
    <w:rsid w:val="00C67E7C"/>
    <w:rsid w:val="00C70069"/>
    <w:rsid w:val="00C7185C"/>
    <w:rsid w:val="00C74EAD"/>
    <w:rsid w:val="00C74F31"/>
    <w:rsid w:val="00C76EB7"/>
    <w:rsid w:val="00C77353"/>
    <w:rsid w:val="00C77854"/>
    <w:rsid w:val="00C82016"/>
    <w:rsid w:val="00C8212B"/>
    <w:rsid w:val="00C855E5"/>
    <w:rsid w:val="00C857A8"/>
    <w:rsid w:val="00C85BA0"/>
    <w:rsid w:val="00C87CEA"/>
    <w:rsid w:val="00C90067"/>
    <w:rsid w:val="00C90F61"/>
    <w:rsid w:val="00C9183F"/>
    <w:rsid w:val="00C92203"/>
    <w:rsid w:val="00C94759"/>
    <w:rsid w:val="00C94AC8"/>
    <w:rsid w:val="00C95E13"/>
    <w:rsid w:val="00C96C6F"/>
    <w:rsid w:val="00CA0D47"/>
    <w:rsid w:val="00CA0FAB"/>
    <w:rsid w:val="00CA1800"/>
    <w:rsid w:val="00CA18F7"/>
    <w:rsid w:val="00CA19E5"/>
    <w:rsid w:val="00CA24C1"/>
    <w:rsid w:val="00CA26C4"/>
    <w:rsid w:val="00CA29E3"/>
    <w:rsid w:val="00CA40E1"/>
    <w:rsid w:val="00CA4566"/>
    <w:rsid w:val="00CA483B"/>
    <w:rsid w:val="00CA4C96"/>
    <w:rsid w:val="00CA58FC"/>
    <w:rsid w:val="00CA6D51"/>
    <w:rsid w:val="00CA6EB7"/>
    <w:rsid w:val="00CA757A"/>
    <w:rsid w:val="00CB0075"/>
    <w:rsid w:val="00CB4CC7"/>
    <w:rsid w:val="00CB6A55"/>
    <w:rsid w:val="00CB7BB7"/>
    <w:rsid w:val="00CB7BCE"/>
    <w:rsid w:val="00CC2B0B"/>
    <w:rsid w:val="00CC2C50"/>
    <w:rsid w:val="00CC2C94"/>
    <w:rsid w:val="00CC2F60"/>
    <w:rsid w:val="00CC3983"/>
    <w:rsid w:val="00CC67A1"/>
    <w:rsid w:val="00CC78BD"/>
    <w:rsid w:val="00CD0EE9"/>
    <w:rsid w:val="00CD22E8"/>
    <w:rsid w:val="00CD3365"/>
    <w:rsid w:val="00CD44EF"/>
    <w:rsid w:val="00CD5BC4"/>
    <w:rsid w:val="00CD731A"/>
    <w:rsid w:val="00CE00C5"/>
    <w:rsid w:val="00CE0B2A"/>
    <w:rsid w:val="00CE2941"/>
    <w:rsid w:val="00CE294E"/>
    <w:rsid w:val="00CE4107"/>
    <w:rsid w:val="00CE61F1"/>
    <w:rsid w:val="00CE657B"/>
    <w:rsid w:val="00CE6B67"/>
    <w:rsid w:val="00CF0DE0"/>
    <w:rsid w:val="00CF11AD"/>
    <w:rsid w:val="00CF3E31"/>
    <w:rsid w:val="00CF4E88"/>
    <w:rsid w:val="00CF4E8D"/>
    <w:rsid w:val="00CF56A3"/>
    <w:rsid w:val="00CF6E08"/>
    <w:rsid w:val="00CF6F02"/>
    <w:rsid w:val="00D02681"/>
    <w:rsid w:val="00D04FD6"/>
    <w:rsid w:val="00D051C2"/>
    <w:rsid w:val="00D06276"/>
    <w:rsid w:val="00D07243"/>
    <w:rsid w:val="00D123BA"/>
    <w:rsid w:val="00D1278F"/>
    <w:rsid w:val="00D14DAA"/>
    <w:rsid w:val="00D1644D"/>
    <w:rsid w:val="00D165A4"/>
    <w:rsid w:val="00D16D23"/>
    <w:rsid w:val="00D16DDF"/>
    <w:rsid w:val="00D1783B"/>
    <w:rsid w:val="00D206AF"/>
    <w:rsid w:val="00D20CE4"/>
    <w:rsid w:val="00D21F8C"/>
    <w:rsid w:val="00D221AC"/>
    <w:rsid w:val="00D22ACA"/>
    <w:rsid w:val="00D26070"/>
    <w:rsid w:val="00D26399"/>
    <w:rsid w:val="00D26489"/>
    <w:rsid w:val="00D27353"/>
    <w:rsid w:val="00D30D0F"/>
    <w:rsid w:val="00D3177B"/>
    <w:rsid w:val="00D31D54"/>
    <w:rsid w:val="00D33F73"/>
    <w:rsid w:val="00D34E4F"/>
    <w:rsid w:val="00D35A5C"/>
    <w:rsid w:val="00D36E5E"/>
    <w:rsid w:val="00D36F8F"/>
    <w:rsid w:val="00D37AF5"/>
    <w:rsid w:val="00D40E0F"/>
    <w:rsid w:val="00D421B3"/>
    <w:rsid w:val="00D42CC9"/>
    <w:rsid w:val="00D42E35"/>
    <w:rsid w:val="00D4319C"/>
    <w:rsid w:val="00D446D6"/>
    <w:rsid w:val="00D47964"/>
    <w:rsid w:val="00D47CD9"/>
    <w:rsid w:val="00D50DDE"/>
    <w:rsid w:val="00D514D0"/>
    <w:rsid w:val="00D515BF"/>
    <w:rsid w:val="00D51B52"/>
    <w:rsid w:val="00D5212B"/>
    <w:rsid w:val="00D53BF3"/>
    <w:rsid w:val="00D53FD3"/>
    <w:rsid w:val="00D54716"/>
    <w:rsid w:val="00D567EB"/>
    <w:rsid w:val="00D60174"/>
    <w:rsid w:val="00D612F3"/>
    <w:rsid w:val="00D61548"/>
    <w:rsid w:val="00D624DF"/>
    <w:rsid w:val="00D634E7"/>
    <w:rsid w:val="00D6545D"/>
    <w:rsid w:val="00D662C0"/>
    <w:rsid w:val="00D70B66"/>
    <w:rsid w:val="00D70E44"/>
    <w:rsid w:val="00D70F97"/>
    <w:rsid w:val="00D72D4B"/>
    <w:rsid w:val="00D73A0B"/>
    <w:rsid w:val="00D758E9"/>
    <w:rsid w:val="00D762A4"/>
    <w:rsid w:val="00D762ED"/>
    <w:rsid w:val="00D800CA"/>
    <w:rsid w:val="00D80D20"/>
    <w:rsid w:val="00D81620"/>
    <w:rsid w:val="00D830A1"/>
    <w:rsid w:val="00D8340E"/>
    <w:rsid w:val="00D84752"/>
    <w:rsid w:val="00D84A5A"/>
    <w:rsid w:val="00D860AF"/>
    <w:rsid w:val="00D902CF"/>
    <w:rsid w:val="00D9040C"/>
    <w:rsid w:val="00D90D51"/>
    <w:rsid w:val="00D91806"/>
    <w:rsid w:val="00D91980"/>
    <w:rsid w:val="00D92E99"/>
    <w:rsid w:val="00D948E5"/>
    <w:rsid w:val="00D959CF"/>
    <w:rsid w:val="00D95D51"/>
    <w:rsid w:val="00D97CB7"/>
    <w:rsid w:val="00DA0273"/>
    <w:rsid w:val="00DA0812"/>
    <w:rsid w:val="00DA328F"/>
    <w:rsid w:val="00DA449E"/>
    <w:rsid w:val="00DA4A4F"/>
    <w:rsid w:val="00DA5983"/>
    <w:rsid w:val="00DA6556"/>
    <w:rsid w:val="00DA680B"/>
    <w:rsid w:val="00DB37DC"/>
    <w:rsid w:val="00DB4A79"/>
    <w:rsid w:val="00DB59D0"/>
    <w:rsid w:val="00DB7A14"/>
    <w:rsid w:val="00DB7ADD"/>
    <w:rsid w:val="00DC072B"/>
    <w:rsid w:val="00DC1D6A"/>
    <w:rsid w:val="00DC253B"/>
    <w:rsid w:val="00DC4F8B"/>
    <w:rsid w:val="00DC686D"/>
    <w:rsid w:val="00DC7659"/>
    <w:rsid w:val="00DC7C5F"/>
    <w:rsid w:val="00DD031B"/>
    <w:rsid w:val="00DD089C"/>
    <w:rsid w:val="00DD178F"/>
    <w:rsid w:val="00DD1ED5"/>
    <w:rsid w:val="00DD34A2"/>
    <w:rsid w:val="00DD3637"/>
    <w:rsid w:val="00DD3CDA"/>
    <w:rsid w:val="00DD535A"/>
    <w:rsid w:val="00DD67A7"/>
    <w:rsid w:val="00DD6D38"/>
    <w:rsid w:val="00DD6E3C"/>
    <w:rsid w:val="00DD7E7E"/>
    <w:rsid w:val="00DE19B8"/>
    <w:rsid w:val="00DE481C"/>
    <w:rsid w:val="00DE4C3C"/>
    <w:rsid w:val="00DE4CF6"/>
    <w:rsid w:val="00DE5AA5"/>
    <w:rsid w:val="00DE5EB8"/>
    <w:rsid w:val="00DE688E"/>
    <w:rsid w:val="00DE6A86"/>
    <w:rsid w:val="00DE78D2"/>
    <w:rsid w:val="00DF0255"/>
    <w:rsid w:val="00DF0F61"/>
    <w:rsid w:val="00DF1A76"/>
    <w:rsid w:val="00DF3479"/>
    <w:rsid w:val="00DF3E1E"/>
    <w:rsid w:val="00DF4358"/>
    <w:rsid w:val="00DF4E1A"/>
    <w:rsid w:val="00DF53C7"/>
    <w:rsid w:val="00DF53EA"/>
    <w:rsid w:val="00DF7400"/>
    <w:rsid w:val="00E000D7"/>
    <w:rsid w:val="00E04C64"/>
    <w:rsid w:val="00E04D56"/>
    <w:rsid w:val="00E060BD"/>
    <w:rsid w:val="00E06C02"/>
    <w:rsid w:val="00E07352"/>
    <w:rsid w:val="00E10365"/>
    <w:rsid w:val="00E11592"/>
    <w:rsid w:val="00E14B85"/>
    <w:rsid w:val="00E1586A"/>
    <w:rsid w:val="00E159F0"/>
    <w:rsid w:val="00E15E84"/>
    <w:rsid w:val="00E16351"/>
    <w:rsid w:val="00E21ABC"/>
    <w:rsid w:val="00E21F40"/>
    <w:rsid w:val="00E22186"/>
    <w:rsid w:val="00E246A0"/>
    <w:rsid w:val="00E24CB6"/>
    <w:rsid w:val="00E2735F"/>
    <w:rsid w:val="00E30181"/>
    <w:rsid w:val="00E306C5"/>
    <w:rsid w:val="00E32D1C"/>
    <w:rsid w:val="00E3345C"/>
    <w:rsid w:val="00E335F6"/>
    <w:rsid w:val="00E33C2F"/>
    <w:rsid w:val="00E33F8A"/>
    <w:rsid w:val="00E370E8"/>
    <w:rsid w:val="00E37512"/>
    <w:rsid w:val="00E37693"/>
    <w:rsid w:val="00E377EA"/>
    <w:rsid w:val="00E408CC"/>
    <w:rsid w:val="00E41463"/>
    <w:rsid w:val="00E42826"/>
    <w:rsid w:val="00E44C2C"/>
    <w:rsid w:val="00E4564A"/>
    <w:rsid w:val="00E46487"/>
    <w:rsid w:val="00E47285"/>
    <w:rsid w:val="00E47771"/>
    <w:rsid w:val="00E51A68"/>
    <w:rsid w:val="00E52DE6"/>
    <w:rsid w:val="00E52FC4"/>
    <w:rsid w:val="00E532C8"/>
    <w:rsid w:val="00E548EB"/>
    <w:rsid w:val="00E55A8D"/>
    <w:rsid w:val="00E6097D"/>
    <w:rsid w:val="00E6239F"/>
    <w:rsid w:val="00E6393B"/>
    <w:rsid w:val="00E64131"/>
    <w:rsid w:val="00E64609"/>
    <w:rsid w:val="00E648EF"/>
    <w:rsid w:val="00E6572E"/>
    <w:rsid w:val="00E65AA3"/>
    <w:rsid w:val="00E6755C"/>
    <w:rsid w:val="00E7257B"/>
    <w:rsid w:val="00E72C6C"/>
    <w:rsid w:val="00E72FAF"/>
    <w:rsid w:val="00E74001"/>
    <w:rsid w:val="00E74676"/>
    <w:rsid w:val="00E75C4C"/>
    <w:rsid w:val="00E801F3"/>
    <w:rsid w:val="00E80666"/>
    <w:rsid w:val="00E8070D"/>
    <w:rsid w:val="00E830EC"/>
    <w:rsid w:val="00E832D8"/>
    <w:rsid w:val="00E8348D"/>
    <w:rsid w:val="00E83955"/>
    <w:rsid w:val="00E83A56"/>
    <w:rsid w:val="00E84E4C"/>
    <w:rsid w:val="00E8500D"/>
    <w:rsid w:val="00E86F2F"/>
    <w:rsid w:val="00E8705D"/>
    <w:rsid w:val="00E90FEF"/>
    <w:rsid w:val="00E9105E"/>
    <w:rsid w:val="00E91DC7"/>
    <w:rsid w:val="00E9314B"/>
    <w:rsid w:val="00E95131"/>
    <w:rsid w:val="00E960B9"/>
    <w:rsid w:val="00E969F7"/>
    <w:rsid w:val="00E97A33"/>
    <w:rsid w:val="00EA0544"/>
    <w:rsid w:val="00EA12FC"/>
    <w:rsid w:val="00EA140D"/>
    <w:rsid w:val="00EA670A"/>
    <w:rsid w:val="00EA6C98"/>
    <w:rsid w:val="00EA6D69"/>
    <w:rsid w:val="00EA7143"/>
    <w:rsid w:val="00EA7ED6"/>
    <w:rsid w:val="00EA7F03"/>
    <w:rsid w:val="00EB0941"/>
    <w:rsid w:val="00EB0EE0"/>
    <w:rsid w:val="00EB1062"/>
    <w:rsid w:val="00EB1AC9"/>
    <w:rsid w:val="00EB2342"/>
    <w:rsid w:val="00EB26F0"/>
    <w:rsid w:val="00EB2BD0"/>
    <w:rsid w:val="00EB2FAF"/>
    <w:rsid w:val="00EB6F83"/>
    <w:rsid w:val="00EB7127"/>
    <w:rsid w:val="00EC068F"/>
    <w:rsid w:val="00EC0972"/>
    <w:rsid w:val="00EC140B"/>
    <w:rsid w:val="00EC44FB"/>
    <w:rsid w:val="00EC53F2"/>
    <w:rsid w:val="00EC6CA0"/>
    <w:rsid w:val="00EC6E8B"/>
    <w:rsid w:val="00ED0AF3"/>
    <w:rsid w:val="00ED0F36"/>
    <w:rsid w:val="00ED182A"/>
    <w:rsid w:val="00ED2323"/>
    <w:rsid w:val="00ED4080"/>
    <w:rsid w:val="00ED40D6"/>
    <w:rsid w:val="00ED4275"/>
    <w:rsid w:val="00ED4306"/>
    <w:rsid w:val="00ED43B5"/>
    <w:rsid w:val="00ED448F"/>
    <w:rsid w:val="00ED4745"/>
    <w:rsid w:val="00ED5533"/>
    <w:rsid w:val="00ED6597"/>
    <w:rsid w:val="00ED7D7E"/>
    <w:rsid w:val="00EE067B"/>
    <w:rsid w:val="00EE0C2F"/>
    <w:rsid w:val="00EE200B"/>
    <w:rsid w:val="00EE24DA"/>
    <w:rsid w:val="00EE3A5C"/>
    <w:rsid w:val="00EE4B94"/>
    <w:rsid w:val="00EE5689"/>
    <w:rsid w:val="00EE7BF6"/>
    <w:rsid w:val="00EF0311"/>
    <w:rsid w:val="00EF1968"/>
    <w:rsid w:val="00EF227E"/>
    <w:rsid w:val="00EF240C"/>
    <w:rsid w:val="00EF2532"/>
    <w:rsid w:val="00EF2E18"/>
    <w:rsid w:val="00EF2FEB"/>
    <w:rsid w:val="00EF38B9"/>
    <w:rsid w:val="00EF4066"/>
    <w:rsid w:val="00EF4B29"/>
    <w:rsid w:val="00EF530A"/>
    <w:rsid w:val="00EF6843"/>
    <w:rsid w:val="00EF71C6"/>
    <w:rsid w:val="00EF79FC"/>
    <w:rsid w:val="00F00840"/>
    <w:rsid w:val="00F025EB"/>
    <w:rsid w:val="00F02E2D"/>
    <w:rsid w:val="00F030D6"/>
    <w:rsid w:val="00F034D5"/>
    <w:rsid w:val="00F03F26"/>
    <w:rsid w:val="00F0423B"/>
    <w:rsid w:val="00F05E19"/>
    <w:rsid w:val="00F07D3C"/>
    <w:rsid w:val="00F07DD0"/>
    <w:rsid w:val="00F07DD5"/>
    <w:rsid w:val="00F07F68"/>
    <w:rsid w:val="00F10368"/>
    <w:rsid w:val="00F10C9E"/>
    <w:rsid w:val="00F10D63"/>
    <w:rsid w:val="00F118EF"/>
    <w:rsid w:val="00F12B60"/>
    <w:rsid w:val="00F13025"/>
    <w:rsid w:val="00F1356E"/>
    <w:rsid w:val="00F15515"/>
    <w:rsid w:val="00F15693"/>
    <w:rsid w:val="00F16B58"/>
    <w:rsid w:val="00F2103B"/>
    <w:rsid w:val="00F22708"/>
    <w:rsid w:val="00F230D9"/>
    <w:rsid w:val="00F24639"/>
    <w:rsid w:val="00F26A74"/>
    <w:rsid w:val="00F26DB7"/>
    <w:rsid w:val="00F31863"/>
    <w:rsid w:val="00F31E13"/>
    <w:rsid w:val="00F33145"/>
    <w:rsid w:val="00F33CAF"/>
    <w:rsid w:val="00F35EF7"/>
    <w:rsid w:val="00F35F57"/>
    <w:rsid w:val="00F40A80"/>
    <w:rsid w:val="00F42100"/>
    <w:rsid w:val="00F42449"/>
    <w:rsid w:val="00F45003"/>
    <w:rsid w:val="00F464A5"/>
    <w:rsid w:val="00F5160C"/>
    <w:rsid w:val="00F51A5C"/>
    <w:rsid w:val="00F528B5"/>
    <w:rsid w:val="00F5481A"/>
    <w:rsid w:val="00F54823"/>
    <w:rsid w:val="00F554F4"/>
    <w:rsid w:val="00F568A1"/>
    <w:rsid w:val="00F56DA1"/>
    <w:rsid w:val="00F57516"/>
    <w:rsid w:val="00F60B7D"/>
    <w:rsid w:val="00F61577"/>
    <w:rsid w:val="00F61C85"/>
    <w:rsid w:val="00F62699"/>
    <w:rsid w:val="00F63FD6"/>
    <w:rsid w:val="00F64195"/>
    <w:rsid w:val="00F64494"/>
    <w:rsid w:val="00F659B7"/>
    <w:rsid w:val="00F65C94"/>
    <w:rsid w:val="00F67E41"/>
    <w:rsid w:val="00F67EBD"/>
    <w:rsid w:val="00F70C90"/>
    <w:rsid w:val="00F70D23"/>
    <w:rsid w:val="00F70EA7"/>
    <w:rsid w:val="00F70F53"/>
    <w:rsid w:val="00F71F04"/>
    <w:rsid w:val="00F72110"/>
    <w:rsid w:val="00F72244"/>
    <w:rsid w:val="00F723CD"/>
    <w:rsid w:val="00F72986"/>
    <w:rsid w:val="00F74DF7"/>
    <w:rsid w:val="00F75BD3"/>
    <w:rsid w:val="00F75E46"/>
    <w:rsid w:val="00F76371"/>
    <w:rsid w:val="00F768B6"/>
    <w:rsid w:val="00F80060"/>
    <w:rsid w:val="00F800E1"/>
    <w:rsid w:val="00F80F3E"/>
    <w:rsid w:val="00F83332"/>
    <w:rsid w:val="00F83DAA"/>
    <w:rsid w:val="00F856C4"/>
    <w:rsid w:val="00F865FC"/>
    <w:rsid w:val="00F8716F"/>
    <w:rsid w:val="00F873EF"/>
    <w:rsid w:val="00F906E1"/>
    <w:rsid w:val="00F9199A"/>
    <w:rsid w:val="00F91D0A"/>
    <w:rsid w:val="00F92021"/>
    <w:rsid w:val="00F92616"/>
    <w:rsid w:val="00F92814"/>
    <w:rsid w:val="00F92996"/>
    <w:rsid w:val="00F93A96"/>
    <w:rsid w:val="00F94AA3"/>
    <w:rsid w:val="00F952F8"/>
    <w:rsid w:val="00F957C3"/>
    <w:rsid w:val="00F95BC5"/>
    <w:rsid w:val="00F97BD0"/>
    <w:rsid w:val="00FA06F3"/>
    <w:rsid w:val="00FA0A4E"/>
    <w:rsid w:val="00FA0C12"/>
    <w:rsid w:val="00FA1312"/>
    <w:rsid w:val="00FA2A46"/>
    <w:rsid w:val="00FA4F28"/>
    <w:rsid w:val="00FA60D2"/>
    <w:rsid w:val="00FA6428"/>
    <w:rsid w:val="00FA6974"/>
    <w:rsid w:val="00FA75CA"/>
    <w:rsid w:val="00FA78D8"/>
    <w:rsid w:val="00FA79E5"/>
    <w:rsid w:val="00FB036A"/>
    <w:rsid w:val="00FB1190"/>
    <w:rsid w:val="00FB12C8"/>
    <w:rsid w:val="00FB1E4F"/>
    <w:rsid w:val="00FB27DD"/>
    <w:rsid w:val="00FB335D"/>
    <w:rsid w:val="00FB33E1"/>
    <w:rsid w:val="00FB3456"/>
    <w:rsid w:val="00FB4354"/>
    <w:rsid w:val="00FB4565"/>
    <w:rsid w:val="00FB52C5"/>
    <w:rsid w:val="00FB6CBE"/>
    <w:rsid w:val="00FB7CE0"/>
    <w:rsid w:val="00FC029D"/>
    <w:rsid w:val="00FC131C"/>
    <w:rsid w:val="00FC1CC0"/>
    <w:rsid w:val="00FC3768"/>
    <w:rsid w:val="00FC3EBC"/>
    <w:rsid w:val="00FC3FB6"/>
    <w:rsid w:val="00FC49AE"/>
    <w:rsid w:val="00FC4D19"/>
    <w:rsid w:val="00FC4F62"/>
    <w:rsid w:val="00FC7A65"/>
    <w:rsid w:val="00FD0357"/>
    <w:rsid w:val="00FD3297"/>
    <w:rsid w:val="00FD32AD"/>
    <w:rsid w:val="00FD343E"/>
    <w:rsid w:val="00FD4A50"/>
    <w:rsid w:val="00FD524C"/>
    <w:rsid w:val="00FD69E8"/>
    <w:rsid w:val="00FE19D7"/>
    <w:rsid w:val="00FE26EC"/>
    <w:rsid w:val="00FE39B5"/>
    <w:rsid w:val="00FE68A4"/>
    <w:rsid w:val="00FF0820"/>
    <w:rsid w:val="00FF0908"/>
    <w:rsid w:val="00FF1185"/>
    <w:rsid w:val="00FF376D"/>
    <w:rsid w:val="00FF59A0"/>
    <w:rsid w:val="00FF6211"/>
    <w:rsid w:val="012A5692"/>
    <w:rsid w:val="01334976"/>
    <w:rsid w:val="01701AFF"/>
    <w:rsid w:val="017D7944"/>
    <w:rsid w:val="01900669"/>
    <w:rsid w:val="019127B6"/>
    <w:rsid w:val="01934196"/>
    <w:rsid w:val="019E4ED3"/>
    <w:rsid w:val="01F1268E"/>
    <w:rsid w:val="020769D9"/>
    <w:rsid w:val="021138F7"/>
    <w:rsid w:val="02237B4A"/>
    <w:rsid w:val="027A585A"/>
    <w:rsid w:val="028F0B41"/>
    <w:rsid w:val="02A4476B"/>
    <w:rsid w:val="02A55E35"/>
    <w:rsid w:val="02C439E2"/>
    <w:rsid w:val="02E5725D"/>
    <w:rsid w:val="02FA2DBD"/>
    <w:rsid w:val="02FA438B"/>
    <w:rsid w:val="02FA76D2"/>
    <w:rsid w:val="03015719"/>
    <w:rsid w:val="03062F84"/>
    <w:rsid w:val="03084CFA"/>
    <w:rsid w:val="031A5554"/>
    <w:rsid w:val="03231B33"/>
    <w:rsid w:val="033D5878"/>
    <w:rsid w:val="035B1CE5"/>
    <w:rsid w:val="037B3412"/>
    <w:rsid w:val="03E63D04"/>
    <w:rsid w:val="03F6755F"/>
    <w:rsid w:val="04021749"/>
    <w:rsid w:val="04101BB7"/>
    <w:rsid w:val="041871BE"/>
    <w:rsid w:val="04360340"/>
    <w:rsid w:val="04473845"/>
    <w:rsid w:val="04515894"/>
    <w:rsid w:val="04547017"/>
    <w:rsid w:val="049031F8"/>
    <w:rsid w:val="049A7BD3"/>
    <w:rsid w:val="04A84FA4"/>
    <w:rsid w:val="04AC0867"/>
    <w:rsid w:val="04F05A45"/>
    <w:rsid w:val="052B4ECB"/>
    <w:rsid w:val="0543026B"/>
    <w:rsid w:val="0548762F"/>
    <w:rsid w:val="055A53F6"/>
    <w:rsid w:val="055C26AF"/>
    <w:rsid w:val="05D47115"/>
    <w:rsid w:val="05DE1D42"/>
    <w:rsid w:val="05E82ABF"/>
    <w:rsid w:val="060E1899"/>
    <w:rsid w:val="060F639F"/>
    <w:rsid w:val="0622161E"/>
    <w:rsid w:val="062D3086"/>
    <w:rsid w:val="06345E06"/>
    <w:rsid w:val="0674164C"/>
    <w:rsid w:val="06880DD1"/>
    <w:rsid w:val="06A20FC1"/>
    <w:rsid w:val="06AA444A"/>
    <w:rsid w:val="07043A2A"/>
    <w:rsid w:val="07351E35"/>
    <w:rsid w:val="074A1D85"/>
    <w:rsid w:val="07541337"/>
    <w:rsid w:val="076B151B"/>
    <w:rsid w:val="07806A69"/>
    <w:rsid w:val="0785600D"/>
    <w:rsid w:val="07C212C7"/>
    <w:rsid w:val="07CC279A"/>
    <w:rsid w:val="080F08D8"/>
    <w:rsid w:val="08646E76"/>
    <w:rsid w:val="089C37B5"/>
    <w:rsid w:val="089D5EE4"/>
    <w:rsid w:val="08C300D8"/>
    <w:rsid w:val="09176551"/>
    <w:rsid w:val="092678FB"/>
    <w:rsid w:val="09516E1B"/>
    <w:rsid w:val="0961574F"/>
    <w:rsid w:val="096477B1"/>
    <w:rsid w:val="09BF72F9"/>
    <w:rsid w:val="09F16682"/>
    <w:rsid w:val="09FA31A4"/>
    <w:rsid w:val="0A3F2CC4"/>
    <w:rsid w:val="0A580495"/>
    <w:rsid w:val="0A5D2B12"/>
    <w:rsid w:val="0A5F06E3"/>
    <w:rsid w:val="0A8D6111"/>
    <w:rsid w:val="0AA23B3A"/>
    <w:rsid w:val="0AA3740E"/>
    <w:rsid w:val="0AB15C77"/>
    <w:rsid w:val="0AB756ED"/>
    <w:rsid w:val="0ACB430E"/>
    <w:rsid w:val="0AD2152B"/>
    <w:rsid w:val="0AD40FB1"/>
    <w:rsid w:val="0AD5578E"/>
    <w:rsid w:val="0AEF0818"/>
    <w:rsid w:val="0AFC15E8"/>
    <w:rsid w:val="0B050935"/>
    <w:rsid w:val="0B106E41"/>
    <w:rsid w:val="0B117EEC"/>
    <w:rsid w:val="0B26707E"/>
    <w:rsid w:val="0B297F03"/>
    <w:rsid w:val="0B353D08"/>
    <w:rsid w:val="0B4D1E43"/>
    <w:rsid w:val="0B524979"/>
    <w:rsid w:val="0B57681E"/>
    <w:rsid w:val="0B5807E8"/>
    <w:rsid w:val="0B6E1DBA"/>
    <w:rsid w:val="0BBC48D3"/>
    <w:rsid w:val="0C53116C"/>
    <w:rsid w:val="0C825B1D"/>
    <w:rsid w:val="0C844FAD"/>
    <w:rsid w:val="0C853538"/>
    <w:rsid w:val="0CA5180B"/>
    <w:rsid w:val="0CA86EA2"/>
    <w:rsid w:val="0CB56FDE"/>
    <w:rsid w:val="0CBB595F"/>
    <w:rsid w:val="0CE57E5A"/>
    <w:rsid w:val="0CF54541"/>
    <w:rsid w:val="0CF9568B"/>
    <w:rsid w:val="0D31309F"/>
    <w:rsid w:val="0D3506E6"/>
    <w:rsid w:val="0D416FDA"/>
    <w:rsid w:val="0D5A43A4"/>
    <w:rsid w:val="0D7325C1"/>
    <w:rsid w:val="0D9A50B3"/>
    <w:rsid w:val="0DC83A03"/>
    <w:rsid w:val="0DCA2A4D"/>
    <w:rsid w:val="0DF5231E"/>
    <w:rsid w:val="0E2D3866"/>
    <w:rsid w:val="0E386ACC"/>
    <w:rsid w:val="0E3A4EAF"/>
    <w:rsid w:val="0E466FCE"/>
    <w:rsid w:val="0E5232CD"/>
    <w:rsid w:val="0E561810"/>
    <w:rsid w:val="0E7659DC"/>
    <w:rsid w:val="0EAC66EA"/>
    <w:rsid w:val="0EB6385C"/>
    <w:rsid w:val="0EC53826"/>
    <w:rsid w:val="0EE20AF5"/>
    <w:rsid w:val="0F3A1A89"/>
    <w:rsid w:val="0F5526B4"/>
    <w:rsid w:val="0F632C4E"/>
    <w:rsid w:val="0F655282"/>
    <w:rsid w:val="0F857FF2"/>
    <w:rsid w:val="0F931DEF"/>
    <w:rsid w:val="0FBC79EB"/>
    <w:rsid w:val="0FC14530"/>
    <w:rsid w:val="0FEA5BC3"/>
    <w:rsid w:val="0FFE3D74"/>
    <w:rsid w:val="10066A65"/>
    <w:rsid w:val="10221EE0"/>
    <w:rsid w:val="10480E2B"/>
    <w:rsid w:val="105F01DB"/>
    <w:rsid w:val="106317C1"/>
    <w:rsid w:val="10833B67"/>
    <w:rsid w:val="10D61D5D"/>
    <w:rsid w:val="11023B11"/>
    <w:rsid w:val="1111121D"/>
    <w:rsid w:val="111D7BC2"/>
    <w:rsid w:val="11274EE5"/>
    <w:rsid w:val="11750FCE"/>
    <w:rsid w:val="117D4D61"/>
    <w:rsid w:val="117F1EF2"/>
    <w:rsid w:val="1188307C"/>
    <w:rsid w:val="118C15CB"/>
    <w:rsid w:val="11AE576A"/>
    <w:rsid w:val="11B7101A"/>
    <w:rsid w:val="12170AB5"/>
    <w:rsid w:val="121D3BF2"/>
    <w:rsid w:val="123122E5"/>
    <w:rsid w:val="123A29F6"/>
    <w:rsid w:val="124277E4"/>
    <w:rsid w:val="12751C80"/>
    <w:rsid w:val="127F665A"/>
    <w:rsid w:val="128819B3"/>
    <w:rsid w:val="12A165D1"/>
    <w:rsid w:val="12EA7F78"/>
    <w:rsid w:val="12EB4349"/>
    <w:rsid w:val="130C6140"/>
    <w:rsid w:val="13113756"/>
    <w:rsid w:val="131E4B88"/>
    <w:rsid w:val="135D699C"/>
    <w:rsid w:val="136715C8"/>
    <w:rsid w:val="13723F8E"/>
    <w:rsid w:val="137E04A2"/>
    <w:rsid w:val="13C97C25"/>
    <w:rsid w:val="13D57C19"/>
    <w:rsid w:val="13E8581F"/>
    <w:rsid w:val="13F56BD4"/>
    <w:rsid w:val="140F5C31"/>
    <w:rsid w:val="14157276"/>
    <w:rsid w:val="144C07BE"/>
    <w:rsid w:val="14641FAC"/>
    <w:rsid w:val="14975EDD"/>
    <w:rsid w:val="14981C00"/>
    <w:rsid w:val="14A47599"/>
    <w:rsid w:val="14B940A6"/>
    <w:rsid w:val="14EF1875"/>
    <w:rsid w:val="15062229"/>
    <w:rsid w:val="150D43F1"/>
    <w:rsid w:val="15393995"/>
    <w:rsid w:val="15507A0D"/>
    <w:rsid w:val="156644E7"/>
    <w:rsid w:val="15777DD4"/>
    <w:rsid w:val="15D23CCD"/>
    <w:rsid w:val="15FA1829"/>
    <w:rsid w:val="160475A2"/>
    <w:rsid w:val="16163B6C"/>
    <w:rsid w:val="164479E5"/>
    <w:rsid w:val="16A02C0C"/>
    <w:rsid w:val="16A86180"/>
    <w:rsid w:val="16E44C4A"/>
    <w:rsid w:val="16FF7D6A"/>
    <w:rsid w:val="171001C9"/>
    <w:rsid w:val="17161CA2"/>
    <w:rsid w:val="172B3E8E"/>
    <w:rsid w:val="174B2FAF"/>
    <w:rsid w:val="17674E22"/>
    <w:rsid w:val="177144EA"/>
    <w:rsid w:val="179523B6"/>
    <w:rsid w:val="17B20262"/>
    <w:rsid w:val="17FF44C5"/>
    <w:rsid w:val="180E03D6"/>
    <w:rsid w:val="183323C1"/>
    <w:rsid w:val="18427A2F"/>
    <w:rsid w:val="185309CF"/>
    <w:rsid w:val="185540E5"/>
    <w:rsid w:val="186542D5"/>
    <w:rsid w:val="187025A1"/>
    <w:rsid w:val="187B091F"/>
    <w:rsid w:val="18A1610C"/>
    <w:rsid w:val="18F20038"/>
    <w:rsid w:val="18F51424"/>
    <w:rsid w:val="19003CFA"/>
    <w:rsid w:val="19037E5E"/>
    <w:rsid w:val="1909652F"/>
    <w:rsid w:val="19191C06"/>
    <w:rsid w:val="19235F91"/>
    <w:rsid w:val="195A686C"/>
    <w:rsid w:val="19834C82"/>
    <w:rsid w:val="1990114D"/>
    <w:rsid w:val="19A01608"/>
    <w:rsid w:val="19B337B9"/>
    <w:rsid w:val="19B4308D"/>
    <w:rsid w:val="19C07E33"/>
    <w:rsid w:val="19CF3A77"/>
    <w:rsid w:val="19D8758D"/>
    <w:rsid w:val="1A096935"/>
    <w:rsid w:val="1A0C059A"/>
    <w:rsid w:val="1A246A7A"/>
    <w:rsid w:val="1A257608"/>
    <w:rsid w:val="1A385A6D"/>
    <w:rsid w:val="1A3B246E"/>
    <w:rsid w:val="1A3D38F7"/>
    <w:rsid w:val="1A5E03B7"/>
    <w:rsid w:val="1A713470"/>
    <w:rsid w:val="1A8F64A5"/>
    <w:rsid w:val="1A9A04D5"/>
    <w:rsid w:val="1A9B02D8"/>
    <w:rsid w:val="1ABD1D9F"/>
    <w:rsid w:val="1ACC35E7"/>
    <w:rsid w:val="1AF71B85"/>
    <w:rsid w:val="1B812E7F"/>
    <w:rsid w:val="1B9752D1"/>
    <w:rsid w:val="1BCC16EF"/>
    <w:rsid w:val="1BCE21DA"/>
    <w:rsid w:val="1C1147C7"/>
    <w:rsid w:val="1C343CE4"/>
    <w:rsid w:val="1C424981"/>
    <w:rsid w:val="1C430859"/>
    <w:rsid w:val="1C627E7C"/>
    <w:rsid w:val="1C762014"/>
    <w:rsid w:val="1C796CC0"/>
    <w:rsid w:val="1C7B4DFC"/>
    <w:rsid w:val="1C981A4A"/>
    <w:rsid w:val="1CA70C88"/>
    <w:rsid w:val="1CBA09BB"/>
    <w:rsid w:val="1CE617B0"/>
    <w:rsid w:val="1D0260E1"/>
    <w:rsid w:val="1D04257E"/>
    <w:rsid w:val="1D116F81"/>
    <w:rsid w:val="1D20523A"/>
    <w:rsid w:val="1D28008A"/>
    <w:rsid w:val="1D4209B0"/>
    <w:rsid w:val="1D696FED"/>
    <w:rsid w:val="1DB64506"/>
    <w:rsid w:val="1DD01570"/>
    <w:rsid w:val="1E2C658F"/>
    <w:rsid w:val="1E432C32"/>
    <w:rsid w:val="1E4A6872"/>
    <w:rsid w:val="1E4C5F8A"/>
    <w:rsid w:val="1E694901"/>
    <w:rsid w:val="1EB31B66"/>
    <w:rsid w:val="1EE61961"/>
    <w:rsid w:val="1F0C1276"/>
    <w:rsid w:val="1F2C467B"/>
    <w:rsid w:val="1F2C66A0"/>
    <w:rsid w:val="1F3955A2"/>
    <w:rsid w:val="1F933A28"/>
    <w:rsid w:val="1F971487"/>
    <w:rsid w:val="20017E66"/>
    <w:rsid w:val="200D1B95"/>
    <w:rsid w:val="200F54C2"/>
    <w:rsid w:val="20136B65"/>
    <w:rsid w:val="201900EE"/>
    <w:rsid w:val="202D6FD9"/>
    <w:rsid w:val="208848E0"/>
    <w:rsid w:val="209239FD"/>
    <w:rsid w:val="210B5BD9"/>
    <w:rsid w:val="210D6AF8"/>
    <w:rsid w:val="211B195F"/>
    <w:rsid w:val="213A01DA"/>
    <w:rsid w:val="2152566F"/>
    <w:rsid w:val="21611BE3"/>
    <w:rsid w:val="21664FFF"/>
    <w:rsid w:val="21675403"/>
    <w:rsid w:val="216B2380"/>
    <w:rsid w:val="217D666C"/>
    <w:rsid w:val="21984C7D"/>
    <w:rsid w:val="21BC6F83"/>
    <w:rsid w:val="21BD3BC6"/>
    <w:rsid w:val="21D4635A"/>
    <w:rsid w:val="21E36440"/>
    <w:rsid w:val="21F42355"/>
    <w:rsid w:val="2212104F"/>
    <w:rsid w:val="222A65E3"/>
    <w:rsid w:val="224074F4"/>
    <w:rsid w:val="22421AC7"/>
    <w:rsid w:val="225B679C"/>
    <w:rsid w:val="226B1FDC"/>
    <w:rsid w:val="227120EF"/>
    <w:rsid w:val="227B299A"/>
    <w:rsid w:val="22AA1C2C"/>
    <w:rsid w:val="22CD1E82"/>
    <w:rsid w:val="22CF0F38"/>
    <w:rsid w:val="22DF2115"/>
    <w:rsid w:val="23164DB9"/>
    <w:rsid w:val="23294F89"/>
    <w:rsid w:val="237044C9"/>
    <w:rsid w:val="23935A88"/>
    <w:rsid w:val="239B29B6"/>
    <w:rsid w:val="239E04F4"/>
    <w:rsid w:val="23BA5744"/>
    <w:rsid w:val="23CD2307"/>
    <w:rsid w:val="23D74548"/>
    <w:rsid w:val="24134576"/>
    <w:rsid w:val="24145500"/>
    <w:rsid w:val="2453425F"/>
    <w:rsid w:val="24EC7B7F"/>
    <w:rsid w:val="252022BB"/>
    <w:rsid w:val="25767B5C"/>
    <w:rsid w:val="2580651A"/>
    <w:rsid w:val="25887D3A"/>
    <w:rsid w:val="25C15DAD"/>
    <w:rsid w:val="25EF26A6"/>
    <w:rsid w:val="26097CF4"/>
    <w:rsid w:val="260E5A46"/>
    <w:rsid w:val="26206C69"/>
    <w:rsid w:val="2653304A"/>
    <w:rsid w:val="265F53DE"/>
    <w:rsid w:val="266B0829"/>
    <w:rsid w:val="268A665F"/>
    <w:rsid w:val="26964247"/>
    <w:rsid w:val="269F5BFC"/>
    <w:rsid w:val="26C32218"/>
    <w:rsid w:val="26DE174A"/>
    <w:rsid w:val="26DE226C"/>
    <w:rsid w:val="26E94BFE"/>
    <w:rsid w:val="271564CF"/>
    <w:rsid w:val="27164361"/>
    <w:rsid w:val="275F0ADD"/>
    <w:rsid w:val="27606208"/>
    <w:rsid w:val="27882706"/>
    <w:rsid w:val="278B601D"/>
    <w:rsid w:val="278D2989"/>
    <w:rsid w:val="2795508D"/>
    <w:rsid w:val="27D01665"/>
    <w:rsid w:val="27D019DA"/>
    <w:rsid w:val="27D112AE"/>
    <w:rsid w:val="27E2526A"/>
    <w:rsid w:val="27F5742F"/>
    <w:rsid w:val="28101DD7"/>
    <w:rsid w:val="28285372"/>
    <w:rsid w:val="283A50A6"/>
    <w:rsid w:val="28965108"/>
    <w:rsid w:val="28C20F59"/>
    <w:rsid w:val="28DF17A9"/>
    <w:rsid w:val="28F65471"/>
    <w:rsid w:val="29175DF0"/>
    <w:rsid w:val="291D29FD"/>
    <w:rsid w:val="29213AAE"/>
    <w:rsid w:val="296B6CBA"/>
    <w:rsid w:val="297F777F"/>
    <w:rsid w:val="29817369"/>
    <w:rsid w:val="2982461E"/>
    <w:rsid w:val="29A3139B"/>
    <w:rsid w:val="29AC5B2F"/>
    <w:rsid w:val="29BC4E63"/>
    <w:rsid w:val="29CB5E3C"/>
    <w:rsid w:val="29CF1324"/>
    <w:rsid w:val="29CF1ECD"/>
    <w:rsid w:val="29E057D9"/>
    <w:rsid w:val="2A0C569A"/>
    <w:rsid w:val="2A194F23"/>
    <w:rsid w:val="2A1E525F"/>
    <w:rsid w:val="2A246447"/>
    <w:rsid w:val="2A27165A"/>
    <w:rsid w:val="2A7A2160"/>
    <w:rsid w:val="2A7F4FF2"/>
    <w:rsid w:val="2A86769E"/>
    <w:rsid w:val="2A954E49"/>
    <w:rsid w:val="2ACE481F"/>
    <w:rsid w:val="2AF0324F"/>
    <w:rsid w:val="2AF34289"/>
    <w:rsid w:val="2AFD0DB5"/>
    <w:rsid w:val="2B3171C9"/>
    <w:rsid w:val="2B4F0E68"/>
    <w:rsid w:val="2B502629"/>
    <w:rsid w:val="2B730675"/>
    <w:rsid w:val="2BCA6741"/>
    <w:rsid w:val="2BDE3F9A"/>
    <w:rsid w:val="2BEF4EFD"/>
    <w:rsid w:val="2C136339"/>
    <w:rsid w:val="2C1F083A"/>
    <w:rsid w:val="2C4118B4"/>
    <w:rsid w:val="2C471DB1"/>
    <w:rsid w:val="2C78619D"/>
    <w:rsid w:val="2C7C04FF"/>
    <w:rsid w:val="2C81663E"/>
    <w:rsid w:val="2C8965FC"/>
    <w:rsid w:val="2C950AFD"/>
    <w:rsid w:val="2CA77CCD"/>
    <w:rsid w:val="2CBC04A2"/>
    <w:rsid w:val="2CBC42DB"/>
    <w:rsid w:val="2CF021D7"/>
    <w:rsid w:val="2D17622F"/>
    <w:rsid w:val="2D1934DC"/>
    <w:rsid w:val="2D1F0559"/>
    <w:rsid w:val="2D1F13E6"/>
    <w:rsid w:val="2D393B7E"/>
    <w:rsid w:val="2D7B5F44"/>
    <w:rsid w:val="2D855015"/>
    <w:rsid w:val="2D8C5315"/>
    <w:rsid w:val="2D95643B"/>
    <w:rsid w:val="2DA53BBF"/>
    <w:rsid w:val="2DBD5C1B"/>
    <w:rsid w:val="2DE106C9"/>
    <w:rsid w:val="2DE62697"/>
    <w:rsid w:val="2E045F3A"/>
    <w:rsid w:val="2E1D2DFC"/>
    <w:rsid w:val="2E2A1718"/>
    <w:rsid w:val="2E3C7A87"/>
    <w:rsid w:val="2E3D144C"/>
    <w:rsid w:val="2E56075F"/>
    <w:rsid w:val="2EAC6191"/>
    <w:rsid w:val="2ECB4CA9"/>
    <w:rsid w:val="2EE144CD"/>
    <w:rsid w:val="2EEF601B"/>
    <w:rsid w:val="2EFE0BDB"/>
    <w:rsid w:val="2F2F0ECA"/>
    <w:rsid w:val="2F4800A8"/>
    <w:rsid w:val="2F533B76"/>
    <w:rsid w:val="2F570EAC"/>
    <w:rsid w:val="2F5C02AB"/>
    <w:rsid w:val="2F804798"/>
    <w:rsid w:val="2F8135BA"/>
    <w:rsid w:val="2F827DBA"/>
    <w:rsid w:val="2F841A5E"/>
    <w:rsid w:val="2F8F34EA"/>
    <w:rsid w:val="2FA379D4"/>
    <w:rsid w:val="2FF82F80"/>
    <w:rsid w:val="301663F8"/>
    <w:rsid w:val="3017022E"/>
    <w:rsid w:val="302A3240"/>
    <w:rsid w:val="304C1E1A"/>
    <w:rsid w:val="304F5466"/>
    <w:rsid w:val="30562C99"/>
    <w:rsid w:val="3067136E"/>
    <w:rsid w:val="306B0EDD"/>
    <w:rsid w:val="307750E9"/>
    <w:rsid w:val="307B4478"/>
    <w:rsid w:val="308E1316"/>
    <w:rsid w:val="30B8300C"/>
    <w:rsid w:val="30B87DC2"/>
    <w:rsid w:val="30F911F5"/>
    <w:rsid w:val="31024A33"/>
    <w:rsid w:val="310E0E7D"/>
    <w:rsid w:val="311E37B6"/>
    <w:rsid w:val="312468F3"/>
    <w:rsid w:val="31397E2A"/>
    <w:rsid w:val="314C23D2"/>
    <w:rsid w:val="314E4291"/>
    <w:rsid w:val="31687BA1"/>
    <w:rsid w:val="31833619"/>
    <w:rsid w:val="31871872"/>
    <w:rsid w:val="31B50DE8"/>
    <w:rsid w:val="31BA1DDE"/>
    <w:rsid w:val="32002A73"/>
    <w:rsid w:val="32352C2D"/>
    <w:rsid w:val="3251196A"/>
    <w:rsid w:val="32671593"/>
    <w:rsid w:val="326C1CAC"/>
    <w:rsid w:val="32B648DF"/>
    <w:rsid w:val="32BF53D9"/>
    <w:rsid w:val="32D63C1D"/>
    <w:rsid w:val="330E57F2"/>
    <w:rsid w:val="332538EF"/>
    <w:rsid w:val="33280801"/>
    <w:rsid w:val="336D1887"/>
    <w:rsid w:val="338B5AD1"/>
    <w:rsid w:val="339774DA"/>
    <w:rsid w:val="339D46F8"/>
    <w:rsid w:val="33B026C0"/>
    <w:rsid w:val="33C41BE7"/>
    <w:rsid w:val="342A6B27"/>
    <w:rsid w:val="34586FDF"/>
    <w:rsid w:val="34796F56"/>
    <w:rsid w:val="347E6706"/>
    <w:rsid w:val="3482405C"/>
    <w:rsid w:val="3490195A"/>
    <w:rsid w:val="34926992"/>
    <w:rsid w:val="34C00A3D"/>
    <w:rsid w:val="34DB551B"/>
    <w:rsid w:val="34F934F5"/>
    <w:rsid w:val="35037002"/>
    <w:rsid w:val="35317CDE"/>
    <w:rsid w:val="354F1987"/>
    <w:rsid w:val="35DA1FD3"/>
    <w:rsid w:val="36400CEB"/>
    <w:rsid w:val="3640650F"/>
    <w:rsid w:val="364D069A"/>
    <w:rsid w:val="36603F29"/>
    <w:rsid w:val="36913B8F"/>
    <w:rsid w:val="36AF6C5F"/>
    <w:rsid w:val="36CF10AF"/>
    <w:rsid w:val="36E7289C"/>
    <w:rsid w:val="36EC33FB"/>
    <w:rsid w:val="36FF3742"/>
    <w:rsid w:val="370224BF"/>
    <w:rsid w:val="370945C1"/>
    <w:rsid w:val="370C40B1"/>
    <w:rsid w:val="372B2C9E"/>
    <w:rsid w:val="3747333B"/>
    <w:rsid w:val="375021F0"/>
    <w:rsid w:val="3753277D"/>
    <w:rsid w:val="37975A9C"/>
    <w:rsid w:val="37AD5028"/>
    <w:rsid w:val="37BB5E2D"/>
    <w:rsid w:val="37CB5D1A"/>
    <w:rsid w:val="37DE137B"/>
    <w:rsid w:val="37DE3C9F"/>
    <w:rsid w:val="37F81A2D"/>
    <w:rsid w:val="380840B8"/>
    <w:rsid w:val="38151BEF"/>
    <w:rsid w:val="38274CF5"/>
    <w:rsid w:val="384A4E91"/>
    <w:rsid w:val="386200D2"/>
    <w:rsid w:val="388B23C8"/>
    <w:rsid w:val="389030DC"/>
    <w:rsid w:val="38AC16A8"/>
    <w:rsid w:val="38B56650"/>
    <w:rsid w:val="38BD38B5"/>
    <w:rsid w:val="38D03EC5"/>
    <w:rsid w:val="38E726E0"/>
    <w:rsid w:val="38E74176"/>
    <w:rsid w:val="38FB262F"/>
    <w:rsid w:val="390211C1"/>
    <w:rsid w:val="391F7478"/>
    <w:rsid w:val="39535FC7"/>
    <w:rsid w:val="39A97BD8"/>
    <w:rsid w:val="39DB7DF1"/>
    <w:rsid w:val="39E87306"/>
    <w:rsid w:val="3A192D6D"/>
    <w:rsid w:val="3A475448"/>
    <w:rsid w:val="3A5A5133"/>
    <w:rsid w:val="3A5B4006"/>
    <w:rsid w:val="3A5C5CB9"/>
    <w:rsid w:val="3A791A5E"/>
    <w:rsid w:val="3A7B57D6"/>
    <w:rsid w:val="3A7D68D2"/>
    <w:rsid w:val="3A8F1281"/>
    <w:rsid w:val="3A986F3E"/>
    <w:rsid w:val="3AE96BE3"/>
    <w:rsid w:val="3B081C2D"/>
    <w:rsid w:val="3B1466D2"/>
    <w:rsid w:val="3B297A4D"/>
    <w:rsid w:val="3B312DF4"/>
    <w:rsid w:val="3B3836C7"/>
    <w:rsid w:val="3B3E7EBE"/>
    <w:rsid w:val="3B5B44B3"/>
    <w:rsid w:val="3B634251"/>
    <w:rsid w:val="3B6D19D2"/>
    <w:rsid w:val="3B8406BA"/>
    <w:rsid w:val="3B8C6DA8"/>
    <w:rsid w:val="3B922D1B"/>
    <w:rsid w:val="3B9B7493"/>
    <w:rsid w:val="3B9D5CA4"/>
    <w:rsid w:val="3BA00AB6"/>
    <w:rsid w:val="3BB94CB3"/>
    <w:rsid w:val="3BC30ABC"/>
    <w:rsid w:val="3BEE1FD7"/>
    <w:rsid w:val="3BF24BAF"/>
    <w:rsid w:val="3BF52658"/>
    <w:rsid w:val="3C1C29D5"/>
    <w:rsid w:val="3C1F4887"/>
    <w:rsid w:val="3C244770"/>
    <w:rsid w:val="3C39735A"/>
    <w:rsid w:val="3C3A521C"/>
    <w:rsid w:val="3C445231"/>
    <w:rsid w:val="3C4537E2"/>
    <w:rsid w:val="3C576930"/>
    <w:rsid w:val="3C5C570A"/>
    <w:rsid w:val="3C743476"/>
    <w:rsid w:val="3C836BC3"/>
    <w:rsid w:val="3CD37CB4"/>
    <w:rsid w:val="3CEA79F9"/>
    <w:rsid w:val="3D033860"/>
    <w:rsid w:val="3D06241C"/>
    <w:rsid w:val="3D0776B7"/>
    <w:rsid w:val="3D274A9D"/>
    <w:rsid w:val="3D295E51"/>
    <w:rsid w:val="3D424900"/>
    <w:rsid w:val="3D6B1BA2"/>
    <w:rsid w:val="3D7F382F"/>
    <w:rsid w:val="3D931088"/>
    <w:rsid w:val="3D9E6B81"/>
    <w:rsid w:val="3DAC5CA6"/>
    <w:rsid w:val="3DB45BF2"/>
    <w:rsid w:val="3DB90EA6"/>
    <w:rsid w:val="3DB95626"/>
    <w:rsid w:val="3DBF59D9"/>
    <w:rsid w:val="3DC94AAA"/>
    <w:rsid w:val="3DCD5E07"/>
    <w:rsid w:val="3DD035CA"/>
    <w:rsid w:val="3DED1551"/>
    <w:rsid w:val="3E021D6A"/>
    <w:rsid w:val="3E0D342E"/>
    <w:rsid w:val="3E2E7003"/>
    <w:rsid w:val="3E653535"/>
    <w:rsid w:val="3E703177"/>
    <w:rsid w:val="3E70332A"/>
    <w:rsid w:val="3E8135D7"/>
    <w:rsid w:val="3EA13331"/>
    <w:rsid w:val="3EC102D2"/>
    <w:rsid w:val="3EC62C18"/>
    <w:rsid w:val="3ECF6099"/>
    <w:rsid w:val="3EDE27D7"/>
    <w:rsid w:val="3EE04166"/>
    <w:rsid w:val="3EE5521F"/>
    <w:rsid w:val="3EFC2C5D"/>
    <w:rsid w:val="3F010F71"/>
    <w:rsid w:val="3F195722"/>
    <w:rsid w:val="3F485A16"/>
    <w:rsid w:val="3F987B1A"/>
    <w:rsid w:val="3FC6067B"/>
    <w:rsid w:val="3FCC4E39"/>
    <w:rsid w:val="3FCE63A8"/>
    <w:rsid w:val="3FCF3820"/>
    <w:rsid w:val="3FD31C10"/>
    <w:rsid w:val="3FF102E8"/>
    <w:rsid w:val="400D33AF"/>
    <w:rsid w:val="401B7113"/>
    <w:rsid w:val="401E545D"/>
    <w:rsid w:val="404B020A"/>
    <w:rsid w:val="40502A7C"/>
    <w:rsid w:val="40577F27"/>
    <w:rsid w:val="408625E5"/>
    <w:rsid w:val="40A007D4"/>
    <w:rsid w:val="40BF2194"/>
    <w:rsid w:val="40D264D3"/>
    <w:rsid w:val="40DD0AA9"/>
    <w:rsid w:val="40E87E13"/>
    <w:rsid w:val="4114428E"/>
    <w:rsid w:val="411457FC"/>
    <w:rsid w:val="413D1001"/>
    <w:rsid w:val="414500CE"/>
    <w:rsid w:val="41654AEA"/>
    <w:rsid w:val="41735459"/>
    <w:rsid w:val="417F0CD2"/>
    <w:rsid w:val="41DF7B1C"/>
    <w:rsid w:val="41F26E27"/>
    <w:rsid w:val="42336996"/>
    <w:rsid w:val="42416F43"/>
    <w:rsid w:val="42442951"/>
    <w:rsid w:val="426052B1"/>
    <w:rsid w:val="42733236"/>
    <w:rsid w:val="42C03BF5"/>
    <w:rsid w:val="42D75573"/>
    <w:rsid w:val="43086F00"/>
    <w:rsid w:val="43324E9F"/>
    <w:rsid w:val="43346E69"/>
    <w:rsid w:val="433E4180"/>
    <w:rsid w:val="43417BE0"/>
    <w:rsid w:val="43844A8D"/>
    <w:rsid w:val="43866F99"/>
    <w:rsid w:val="43965D2B"/>
    <w:rsid w:val="43A15B81"/>
    <w:rsid w:val="43B65AD0"/>
    <w:rsid w:val="43BB6C43"/>
    <w:rsid w:val="43C33DCA"/>
    <w:rsid w:val="43C5782B"/>
    <w:rsid w:val="43D1290A"/>
    <w:rsid w:val="43D30430"/>
    <w:rsid w:val="43E65416"/>
    <w:rsid w:val="43FF69ED"/>
    <w:rsid w:val="44121145"/>
    <w:rsid w:val="441822E7"/>
    <w:rsid w:val="442A5A15"/>
    <w:rsid w:val="443B611F"/>
    <w:rsid w:val="443F1622"/>
    <w:rsid w:val="444E5032"/>
    <w:rsid w:val="4454377A"/>
    <w:rsid w:val="44761B1B"/>
    <w:rsid w:val="44C90796"/>
    <w:rsid w:val="45112FEA"/>
    <w:rsid w:val="45163CE2"/>
    <w:rsid w:val="4526311A"/>
    <w:rsid w:val="453E0C6D"/>
    <w:rsid w:val="4541761C"/>
    <w:rsid w:val="454C1FBF"/>
    <w:rsid w:val="455946D1"/>
    <w:rsid w:val="45684BA8"/>
    <w:rsid w:val="45965BB9"/>
    <w:rsid w:val="45A1630C"/>
    <w:rsid w:val="45B351D8"/>
    <w:rsid w:val="45D51846"/>
    <w:rsid w:val="45E00BE3"/>
    <w:rsid w:val="45E837A1"/>
    <w:rsid w:val="45EA7371"/>
    <w:rsid w:val="45F762CC"/>
    <w:rsid w:val="45FA0D0B"/>
    <w:rsid w:val="4613720A"/>
    <w:rsid w:val="4629331A"/>
    <w:rsid w:val="46584C1D"/>
    <w:rsid w:val="46842982"/>
    <w:rsid w:val="46B310A6"/>
    <w:rsid w:val="46CD03D6"/>
    <w:rsid w:val="46E60C47"/>
    <w:rsid w:val="46F954C9"/>
    <w:rsid w:val="46FA5E5E"/>
    <w:rsid w:val="470A2D16"/>
    <w:rsid w:val="470E1780"/>
    <w:rsid w:val="47255440"/>
    <w:rsid w:val="475950F1"/>
    <w:rsid w:val="476178C0"/>
    <w:rsid w:val="47621657"/>
    <w:rsid w:val="47703CF4"/>
    <w:rsid w:val="477B5D50"/>
    <w:rsid w:val="478758D4"/>
    <w:rsid w:val="4791313D"/>
    <w:rsid w:val="47C9785B"/>
    <w:rsid w:val="47EF19DF"/>
    <w:rsid w:val="47F33590"/>
    <w:rsid w:val="47FB7F56"/>
    <w:rsid w:val="481132D5"/>
    <w:rsid w:val="4831274A"/>
    <w:rsid w:val="483B65A4"/>
    <w:rsid w:val="485A2984"/>
    <w:rsid w:val="48617359"/>
    <w:rsid w:val="488A3088"/>
    <w:rsid w:val="489650B8"/>
    <w:rsid w:val="489B34E7"/>
    <w:rsid w:val="48A918FC"/>
    <w:rsid w:val="48D64CE2"/>
    <w:rsid w:val="490B5F77"/>
    <w:rsid w:val="49490FE8"/>
    <w:rsid w:val="496B2DEF"/>
    <w:rsid w:val="49AA023D"/>
    <w:rsid w:val="49AD5280"/>
    <w:rsid w:val="49B74350"/>
    <w:rsid w:val="49C61CC3"/>
    <w:rsid w:val="49F70BF1"/>
    <w:rsid w:val="49FA49E9"/>
    <w:rsid w:val="4A1368BF"/>
    <w:rsid w:val="4A2F038B"/>
    <w:rsid w:val="4A611A7A"/>
    <w:rsid w:val="4A695E59"/>
    <w:rsid w:val="4A7F3599"/>
    <w:rsid w:val="4A851D59"/>
    <w:rsid w:val="4AAC5B10"/>
    <w:rsid w:val="4AB64608"/>
    <w:rsid w:val="4ABD14F2"/>
    <w:rsid w:val="4AC44477"/>
    <w:rsid w:val="4AD752E2"/>
    <w:rsid w:val="4AF02A73"/>
    <w:rsid w:val="4B2969B8"/>
    <w:rsid w:val="4B657077"/>
    <w:rsid w:val="4B7818BD"/>
    <w:rsid w:val="4B904E59"/>
    <w:rsid w:val="4BBA0128"/>
    <w:rsid w:val="4BBC2A21"/>
    <w:rsid w:val="4BBF4416"/>
    <w:rsid w:val="4C0767FA"/>
    <w:rsid w:val="4C172E84"/>
    <w:rsid w:val="4C1F546A"/>
    <w:rsid w:val="4C3B4DC5"/>
    <w:rsid w:val="4C534154"/>
    <w:rsid w:val="4C8F6EBF"/>
    <w:rsid w:val="4C9F12A5"/>
    <w:rsid w:val="4CAD5597"/>
    <w:rsid w:val="4CB41CD6"/>
    <w:rsid w:val="4CB42DC9"/>
    <w:rsid w:val="4CC04E52"/>
    <w:rsid w:val="4CDA552C"/>
    <w:rsid w:val="4CE27936"/>
    <w:rsid w:val="4CF71B25"/>
    <w:rsid w:val="4CF907DC"/>
    <w:rsid w:val="4D087F02"/>
    <w:rsid w:val="4D247A4D"/>
    <w:rsid w:val="4D2E0303"/>
    <w:rsid w:val="4D35779C"/>
    <w:rsid w:val="4D387556"/>
    <w:rsid w:val="4D5E0A52"/>
    <w:rsid w:val="4D7B566F"/>
    <w:rsid w:val="4D9C7767"/>
    <w:rsid w:val="4DA17843"/>
    <w:rsid w:val="4DCB3F26"/>
    <w:rsid w:val="4DE70B18"/>
    <w:rsid w:val="4E004491"/>
    <w:rsid w:val="4E22162D"/>
    <w:rsid w:val="4E3866B7"/>
    <w:rsid w:val="4E4769A2"/>
    <w:rsid w:val="4E537616"/>
    <w:rsid w:val="4E7F52EC"/>
    <w:rsid w:val="4E9234C3"/>
    <w:rsid w:val="4EE40F7F"/>
    <w:rsid w:val="4EEE4370"/>
    <w:rsid w:val="4F0C35A4"/>
    <w:rsid w:val="4F3771FC"/>
    <w:rsid w:val="4F714EFB"/>
    <w:rsid w:val="4F775585"/>
    <w:rsid w:val="4F942EA0"/>
    <w:rsid w:val="4FC41575"/>
    <w:rsid w:val="4FC7122F"/>
    <w:rsid w:val="4FD07395"/>
    <w:rsid w:val="4FE237A9"/>
    <w:rsid w:val="4FE63A40"/>
    <w:rsid w:val="50005BAF"/>
    <w:rsid w:val="50135A9E"/>
    <w:rsid w:val="50175B49"/>
    <w:rsid w:val="501F17AD"/>
    <w:rsid w:val="503736B8"/>
    <w:rsid w:val="504479E3"/>
    <w:rsid w:val="5060661A"/>
    <w:rsid w:val="506D13B1"/>
    <w:rsid w:val="506E3F5A"/>
    <w:rsid w:val="509251CF"/>
    <w:rsid w:val="50942CF5"/>
    <w:rsid w:val="50972C80"/>
    <w:rsid w:val="50BD6C53"/>
    <w:rsid w:val="50F727ED"/>
    <w:rsid w:val="51825244"/>
    <w:rsid w:val="51872650"/>
    <w:rsid w:val="519F5DF6"/>
    <w:rsid w:val="51AD2ABD"/>
    <w:rsid w:val="51B003BE"/>
    <w:rsid w:val="51C8534D"/>
    <w:rsid w:val="51D06952"/>
    <w:rsid w:val="51F42CBC"/>
    <w:rsid w:val="51FF6894"/>
    <w:rsid w:val="52043EAB"/>
    <w:rsid w:val="523E6BBC"/>
    <w:rsid w:val="525A6150"/>
    <w:rsid w:val="52662470"/>
    <w:rsid w:val="52805A0A"/>
    <w:rsid w:val="52B83749"/>
    <w:rsid w:val="52D74666"/>
    <w:rsid w:val="52E55A8A"/>
    <w:rsid w:val="52E92249"/>
    <w:rsid w:val="52FD1E55"/>
    <w:rsid w:val="53133149"/>
    <w:rsid w:val="5329192D"/>
    <w:rsid w:val="53764934"/>
    <w:rsid w:val="538452A3"/>
    <w:rsid w:val="538928BA"/>
    <w:rsid w:val="53AE0572"/>
    <w:rsid w:val="53F57F4F"/>
    <w:rsid w:val="54086234"/>
    <w:rsid w:val="540C3BAA"/>
    <w:rsid w:val="546D5D37"/>
    <w:rsid w:val="54CF19B4"/>
    <w:rsid w:val="54D87473"/>
    <w:rsid w:val="54E83610"/>
    <w:rsid w:val="54E87AB4"/>
    <w:rsid w:val="54F5488A"/>
    <w:rsid w:val="550A7A2A"/>
    <w:rsid w:val="553625CD"/>
    <w:rsid w:val="554A7DEE"/>
    <w:rsid w:val="554B2435"/>
    <w:rsid w:val="5561735F"/>
    <w:rsid w:val="556357A4"/>
    <w:rsid w:val="556F5ADF"/>
    <w:rsid w:val="557B3584"/>
    <w:rsid w:val="558772CD"/>
    <w:rsid w:val="55CC4CE0"/>
    <w:rsid w:val="56091A90"/>
    <w:rsid w:val="561472B4"/>
    <w:rsid w:val="56466840"/>
    <w:rsid w:val="567B00FB"/>
    <w:rsid w:val="568A5F56"/>
    <w:rsid w:val="569E238C"/>
    <w:rsid w:val="56A32F0F"/>
    <w:rsid w:val="56A56F96"/>
    <w:rsid w:val="56B30171"/>
    <w:rsid w:val="56C321F6"/>
    <w:rsid w:val="56D27474"/>
    <w:rsid w:val="56D91CC8"/>
    <w:rsid w:val="56EE0C86"/>
    <w:rsid w:val="56F63A10"/>
    <w:rsid w:val="57103F1C"/>
    <w:rsid w:val="571D5BC5"/>
    <w:rsid w:val="57476D14"/>
    <w:rsid w:val="5750429E"/>
    <w:rsid w:val="57626E74"/>
    <w:rsid w:val="57807EF2"/>
    <w:rsid w:val="57846812"/>
    <w:rsid w:val="579E79C6"/>
    <w:rsid w:val="57C93BCD"/>
    <w:rsid w:val="57CF18FE"/>
    <w:rsid w:val="57E502DB"/>
    <w:rsid w:val="57F56770"/>
    <w:rsid w:val="58027FC6"/>
    <w:rsid w:val="58044B7D"/>
    <w:rsid w:val="58122E6D"/>
    <w:rsid w:val="584F1A9A"/>
    <w:rsid w:val="585D3E03"/>
    <w:rsid w:val="585F3CF0"/>
    <w:rsid w:val="586B07E0"/>
    <w:rsid w:val="586B4F13"/>
    <w:rsid w:val="58771912"/>
    <w:rsid w:val="58823D7B"/>
    <w:rsid w:val="58A61818"/>
    <w:rsid w:val="58AF7A75"/>
    <w:rsid w:val="58C779E0"/>
    <w:rsid w:val="58E651A2"/>
    <w:rsid w:val="58F42C8D"/>
    <w:rsid w:val="59340387"/>
    <w:rsid w:val="593530F2"/>
    <w:rsid w:val="594F1EAF"/>
    <w:rsid w:val="598E457A"/>
    <w:rsid w:val="59BE2908"/>
    <w:rsid w:val="59CE258C"/>
    <w:rsid w:val="59D26569"/>
    <w:rsid w:val="59E533C1"/>
    <w:rsid w:val="59E940B2"/>
    <w:rsid w:val="59FB3DE5"/>
    <w:rsid w:val="5A35022A"/>
    <w:rsid w:val="5A7F688E"/>
    <w:rsid w:val="5A902780"/>
    <w:rsid w:val="5AAF3F4B"/>
    <w:rsid w:val="5AFC1BC3"/>
    <w:rsid w:val="5B1C2265"/>
    <w:rsid w:val="5B253BAA"/>
    <w:rsid w:val="5B296473"/>
    <w:rsid w:val="5B3C6183"/>
    <w:rsid w:val="5B475D03"/>
    <w:rsid w:val="5B5F03A4"/>
    <w:rsid w:val="5B8524B6"/>
    <w:rsid w:val="5B8F77D0"/>
    <w:rsid w:val="5B9242D5"/>
    <w:rsid w:val="5BA30995"/>
    <w:rsid w:val="5BBC36DE"/>
    <w:rsid w:val="5BD32D51"/>
    <w:rsid w:val="5BE50084"/>
    <w:rsid w:val="5BE74621"/>
    <w:rsid w:val="5C0623D8"/>
    <w:rsid w:val="5C126583"/>
    <w:rsid w:val="5C1B5BC5"/>
    <w:rsid w:val="5C507ED6"/>
    <w:rsid w:val="5C5D3D2F"/>
    <w:rsid w:val="5C736248"/>
    <w:rsid w:val="5C741C2D"/>
    <w:rsid w:val="5C7A26E4"/>
    <w:rsid w:val="5C960C7A"/>
    <w:rsid w:val="5CC606DB"/>
    <w:rsid w:val="5CE01187"/>
    <w:rsid w:val="5D080CF3"/>
    <w:rsid w:val="5D122F33"/>
    <w:rsid w:val="5D2668DA"/>
    <w:rsid w:val="5D5B1562"/>
    <w:rsid w:val="5D997B9D"/>
    <w:rsid w:val="5DC855E3"/>
    <w:rsid w:val="5DD40BD5"/>
    <w:rsid w:val="5DD65549"/>
    <w:rsid w:val="5DE132F2"/>
    <w:rsid w:val="5DE60FED"/>
    <w:rsid w:val="5DF61532"/>
    <w:rsid w:val="5E0B78D6"/>
    <w:rsid w:val="5E1016DA"/>
    <w:rsid w:val="5E2841CF"/>
    <w:rsid w:val="5E371164"/>
    <w:rsid w:val="5E48579B"/>
    <w:rsid w:val="5E705C15"/>
    <w:rsid w:val="5E713FFA"/>
    <w:rsid w:val="5E986CFA"/>
    <w:rsid w:val="5E9A5DEE"/>
    <w:rsid w:val="5E9D1993"/>
    <w:rsid w:val="5EA762EA"/>
    <w:rsid w:val="5EA82474"/>
    <w:rsid w:val="5EAD7356"/>
    <w:rsid w:val="5EB44B9A"/>
    <w:rsid w:val="5EBD3D5F"/>
    <w:rsid w:val="5EE66E8C"/>
    <w:rsid w:val="5EF332DD"/>
    <w:rsid w:val="5EFC6636"/>
    <w:rsid w:val="5F3B6D1D"/>
    <w:rsid w:val="5F556056"/>
    <w:rsid w:val="5F7408C2"/>
    <w:rsid w:val="5FDE3F8D"/>
    <w:rsid w:val="5FE21AA3"/>
    <w:rsid w:val="5FEA46E0"/>
    <w:rsid w:val="5FEC1F0A"/>
    <w:rsid w:val="5FEC6E63"/>
    <w:rsid w:val="600B0F92"/>
    <w:rsid w:val="60193217"/>
    <w:rsid w:val="602624D9"/>
    <w:rsid w:val="60305848"/>
    <w:rsid w:val="606A1F45"/>
    <w:rsid w:val="60B259FD"/>
    <w:rsid w:val="60BE14C0"/>
    <w:rsid w:val="60DC4FDD"/>
    <w:rsid w:val="612956DC"/>
    <w:rsid w:val="613025C6"/>
    <w:rsid w:val="613D2F35"/>
    <w:rsid w:val="61575C03"/>
    <w:rsid w:val="6171498D"/>
    <w:rsid w:val="618B5A4F"/>
    <w:rsid w:val="61EC3265"/>
    <w:rsid w:val="61F769DC"/>
    <w:rsid w:val="62023B22"/>
    <w:rsid w:val="62154891"/>
    <w:rsid w:val="623C31ED"/>
    <w:rsid w:val="62F173B7"/>
    <w:rsid w:val="62FC4372"/>
    <w:rsid w:val="630F445E"/>
    <w:rsid w:val="638C0F12"/>
    <w:rsid w:val="6393508F"/>
    <w:rsid w:val="63972DD1"/>
    <w:rsid w:val="639F6592"/>
    <w:rsid w:val="63A80DB4"/>
    <w:rsid w:val="63AB687C"/>
    <w:rsid w:val="63B6313D"/>
    <w:rsid w:val="63CF1338"/>
    <w:rsid w:val="63FF4B70"/>
    <w:rsid w:val="64050F2D"/>
    <w:rsid w:val="640E6A2D"/>
    <w:rsid w:val="64222A5B"/>
    <w:rsid w:val="642F52DB"/>
    <w:rsid w:val="64354398"/>
    <w:rsid w:val="645667E8"/>
    <w:rsid w:val="64726F43"/>
    <w:rsid w:val="64817165"/>
    <w:rsid w:val="649B244D"/>
    <w:rsid w:val="64D3579B"/>
    <w:rsid w:val="64DD35B1"/>
    <w:rsid w:val="64FB113D"/>
    <w:rsid w:val="651F307E"/>
    <w:rsid w:val="655C29BA"/>
    <w:rsid w:val="655E3923"/>
    <w:rsid w:val="656071F2"/>
    <w:rsid w:val="656A5114"/>
    <w:rsid w:val="65A92D87"/>
    <w:rsid w:val="65AC2697"/>
    <w:rsid w:val="65C459D3"/>
    <w:rsid w:val="65D6468E"/>
    <w:rsid w:val="65FF4C5D"/>
    <w:rsid w:val="661377F4"/>
    <w:rsid w:val="661A4B91"/>
    <w:rsid w:val="6659436D"/>
    <w:rsid w:val="669E73DD"/>
    <w:rsid w:val="66B43C9A"/>
    <w:rsid w:val="66BA369C"/>
    <w:rsid w:val="66BB15DA"/>
    <w:rsid w:val="66ED7DF1"/>
    <w:rsid w:val="66F422E8"/>
    <w:rsid w:val="6703252B"/>
    <w:rsid w:val="670C65D6"/>
    <w:rsid w:val="67300122"/>
    <w:rsid w:val="673C7CA2"/>
    <w:rsid w:val="67404958"/>
    <w:rsid w:val="676B36AE"/>
    <w:rsid w:val="67896ED4"/>
    <w:rsid w:val="678A5867"/>
    <w:rsid w:val="679415E1"/>
    <w:rsid w:val="67A04E3D"/>
    <w:rsid w:val="67A463CF"/>
    <w:rsid w:val="67AE20A4"/>
    <w:rsid w:val="67C95523"/>
    <w:rsid w:val="681C5653"/>
    <w:rsid w:val="68213F33"/>
    <w:rsid w:val="682C3AD4"/>
    <w:rsid w:val="683B2EFE"/>
    <w:rsid w:val="684E18C4"/>
    <w:rsid w:val="685226D3"/>
    <w:rsid w:val="68613679"/>
    <w:rsid w:val="68657E17"/>
    <w:rsid w:val="686722C9"/>
    <w:rsid w:val="68760E89"/>
    <w:rsid w:val="687D1C7B"/>
    <w:rsid w:val="68802085"/>
    <w:rsid w:val="689F0032"/>
    <w:rsid w:val="68DB3760"/>
    <w:rsid w:val="68EA28F0"/>
    <w:rsid w:val="68F50795"/>
    <w:rsid w:val="68F63754"/>
    <w:rsid w:val="68FB5BB0"/>
    <w:rsid w:val="69001972"/>
    <w:rsid w:val="69320EA6"/>
    <w:rsid w:val="695928D6"/>
    <w:rsid w:val="697949AD"/>
    <w:rsid w:val="697A6C1E"/>
    <w:rsid w:val="698F5AB2"/>
    <w:rsid w:val="699024E8"/>
    <w:rsid w:val="69961A9B"/>
    <w:rsid w:val="69AC4B2C"/>
    <w:rsid w:val="69CB264D"/>
    <w:rsid w:val="69EC374B"/>
    <w:rsid w:val="6A024D1C"/>
    <w:rsid w:val="6A323470"/>
    <w:rsid w:val="6A3258A2"/>
    <w:rsid w:val="6A333127"/>
    <w:rsid w:val="6A520767"/>
    <w:rsid w:val="6A5F3F1C"/>
    <w:rsid w:val="6A647785"/>
    <w:rsid w:val="6A8B2F63"/>
    <w:rsid w:val="6A8E581F"/>
    <w:rsid w:val="6A915DF3"/>
    <w:rsid w:val="6A995680"/>
    <w:rsid w:val="6AAD2EDA"/>
    <w:rsid w:val="6AC66A6D"/>
    <w:rsid w:val="6AD16ECB"/>
    <w:rsid w:val="6AFF37C2"/>
    <w:rsid w:val="6B225231"/>
    <w:rsid w:val="6B5275DD"/>
    <w:rsid w:val="6B536302"/>
    <w:rsid w:val="6B87736C"/>
    <w:rsid w:val="6BAC6794"/>
    <w:rsid w:val="6BB47F24"/>
    <w:rsid w:val="6BB87D88"/>
    <w:rsid w:val="6BE26BB3"/>
    <w:rsid w:val="6C0B643D"/>
    <w:rsid w:val="6C1B1096"/>
    <w:rsid w:val="6C1B3E73"/>
    <w:rsid w:val="6C292A34"/>
    <w:rsid w:val="6C2F3E4A"/>
    <w:rsid w:val="6C33740F"/>
    <w:rsid w:val="6C3B62C3"/>
    <w:rsid w:val="6C4C5660"/>
    <w:rsid w:val="6C4E5FF7"/>
    <w:rsid w:val="6CBE13CE"/>
    <w:rsid w:val="6CD96090"/>
    <w:rsid w:val="6CF070AE"/>
    <w:rsid w:val="6CF50B68"/>
    <w:rsid w:val="6CF92AB3"/>
    <w:rsid w:val="6D0142E6"/>
    <w:rsid w:val="6D2C0311"/>
    <w:rsid w:val="6D325918"/>
    <w:rsid w:val="6D3870F8"/>
    <w:rsid w:val="6D3F3B91"/>
    <w:rsid w:val="6D4D22D2"/>
    <w:rsid w:val="6D5954D9"/>
    <w:rsid w:val="6D6D2146"/>
    <w:rsid w:val="6DC021CA"/>
    <w:rsid w:val="6DE170D3"/>
    <w:rsid w:val="6DE53FE5"/>
    <w:rsid w:val="6E113780"/>
    <w:rsid w:val="6E1940E0"/>
    <w:rsid w:val="6E2B0B07"/>
    <w:rsid w:val="6E3C5C7A"/>
    <w:rsid w:val="6E415A81"/>
    <w:rsid w:val="6E4542A4"/>
    <w:rsid w:val="6E477FDA"/>
    <w:rsid w:val="6E6C6C08"/>
    <w:rsid w:val="6E8201DA"/>
    <w:rsid w:val="6E930639"/>
    <w:rsid w:val="6E986EF3"/>
    <w:rsid w:val="6EDA1DC4"/>
    <w:rsid w:val="6F2602FA"/>
    <w:rsid w:val="6F3746D6"/>
    <w:rsid w:val="6F4F7F03"/>
    <w:rsid w:val="6F85763A"/>
    <w:rsid w:val="6F8D32DA"/>
    <w:rsid w:val="6F8E2857"/>
    <w:rsid w:val="6F9309C3"/>
    <w:rsid w:val="6FA7439C"/>
    <w:rsid w:val="6FC7059A"/>
    <w:rsid w:val="6FC85EDD"/>
    <w:rsid w:val="6FD94618"/>
    <w:rsid w:val="6FFE248A"/>
    <w:rsid w:val="70366B8A"/>
    <w:rsid w:val="705C7AEC"/>
    <w:rsid w:val="707352C8"/>
    <w:rsid w:val="707A1AB0"/>
    <w:rsid w:val="70BA1EAD"/>
    <w:rsid w:val="70C40F7D"/>
    <w:rsid w:val="70D42B79"/>
    <w:rsid w:val="70DE2F60"/>
    <w:rsid w:val="710B095A"/>
    <w:rsid w:val="710D2690"/>
    <w:rsid w:val="71136FA4"/>
    <w:rsid w:val="711A0B9D"/>
    <w:rsid w:val="711E3447"/>
    <w:rsid w:val="71347EB1"/>
    <w:rsid w:val="718B2098"/>
    <w:rsid w:val="71D55CAE"/>
    <w:rsid w:val="71F70DEA"/>
    <w:rsid w:val="71FA5E12"/>
    <w:rsid w:val="72056A3E"/>
    <w:rsid w:val="720F3827"/>
    <w:rsid w:val="72215134"/>
    <w:rsid w:val="72513B7B"/>
    <w:rsid w:val="726F4F19"/>
    <w:rsid w:val="72813FAE"/>
    <w:rsid w:val="72834520"/>
    <w:rsid w:val="728C4DF1"/>
    <w:rsid w:val="729B75C6"/>
    <w:rsid w:val="72D22688"/>
    <w:rsid w:val="72DF209E"/>
    <w:rsid w:val="72EE6408"/>
    <w:rsid w:val="730613D9"/>
    <w:rsid w:val="730B56A1"/>
    <w:rsid w:val="730C2768"/>
    <w:rsid w:val="73124222"/>
    <w:rsid w:val="73187DD4"/>
    <w:rsid w:val="731F249B"/>
    <w:rsid w:val="7322639B"/>
    <w:rsid w:val="733A434A"/>
    <w:rsid w:val="733D210C"/>
    <w:rsid w:val="733D3D46"/>
    <w:rsid w:val="73475D07"/>
    <w:rsid w:val="73624258"/>
    <w:rsid w:val="73830C7C"/>
    <w:rsid w:val="73860E12"/>
    <w:rsid w:val="73A462E8"/>
    <w:rsid w:val="73C46897"/>
    <w:rsid w:val="73E5267A"/>
    <w:rsid w:val="73F12089"/>
    <w:rsid w:val="740022CC"/>
    <w:rsid w:val="74065409"/>
    <w:rsid w:val="744B4275"/>
    <w:rsid w:val="7460039B"/>
    <w:rsid w:val="746E36DA"/>
    <w:rsid w:val="74805F99"/>
    <w:rsid w:val="749271F3"/>
    <w:rsid w:val="74BF602F"/>
    <w:rsid w:val="74C376A4"/>
    <w:rsid w:val="74C8055A"/>
    <w:rsid w:val="74F82FA3"/>
    <w:rsid w:val="750E27C7"/>
    <w:rsid w:val="751F6782"/>
    <w:rsid w:val="75444A44"/>
    <w:rsid w:val="755564CD"/>
    <w:rsid w:val="757C5B2B"/>
    <w:rsid w:val="758B1CEE"/>
    <w:rsid w:val="75BA5FEB"/>
    <w:rsid w:val="75E17EDC"/>
    <w:rsid w:val="75F95225"/>
    <w:rsid w:val="76227727"/>
    <w:rsid w:val="76253DBA"/>
    <w:rsid w:val="762B2267"/>
    <w:rsid w:val="76360227"/>
    <w:rsid w:val="765117B4"/>
    <w:rsid w:val="76AC7B4F"/>
    <w:rsid w:val="76B01217"/>
    <w:rsid w:val="76D87530"/>
    <w:rsid w:val="76DC1A89"/>
    <w:rsid w:val="770A361D"/>
    <w:rsid w:val="770B595E"/>
    <w:rsid w:val="770E33DB"/>
    <w:rsid w:val="77274014"/>
    <w:rsid w:val="77400C32"/>
    <w:rsid w:val="77646ADC"/>
    <w:rsid w:val="777C7EBC"/>
    <w:rsid w:val="778C28E7"/>
    <w:rsid w:val="77A21895"/>
    <w:rsid w:val="77AA41E1"/>
    <w:rsid w:val="77E370B7"/>
    <w:rsid w:val="77F71C38"/>
    <w:rsid w:val="77F739E6"/>
    <w:rsid w:val="78113960"/>
    <w:rsid w:val="784A6228"/>
    <w:rsid w:val="78764386"/>
    <w:rsid w:val="789D3E0B"/>
    <w:rsid w:val="78A05419"/>
    <w:rsid w:val="78FD502C"/>
    <w:rsid w:val="790A698A"/>
    <w:rsid w:val="79314655"/>
    <w:rsid w:val="793772DB"/>
    <w:rsid w:val="79490272"/>
    <w:rsid w:val="794B3FEA"/>
    <w:rsid w:val="795E31C8"/>
    <w:rsid w:val="79683F26"/>
    <w:rsid w:val="798B4C8C"/>
    <w:rsid w:val="79A67426"/>
    <w:rsid w:val="79B853F7"/>
    <w:rsid w:val="79DD09BA"/>
    <w:rsid w:val="79E60FEB"/>
    <w:rsid w:val="79EE2BC7"/>
    <w:rsid w:val="7A0D1989"/>
    <w:rsid w:val="7A1E2288"/>
    <w:rsid w:val="7A347F9E"/>
    <w:rsid w:val="7A454EDD"/>
    <w:rsid w:val="7A6F1F5A"/>
    <w:rsid w:val="7A802D36"/>
    <w:rsid w:val="7A8C2B0C"/>
    <w:rsid w:val="7A9A4690"/>
    <w:rsid w:val="7A9F7D20"/>
    <w:rsid w:val="7AAD7D52"/>
    <w:rsid w:val="7AAF0302"/>
    <w:rsid w:val="7AB44136"/>
    <w:rsid w:val="7ABD0F17"/>
    <w:rsid w:val="7AC127E1"/>
    <w:rsid w:val="7AEC0C8C"/>
    <w:rsid w:val="7AF412BA"/>
    <w:rsid w:val="7B110F3C"/>
    <w:rsid w:val="7B344B21"/>
    <w:rsid w:val="7B445021"/>
    <w:rsid w:val="7B5C5D8A"/>
    <w:rsid w:val="7B623884"/>
    <w:rsid w:val="7B730265"/>
    <w:rsid w:val="7B881AD9"/>
    <w:rsid w:val="7BA9342F"/>
    <w:rsid w:val="7BB86445"/>
    <w:rsid w:val="7BE11C85"/>
    <w:rsid w:val="7C013AC1"/>
    <w:rsid w:val="7C097C82"/>
    <w:rsid w:val="7C4056A4"/>
    <w:rsid w:val="7C444D20"/>
    <w:rsid w:val="7C572547"/>
    <w:rsid w:val="7C580C2D"/>
    <w:rsid w:val="7C5F1B52"/>
    <w:rsid w:val="7C792C1C"/>
    <w:rsid w:val="7C831CEC"/>
    <w:rsid w:val="7C9361C9"/>
    <w:rsid w:val="7C9D34C4"/>
    <w:rsid w:val="7CA876D9"/>
    <w:rsid w:val="7CB50FA6"/>
    <w:rsid w:val="7CC52810"/>
    <w:rsid w:val="7CD335AB"/>
    <w:rsid w:val="7CD75B94"/>
    <w:rsid w:val="7CED53B8"/>
    <w:rsid w:val="7CFC55FB"/>
    <w:rsid w:val="7CFF1120"/>
    <w:rsid w:val="7D034686"/>
    <w:rsid w:val="7D0821F2"/>
    <w:rsid w:val="7D152080"/>
    <w:rsid w:val="7D417C89"/>
    <w:rsid w:val="7D6A07B6"/>
    <w:rsid w:val="7D7B648E"/>
    <w:rsid w:val="7D9D7D1F"/>
    <w:rsid w:val="7DCC01A6"/>
    <w:rsid w:val="7DD97789"/>
    <w:rsid w:val="7E01111B"/>
    <w:rsid w:val="7E3205E4"/>
    <w:rsid w:val="7E617E0B"/>
    <w:rsid w:val="7E7E37DC"/>
    <w:rsid w:val="7E9667CF"/>
    <w:rsid w:val="7EA65570"/>
    <w:rsid w:val="7EBB7543"/>
    <w:rsid w:val="7ED23A8F"/>
    <w:rsid w:val="7EDE76AE"/>
    <w:rsid w:val="7F0D1E4F"/>
    <w:rsid w:val="7F1255AA"/>
    <w:rsid w:val="7F1816E2"/>
    <w:rsid w:val="7F364DF4"/>
    <w:rsid w:val="7F7D483E"/>
    <w:rsid w:val="7F9155AC"/>
    <w:rsid w:val="7FB46BB3"/>
    <w:rsid w:val="7FB777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0"/>
    <w:pPr>
      <w:keepNext/>
      <w:keepLines/>
      <w:spacing w:before="340" w:beforeLines="0" w:after="330" w:afterLines="0" w:line="360" w:lineRule="auto"/>
      <w:jc w:val="center"/>
      <w:outlineLvl w:val="0"/>
    </w:pPr>
    <w:rPr>
      <w:rFonts w:ascii="Times New Roman" w:hAnsi="Times New Roman"/>
      <w:b/>
      <w:bCs/>
      <w:kern w:val="44"/>
      <w:sz w:val="24"/>
      <w:szCs w:val="44"/>
    </w:rPr>
  </w:style>
  <w:style w:type="paragraph" w:styleId="2">
    <w:name w:val="heading 2"/>
    <w:basedOn w:val="1"/>
    <w:next w:val="1"/>
    <w:qFormat/>
    <w:uiPriority w:val="0"/>
    <w:pPr>
      <w:keepNext/>
      <w:keepLines/>
      <w:spacing w:before="260" w:beforeLines="0" w:after="260" w:afterLines="0" w:line="240" w:lineRule="auto"/>
      <w:jc w:val="left"/>
      <w:outlineLvl w:val="1"/>
    </w:pPr>
    <w:rPr>
      <w:rFonts w:ascii="Arial" w:hAnsi="Arial" w:eastAsia="宋体"/>
      <w:b/>
      <w:bCs/>
      <w:sz w:val="24"/>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8"/>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link w:val="6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70"/>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7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50">
    <w:name w:val="Default Paragraph Font"/>
    <w:qFormat/>
    <w:uiPriority w:val="0"/>
    <w:rPr>
      <w:rFonts w:ascii="Verdana" w:hAnsi="Verdana"/>
      <w:kern w:val="0"/>
      <w:sz w:val="30"/>
      <w:szCs w:val="30"/>
      <w:lang w:eastAsia="en-US"/>
    </w:rPr>
  </w:style>
  <w:style w:type="table" w:default="1" w:styleId="48">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qFormat/>
    <w:uiPriority w:val="0"/>
    <w:pPr>
      <w:ind w:firstLine="420" w:firstLineChars="200"/>
    </w:pPr>
  </w:style>
  <w:style w:type="paragraph" w:styleId="13">
    <w:name w:val="Document Map"/>
    <w:basedOn w:val="1"/>
    <w:link w:val="73"/>
    <w:qFormat/>
    <w:uiPriority w:val="0"/>
    <w:pPr>
      <w:shd w:val="clear" w:color="auto" w:fill="000080"/>
    </w:pPr>
  </w:style>
  <w:style w:type="paragraph" w:styleId="14">
    <w:name w:val="toa heading"/>
    <w:basedOn w:val="1"/>
    <w:next w:val="1"/>
    <w:qFormat/>
    <w:uiPriority w:val="99"/>
    <w:pPr>
      <w:spacing w:before="120"/>
    </w:pPr>
    <w:rPr>
      <w:rFonts w:ascii="Arial" w:hAnsi="Arial"/>
      <w:sz w:val="24"/>
      <w:szCs w:val="20"/>
    </w:rPr>
  </w:style>
  <w:style w:type="paragraph" w:styleId="15">
    <w:name w:val="annotation text"/>
    <w:basedOn w:val="1"/>
    <w:link w:val="74"/>
    <w:qFormat/>
    <w:uiPriority w:val="0"/>
    <w:pPr>
      <w:jc w:val="left"/>
    </w:pPr>
  </w:style>
  <w:style w:type="paragraph" w:styleId="16">
    <w:name w:val="Body Text 3"/>
    <w:basedOn w:val="1"/>
    <w:link w:val="75"/>
    <w:qFormat/>
    <w:uiPriority w:val="0"/>
    <w:rPr>
      <w:rFonts w:ascii="宋体"/>
      <w:sz w:val="24"/>
      <w:szCs w:val="20"/>
    </w:rPr>
  </w:style>
  <w:style w:type="paragraph" w:styleId="17">
    <w:name w:val="Body Text"/>
    <w:basedOn w:val="1"/>
    <w:next w:val="1"/>
    <w:link w:val="76"/>
    <w:qFormat/>
    <w:uiPriority w:val="0"/>
    <w:pPr>
      <w:jc w:val="center"/>
    </w:pPr>
    <w:rPr>
      <w:b/>
      <w:bCs/>
      <w:sz w:val="44"/>
      <w:szCs w:val="20"/>
    </w:rPr>
  </w:style>
  <w:style w:type="paragraph" w:styleId="18">
    <w:name w:val="Body Text Indent"/>
    <w:basedOn w:val="1"/>
    <w:next w:val="19"/>
    <w:link w:val="77"/>
    <w:qFormat/>
    <w:uiPriority w:val="0"/>
    <w:pPr>
      <w:spacing w:line="500" w:lineRule="exact"/>
      <w:ind w:firstLine="538"/>
    </w:pPr>
    <w:rPr>
      <w:sz w:val="28"/>
    </w:rPr>
  </w:style>
  <w:style w:type="paragraph" w:styleId="19">
    <w:name w:val="envelope return"/>
    <w:basedOn w:val="1"/>
    <w:qFormat/>
    <w:uiPriority w:val="0"/>
    <w:pPr>
      <w:snapToGrid w:val="0"/>
    </w:pPr>
    <w:rPr>
      <w:rFonts w:ascii="Arial" w:hAnsi="Arial"/>
    </w:rPr>
  </w:style>
  <w:style w:type="paragraph" w:styleId="20">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1">
    <w:name w:val="index 4"/>
    <w:basedOn w:val="1"/>
    <w:next w:val="1"/>
    <w:qFormat/>
    <w:uiPriority w:val="0"/>
    <w:pPr>
      <w:ind w:left="600" w:leftChars="600"/>
    </w:pPr>
    <w:rPr>
      <w:rFonts w:ascii="Times New Roman" w:hAnsi="Times New Roman" w:eastAsia="宋体" w:cs="Times New Roman"/>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78"/>
    <w:qFormat/>
    <w:uiPriority w:val="99"/>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9"/>
    <w:qFormat/>
    <w:uiPriority w:val="0"/>
    <w:rPr>
      <w:rFonts w:ascii="仿宋_GB2312" w:eastAsia="仿宋_GB2312"/>
      <w:kern w:val="2"/>
      <w:sz w:val="30"/>
      <w:lang w:val="en-US" w:eastAsia="zh-CN" w:bidi="ar-SA"/>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link w:val="80"/>
    <w:qFormat/>
    <w:uiPriority w:val="0"/>
    <w:rPr>
      <w:sz w:val="18"/>
      <w:szCs w:val="18"/>
    </w:rPr>
  </w:style>
  <w:style w:type="paragraph" w:styleId="29">
    <w:name w:val="footer"/>
    <w:basedOn w:val="1"/>
    <w:link w:val="81"/>
    <w:qFormat/>
    <w:uiPriority w:val="0"/>
    <w:pPr>
      <w:tabs>
        <w:tab w:val="center" w:pos="4153"/>
        <w:tab w:val="right" w:pos="8306"/>
      </w:tabs>
      <w:snapToGrid w:val="0"/>
      <w:jc w:val="left"/>
    </w:pPr>
    <w:rPr>
      <w:sz w:val="18"/>
      <w:szCs w:val="18"/>
    </w:rPr>
  </w:style>
  <w:style w:type="paragraph" w:styleId="30">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List"/>
    <w:basedOn w:val="1"/>
    <w:qFormat/>
    <w:uiPriority w:val="0"/>
    <w:pPr>
      <w:ind w:left="420" w:hanging="420"/>
    </w:pPr>
    <w:rPr>
      <w:rFonts w:ascii="Arial" w:hAnsi="Arial" w:eastAsia="楷体_GB2312"/>
      <w:sz w:val="28"/>
      <w:szCs w:val="20"/>
    </w:rPr>
  </w:style>
  <w:style w:type="paragraph" w:styleId="34">
    <w:name w:val="footnote text"/>
    <w:basedOn w:val="1"/>
    <w:link w:val="83"/>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84"/>
    <w:qFormat/>
    <w:uiPriority w:val="0"/>
    <w:pPr>
      <w:spacing w:after="120"/>
      <w:ind w:left="420" w:leftChars="200"/>
    </w:pPr>
    <w:rPr>
      <w:sz w:val="16"/>
      <w:szCs w:val="16"/>
    </w:rPr>
  </w:style>
  <w:style w:type="paragraph" w:styleId="37">
    <w:name w:val="table of figures"/>
    <w:basedOn w:val="1"/>
    <w:next w:val="1"/>
    <w:qFormat/>
    <w:uiPriority w:val="0"/>
    <w:pPr>
      <w:ind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rPr>
  </w:style>
  <w:style w:type="paragraph" w:styleId="42">
    <w:name w:val="Normal (Web)"/>
    <w:basedOn w:val="1"/>
    <w:next w:val="43"/>
    <w:qFormat/>
    <w:uiPriority w:val="0"/>
    <w:pPr>
      <w:widowControl/>
      <w:jc w:val="left"/>
    </w:pPr>
    <w:rPr>
      <w:rFonts w:ascii="宋体" w:hAnsi="宋体" w:cs="宋体"/>
      <w:kern w:val="0"/>
      <w:sz w:val="18"/>
      <w:szCs w:val="18"/>
    </w:rPr>
  </w:style>
  <w:style w:type="paragraph" w:customStyle="1" w:styleId="43">
    <w:name w:val="正文文字 8"/>
    <w:basedOn w:val="1"/>
    <w:next w:val="1"/>
    <w:qFormat/>
    <w:uiPriority w:val="0"/>
    <w:pPr>
      <w:ind w:left="240"/>
    </w:pPr>
    <w:rPr>
      <w:sz w:val="16"/>
    </w:rPr>
  </w:style>
  <w:style w:type="paragraph" w:styleId="44">
    <w:name w:val="Title"/>
    <w:basedOn w:val="1"/>
    <w:next w:val="1"/>
    <w:link w:val="8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5"/>
    <w:next w:val="15"/>
    <w:link w:val="87"/>
    <w:qFormat/>
    <w:uiPriority w:val="0"/>
    <w:rPr>
      <w:b/>
      <w:bCs/>
    </w:rPr>
  </w:style>
  <w:style w:type="paragraph" w:styleId="46">
    <w:name w:val="Body Text First Indent"/>
    <w:basedOn w:val="17"/>
    <w:qFormat/>
    <w:uiPriority w:val="0"/>
    <w:pPr>
      <w:ind w:firstLine="420" w:firstLineChars="100"/>
    </w:pPr>
  </w:style>
  <w:style w:type="paragraph" w:styleId="47">
    <w:name w:val="Body Text First Indent 2"/>
    <w:basedOn w:val="18"/>
    <w:next w:val="33"/>
    <w:link w:val="88"/>
    <w:qFormat/>
    <w:uiPriority w:val="0"/>
    <w:pPr>
      <w:spacing w:after="120" w:line="240" w:lineRule="auto"/>
      <w:ind w:left="420" w:leftChars="200" w:firstLine="420" w:firstLineChars="200"/>
    </w:pPr>
    <w:rPr>
      <w:sz w:val="21"/>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lang w:eastAsia="en-US"/>
    </w:rPr>
  </w:style>
  <w:style w:type="character" w:styleId="52">
    <w:name w:val="page number"/>
    <w:qFormat/>
    <w:uiPriority w:val="0"/>
    <w:rPr>
      <w:lang w:eastAsia="en-US"/>
    </w:rPr>
  </w:style>
  <w:style w:type="character" w:styleId="53">
    <w:name w:val="FollowedHyperlink"/>
    <w:unhideWhenUsed/>
    <w:qFormat/>
    <w:uiPriority w:val="0"/>
    <w:rPr>
      <w:color w:val="800080"/>
      <w:u w:val="none"/>
      <w:lang w:eastAsia="en-US"/>
    </w:rPr>
  </w:style>
  <w:style w:type="character" w:styleId="54">
    <w:name w:val="Emphasis"/>
    <w:qFormat/>
    <w:uiPriority w:val="0"/>
    <w:rPr>
      <w:color w:val="CC0033"/>
    </w:rPr>
  </w:style>
  <w:style w:type="character" w:styleId="55">
    <w:name w:val="HTML Definition"/>
    <w:qFormat/>
    <w:uiPriority w:val="0"/>
  </w:style>
  <w:style w:type="character" w:styleId="56">
    <w:name w:val="HTML Typewriter"/>
    <w:qFormat/>
    <w:uiPriority w:val="0"/>
    <w:rPr>
      <w:rFonts w:ascii="monospace" w:hAnsi="monospace" w:eastAsia="monospace" w:cs="monospace"/>
      <w:sz w:val="20"/>
      <w:lang w:bidi="ar-SA"/>
    </w:rPr>
  </w:style>
  <w:style w:type="character" w:styleId="57">
    <w:name w:val="HTML Acronym"/>
    <w:qFormat/>
    <w:uiPriority w:val="0"/>
    <w:rPr>
      <w:lang w:eastAsia="en-US"/>
    </w:rPr>
  </w:style>
  <w:style w:type="character" w:styleId="58">
    <w:name w:val="HTML Variable"/>
    <w:qFormat/>
    <w:uiPriority w:val="0"/>
  </w:style>
  <w:style w:type="character" w:styleId="59">
    <w:name w:val="Hyperlink"/>
    <w:qFormat/>
    <w:uiPriority w:val="0"/>
    <w:rPr>
      <w:color w:val="333333"/>
      <w:u w:val="none"/>
      <w:lang w:eastAsia="en-US"/>
    </w:rPr>
  </w:style>
  <w:style w:type="character" w:styleId="60">
    <w:name w:val="HTML Code"/>
    <w:qFormat/>
    <w:uiPriority w:val="0"/>
    <w:rPr>
      <w:rFonts w:ascii="monospace" w:hAnsi="monospace" w:eastAsia="monospace" w:cs="monospace"/>
      <w:sz w:val="20"/>
      <w:lang w:bidi="ar-SA"/>
    </w:rPr>
  </w:style>
  <w:style w:type="character" w:styleId="61">
    <w:name w:val="annotation reference"/>
    <w:qFormat/>
    <w:uiPriority w:val="0"/>
    <w:rPr>
      <w:sz w:val="21"/>
      <w:szCs w:val="21"/>
    </w:rPr>
  </w:style>
  <w:style w:type="character" w:styleId="62">
    <w:name w:val="HTML Cite"/>
    <w:qFormat/>
    <w:uiPriority w:val="0"/>
  </w:style>
  <w:style w:type="character" w:styleId="63">
    <w:name w:val="footnote reference"/>
    <w:qFormat/>
    <w:uiPriority w:val="0"/>
    <w:rPr>
      <w:vertAlign w:val="superscript"/>
    </w:rPr>
  </w:style>
  <w:style w:type="character" w:styleId="64">
    <w:name w:val="HTML Keyboard"/>
    <w:qFormat/>
    <w:uiPriority w:val="0"/>
    <w:rPr>
      <w:rFonts w:ascii="monospace" w:hAnsi="monospace" w:eastAsia="monospace" w:cs="monospace"/>
      <w:sz w:val="20"/>
      <w:lang w:bidi="ar-SA"/>
    </w:rPr>
  </w:style>
  <w:style w:type="character" w:styleId="65">
    <w:name w:val="HTML Sample"/>
    <w:qFormat/>
    <w:uiPriority w:val="0"/>
    <w:rPr>
      <w:rFonts w:ascii="monospace" w:hAnsi="monospace" w:eastAsia="monospace" w:cs="monospace"/>
      <w:lang w:bidi="ar-SA"/>
    </w:rPr>
  </w:style>
  <w:style w:type="character" w:customStyle="1" w:styleId="66">
    <w:name w:val="标题 1 字符"/>
    <w:link w:val="3"/>
    <w:qFormat/>
    <w:uiPriority w:val="0"/>
    <w:rPr>
      <w:rFonts w:ascii="Times New Roman" w:hAnsi="Times New Roman" w:eastAsia="宋体"/>
      <w:b/>
      <w:bCs/>
      <w:kern w:val="44"/>
      <w:sz w:val="24"/>
      <w:szCs w:val="44"/>
    </w:rPr>
  </w:style>
  <w:style w:type="character" w:customStyle="1" w:styleId="67">
    <w:name w:val="标题 4 字符"/>
    <w:link w:val="5"/>
    <w:qFormat/>
    <w:uiPriority w:val="0"/>
    <w:rPr>
      <w:rFonts w:ascii="Arial" w:hAnsi="Arial" w:eastAsia="黑体"/>
      <w:b/>
      <w:bCs/>
      <w:kern w:val="2"/>
      <w:sz w:val="28"/>
      <w:szCs w:val="28"/>
      <w:lang w:eastAsia="en-US"/>
    </w:rPr>
  </w:style>
  <w:style w:type="character" w:customStyle="1" w:styleId="68">
    <w:name w:val="标题 5 字符"/>
    <w:link w:val="6"/>
    <w:qFormat/>
    <w:uiPriority w:val="0"/>
    <w:rPr>
      <w:rFonts w:ascii="Calibri" w:hAnsi="Calibri"/>
      <w:b/>
      <w:bCs/>
      <w:kern w:val="2"/>
      <w:sz w:val="28"/>
      <w:szCs w:val="28"/>
      <w:lang w:eastAsia="en-US"/>
    </w:rPr>
  </w:style>
  <w:style w:type="character" w:customStyle="1" w:styleId="69">
    <w:name w:val="标题 6 字符"/>
    <w:link w:val="7"/>
    <w:qFormat/>
    <w:uiPriority w:val="0"/>
    <w:rPr>
      <w:rFonts w:ascii="Arial" w:hAnsi="Arial" w:eastAsia="黑体"/>
      <w:b/>
      <w:bCs/>
      <w:sz w:val="24"/>
      <w:szCs w:val="24"/>
      <w:lang w:eastAsia="en-US"/>
    </w:rPr>
  </w:style>
  <w:style w:type="character" w:customStyle="1" w:styleId="70">
    <w:name w:val="标题 7 字符"/>
    <w:link w:val="8"/>
    <w:qFormat/>
    <w:uiPriority w:val="0"/>
    <w:rPr>
      <w:b/>
      <w:bCs/>
      <w:sz w:val="24"/>
      <w:szCs w:val="24"/>
      <w:lang w:eastAsia="en-US"/>
    </w:rPr>
  </w:style>
  <w:style w:type="character" w:customStyle="1" w:styleId="71">
    <w:name w:val="标题 8 字符"/>
    <w:link w:val="9"/>
    <w:qFormat/>
    <w:uiPriority w:val="0"/>
    <w:rPr>
      <w:rFonts w:ascii="Arial" w:hAnsi="Arial" w:eastAsia="黑体"/>
      <w:sz w:val="24"/>
      <w:szCs w:val="24"/>
      <w:lang w:eastAsia="en-US"/>
    </w:rPr>
  </w:style>
  <w:style w:type="character" w:customStyle="1" w:styleId="72">
    <w:name w:val="标题 9 字符"/>
    <w:link w:val="10"/>
    <w:qFormat/>
    <w:uiPriority w:val="0"/>
    <w:rPr>
      <w:rFonts w:ascii="Arial" w:hAnsi="Arial" w:eastAsia="黑体"/>
      <w:sz w:val="21"/>
      <w:szCs w:val="21"/>
      <w:lang w:eastAsia="en-US"/>
    </w:rPr>
  </w:style>
  <w:style w:type="character" w:customStyle="1" w:styleId="73">
    <w:name w:val="文档结构图 字符"/>
    <w:link w:val="13"/>
    <w:qFormat/>
    <w:uiPriority w:val="0"/>
    <w:rPr>
      <w:kern w:val="2"/>
      <w:sz w:val="21"/>
      <w:szCs w:val="24"/>
      <w:shd w:val="clear" w:color="auto" w:fill="000080"/>
      <w:lang w:eastAsia="en-US"/>
    </w:rPr>
  </w:style>
  <w:style w:type="character" w:customStyle="1" w:styleId="74">
    <w:name w:val="批注文字 字符"/>
    <w:link w:val="15"/>
    <w:qFormat/>
    <w:uiPriority w:val="0"/>
    <w:rPr>
      <w:kern w:val="2"/>
      <w:sz w:val="21"/>
      <w:szCs w:val="24"/>
      <w:lang w:eastAsia="en-US"/>
    </w:rPr>
  </w:style>
  <w:style w:type="character" w:customStyle="1" w:styleId="75">
    <w:name w:val="正文文本 3 字符"/>
    <w:link w:val="16"/>
    <w:qFormat/>
    <w:uiPriority w:val="0"/>
    <w:rPr>
      <w:rFonts w:ascii="宋体"/>
      <w:kern w:val="2"/>
      <w:sz w:val="24"/>
      <w:lang w:eastAsia="en-US"/>
    </w:rPr>
  </w:style>
  <w:style w:type="character" w:customStyle="1" w:styleId="76">
    <w:name w:val="正文文本 字符"/>
    <w:link w:val="17"/>
    <w:qFormat/>
    <w:uiPriority w:val="0"/>
    <w:rPr>
      <w:b/>
      <w:bCs/>
      <w:kern w:val="2"/>
      <w:sz w:val="44"/>
      <w:lang w:eastAsia="en-US"/>
    </w:rPr>
  </w:style>
  <w:style w:type="character" w:customStyle="1" w:styleId="77">
    <w:name w:val="正文文本缩进 字符"/>
    <w:link w:val="18"/>
    <w:qFormat/>
    <w:uiPriority w:val="0"/>
    <w:rPr>
      <w:kern w:val="2"/>
      <w:sz w:val="28"/>
      <w:szCs w:val="24"/>
      <w:lang w:eastAsia="en-US"/>
    </w:rPr>
  </w:style>
  <w:style w:type="character" w:customStyle="1" w:styleId="78">
    <w:name w:val="纯文本 字符"/>
    <w:link w:val="24"/>
    <w:qFormat/>
    <w:uiPriority w:val="99"/>
    <w:rPr>
      <w:rFonts w:ascii="Courier New" w:hAnsi="Courier New"/>
      <w:kern w:val="2"/>
      <w:sz w:val="21"/>
      <w:lang w:eastAsia="en-US"/>
    </w:rPr>
  </w:style>
  <w:style w:type="character" w:customStyle="1" w:styleId="79">
    <w:name w:val="日期 字符"/>
    <w:link w:val="26"/>
    <w:qFormat/>
    <w:uiPriority w:val="0"/>
    <w:rPr>
      <w:rFonts w:ascii="仿宋_GB2312" w:eastAsia="仿宋_GB2312"/>
      <w:kern w:val="2"/>
      <w:sz w:val="30"/>
      <w:lang w:val="en-US" w:eastAsia="zh-CN" w:bidi="ar-SA"/>
    </w:rPr>
  </w:style>
  <w:style w:type="character" w:customStyle="1" w:styleId="80">
    <w:name w:val="批注框文本 字符"/>
    <w:link w:val="28"/>
    <w:qFormat/>
    <w:uiPriority w:val="0"/>
    <w:rPr>
      <w:kern w:val="2"/>
      <w:sz w:val="18"/>
      <w:szCs w:val="18"/>
      <w:lang w:eastAsia="en-US"/>
    </w:rPr>
  </w:style>
  <w:style w:type="character" w:customStyle="1" w:styleId="81">
    <w:name w:val="页脚 字符"/>
    <w:link w:val="29"/>
    <w:qFormat/>
    <w:uiPriority w:val="0"/>
    <w:rPr>
      <w:kern w:val="2"/>
      <w:sz w:val="18"/>
      <w:szCs w:val="18"/>
      <w:lang w:eastAsia="en-US"/>
    </w:rPr>
  </w:style>
  <w:style w:type="character" w:customStyle="1" w:styleId="82">
    <w:name w:val="页眉 字符"/>
    <w:link w:val="30"/>
    <w:qFormat/>
    <w:uiPriority w:val="0"/>
    <w:rPr>
      <w:kern w:val="2"/>
      <w:sz w:val="18"/>
      <w:szCs w:val="18"/>
      <w:lang w:eastAsia="en-US"/>
    </w:rPr>
  </w:style>
  <w:style w:type="character" w:customStyle="1" w:styleId="83">
    <w:name w:val="脚注文本 字符"/>
    <w:link w:val="34"/>
    <w:qFormat/>
    <w:uiPriority w:val="0"/>
    <w:rPr>
      <w:kern w:val="2"/>
      <w:lang w:eastAsia="en-US"/>
    </w:rPr>
  </w:style>
  <w:style w:type="character" w:customStyle="1" w:styleId="84">
    <w:name w:val="正文文本缩进 3 字符"/>
    <w:link w:val="36"/>
    <w:qFormat/>
    <w:uiPriority w:val="0"/>
    <w:rPr>
      <w:kern w:val="2"/>
      <w:sz w:val="16"/>
      <w:szCs w:val="16"/>
      <w:lang w:eastAsia="en-US"/>
    </w:rPr>
  </w:style>
  <w:style w:type="character" w:customStyle="1" w:styleId="85">
    <w:name w:val="HTML 预设格式 字符"/>
    <w:link w:val="41"/>
    <w:qFormat/>
    <w:uiPriority w:val="0"/>
    <w:rPr>
      <w:rFonts w:ascii="宋体" w:hAnsi="Calibri"/>
      <w:sz w:val="24"/>
      <w:szCs w:val="24"/>
      <w:lang w:eastAsia="en-US"/>
    </w:rPr>
  </w:style>
  <w:style w:type="character" w:customStyle="1" w:styleId="86">
    <w:name w:val="标题 字符"/>
    <w:link w:val="44"/>
    <w:qFormat/>
    <w:uiPriority w:val="0"/>
    <w:rPr>
      <w:rFonts w:ascii="Arial" w:hAnsi="Arial"/>
      <w:b/>
      <w:sz w:val="32"/>
      <w:lang w:eastAsia="en-US"/>
    </w:rPr>
  </w:style>
  <w:style w:type="character" w:customStyle="1" w:styleId="87">
    <w:name w:val="批注主题 字符"/>
    <w:link w:val="45"/>
    <w:qFormat/>
    <w:uiPriority w:val="0"/>
    <w:rPr>
      <w:lang w:eastAsia="en-US"/>
    </w:rPr>
  </w:style>
  <w:style w:type="character" w:customStyle="1" w:styleId="88">
    <w:name w:val="正文文本首行缩进 2 字符"/>
    <w:link w:val="47"/>
    <w:qFormat/>
    <w:uiPriority w:val="0"/>
    <w:rPr>
      <w:lang w:eastAsia="en-US"/>
    </w:rPr>
  </w:style>
  <w:style w:type="paragraph" w:customStyle="1" w:styleId="89">
    <w:name w:val="样式1"/>
    <w:basedOn w:val="4"/>
    <w:qFormat/>
    <w:uiPriority w:val="0"/>
    <w:pPr>
      <w:spacing w:line="415" w:lineRule="auto"/>
    </w:pPr>
    <w:rPr>
      <w:rFonts w:eastAsia="Arial"/>
    </w:rPr>
  </w:style>
  <w:style w:type="character" w:customStyle="1" w:styleId="90">
    <w:name w:val="NormalCharacter"/>
    <w:qFormat/>
    <w:uiPriority w:val="0"/>
    <w:rPr>
      <w:kern w:val="2"/>
      <w:sz w:val="21"/>
      <w:szCs w:val="24"/>
      <w:lang w:val="en-US" w:eastAsia="zh-CN" w:bidi="ar-SA"/>
    </w:rPr>
  </w:style>
  <w:style w:type="paragraph" w:customStyle="1" w:styleId="91">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92">
    <w:name w:val="num81"/>
    <w:qFormat/>
    <w:uiPriority w:val="0"/>
    <w:rPr>
      <w:lang w:eastAsia="en-US"/>
    </w:rPr>
  </w:style>
  <w:style w:type="character" w:customStyle="1" w:styleId="93">
    <w:name w:val="标题 2 Char"/>
    <w:qFormat/>
    <w:uiPriority w:val="0"/>
    <w:rPr>
      <w:rFonts w:eastAsia="宋体"/>
      <w:sz w:val="24"/>
      <w:lang w:val="en-US" w:eastAsia="zh-CN" w:bidi="ar-SA"/>
    </w:rPr>
  </w:style>
  <w:style w:type="character" w:customStyle="1" w:styleId="94">
    <w:name w:val=" Char Char3"/>
    <w:qFormat/>
    <w:uiPriority w:val="0"/>
    <w:rPr>
      <w:rFonts w:ascii="Arial" w:hAnsi="Arial" w:eastAsia="黑体"/>
      <w:b/>
      <w:bCs/>
      <w:kern w:val="2"/>
      <w:sz w:val="32"/>
      <w:szCs w:val="32"/>
      <w:lang w:val="en-US" w:eastAsia="zh-CN" w:bidi="ar-SA"/>
    </w:rPr>
  </w:style>
  <w:style w:type="character" w:customStyle="1" w:styleId="95">
    <w:name w:val=" Char Char1"/>
    <w:qFormat/>
    <w:uiPriority w:val="0"/>
    <w:rPr>
      <w:rFonts w:eastAsia="宋体"/>
      <w:kern w:val="2"/>
      <w:sz w:val="21"/>
      <w:szCs w:val="24"/>
      <w:lang w:val="en-US" w:eastAsia="zh-CN" w:bidi="ar-SA"/>
    </w:rPr>
  </w:style>
  <w:style w:type="character" w:customStyle="1" w:styleId="96">
    <w:name w:val="font161"/>
    <w:qFormat/>
    <w:uiPriority w:val="0"/>
    <w:rPr>
      <w:b/>
      <w:bCs/>
      <w:sz w:val="32"/>
      <w:szCs w:val="32"/>
    </w:rPr>
  </w:style>
  <w:style w:type="character" w:customStyle="1" w:styleId="97">
    <w:name w:val="bigfont"/>
    <w:qFormat/>
    <w:uiPriority w:val="0"/>
    <w:rPr>
      <w:lang w:eastAsia="en-US"/>
    </w:rPr>
  </w:style>
  <w:style w:type="character" w:customStyle="1" w:styleId="98">
    <w:name w:val=" Char Char7"/>
    <w:qFormat/>
    <w:uiPriority w:val="0"/>
    <w:rPr>
      <w:rFonts w:ascii="Arial" w:hAnsi="Arial" w:eastAsia="黑体"/>
      <w:b/>
      <w:bCs/>
      <w:kern w:val="2"/>
      <w:sz w:val="32"/>
      <w:szCs w:val="32"/>
      <w:lang w:val="en-US" w:eastAsia="zh-CN" w:bidi="ar-SA"/>
    </w:rPr>
  </w:style>
  <w:style w:type="character" w:customStyle="1" w:styleId="99">
    <w:name w:val="starting1"/>
    <w:qFormat/>
    <w:uiPriority w:val="0"/>
    <w:rPr>
      <w:color w:val="339900"/>
    </w:rPr>
  </w:style>
  <w:style w:type="character" w:customStyle="1" w:styleId="100">
    <w:name w:val="l51"/>
    <w:qFormat/>
    <w:uiPriority w:val="0"/>
    <w:rPr>
      <w:color w:val="999999"/>
    </w:rPr>
  </w:style>
  <w:style w:type="character" w:customStyle="1" w:styleId="101">
    <w:name w:val="num61"/>
    <w:qFormat/>
    <w:uiPriority w:val="0"/>
    <w:rPr>
      <w:lang w:eastAsia="en-US"/>
    </w:rPr>
  </w:style>
  <w:style w:type="character" w:customStyle="1" w:styleId="102">
    <w:name w:val="l21"/>
    <w:qFormat/>
    <w:uiPriority w:val="0"/>
    <w:rPr>
      <w:color w:val="999999"/>
    </w:rPr>
  </w:style>
  <w:style w:type="character" w:customStyle="1" w:styleId="103">
    <w:name w:val="l11"/>
    <w:qFormat/>
    <w:uiPriority w:val="0"/>
    <w:rPr>
      <w:color w:val="999999"/>
    </w:rPr>
  </w:style>
  <w:style w:type="character" w:customStyle="1" w:styleId="104">
    <w:name w:val="job1"/>
    <w:qFormat/>
    <w:uiPriority w:val="0"/>
    <w:rPr>
      <w:lang w:eastAsia="en-US"/>
    </w:rPr>
  </w:style>
  <w:style w:type="character" w:customStyle="1" w:styleId="105">
    <w:name w:val="z-窗体底端 字符"/>
    <w:link w:val="106"/>
    <w:qFormat/>
    <w:uiPriority w:val="0"/>
    <w:rPr>
      <w:rFonts w:ascii="Arial" w:hAnsi="Calibri"/>
      <w:vanish/>
      <w:kern w:val="2"/>
      <w:sz w:val="16"/>
      <w:szCs w:val="24"/>
      <w:lang w:eastAsia="en-US"/>
    </w:rPr>
  </w:style>
  <w:style w:type="paragraph" w:customStyle="1" w:styleId="106">
    <w:name w:val="_Style 105"/>
    <w:basedOn w:val="1"/>
    <w:next w:val="1"/>
    <w:link w:val="105"/>
    <w:qFormat/>
    <w:uiPriority w:val="0"/>
    <w:pPr>
      <w:pBdr>
        <w:top w:val="single" w:color="auto" w:sz="6" w:space="1"/>
      </w:pBdr>
      <w:jc w:val="center"/>
    </w:pPr>
    <w:rPr>
      <w:rFonts w:ascii="Arial" w:hAnsi="Calibri"/>
      <w:vanish/>
      <w:sz w:val="16"/>
    </w:rPr>
  </w:style>
  <w:style w:type="character" w:customStyle="1" w:styleId="107">
    <w:name w:val="纯文本 Char1"/>
    <w:qFormat/>
    <w:uiPriority w:val="0"/>
    <w:rPr>
      <w:rFonts w:ascii="Courier New" w:hAnsi="Courier New" w:eastAsia="宋体"/>
      <w:kern w:val="2"/>
      <w:sz w:val="21"/>
      <w:lang w:val="en-US" w:eastAsia="zh-CN" w:bidi="ar-SA"/>
    </w:rPr>
  </w:style>
  <w:style w:type="character" w:customStyle="1" w:styleId="108">
    <w:name w:val="num71"/>
    <w:qFormat/>
    <w:uiPriority w:val="0"/>
    <w:rPr>
      <w:lang w:eastAsia="en-US"/>
    </w:rPr>
  </w:style>
  <w:style w:type="character" w:customStyle="1" w:styleId="109">
    <w:name w:val="name1"/>
    <w:qFormat/>
    <w:uiPriority w:val="0"/>
    <w:rPr>
      <w:color w:val="695435"/>
      <w:sz w:val="24"/>
      <w:szCs w:val="24"/>
    </w:rPr>
  </w:style>
  <w:style w:type="character" w:customStyle="1" w:styleId="110">
    <w:name w:val="starting"/>
    <w:qFormat/>
    <w:uiPriority w:val="0"/>
    <w:rPr>
      <w:color w:val="339900"/>
    </w:rPr>
  </w:style>
  <w:style w:type="character" w:customStyle="1" w:styleId="111">
    <w:name w:val="num210"/>
    <w:qFormat/>
    <w:uiPriority w:val="0"/>
    <w:rPr>
      <w:lang w:eastAsia="en-US"/>
    </w:rPr>
  </w:style>
  <w:style w:type="character" w:customStyle="1" w:styleId="112">
    <w:name w:val="l7"/>
    <w:qFormat/>
    <w:uiPriority w:val="0"/>
    <w:rPr>
      <w:color w:val="999999"/>
    </w:rPr>
  </w:style>
  <w:style w:type="character" w:customStyle="1" w:styleId="113">
    <w:name w:val="Char Char7"/>
    <w:qFormat/>
    <w:uiPriority w:val="0"/>
    <w:rPr>
      <w:rFonts w:ascii="Arial" w:hAnsi="Arial" w:eastAsia="黑体"/>
      <w:b/>
      <w:bCs/>
      <w:kern w:val="2"/>
      <w:sz w:val="32"/>
      <w:szCs w:val="32"/>
      <w:lang w:val="en-US" w:eastAsia="zh-CN" w:bidi="ar-SA"/>
    </w:rPr>
  </w:style>
  <w:style w:type="character" w:customStyle="1" w:styleId="114">
    <w:name w:val="num31"/>
    <w:qFormat/>
    <w:uiPriority w:val="0"/>
    <w:rPr>
      <w:lang w:eastAsia="en-US"/>
    </w:rPr>
  </w:style>
  <w:style w:type="character" w:customStyle="1" w:styleId="115">
    <w:name w:val="txt1"/>
    <w:qFormat/>
    <w:uiPriority w:val="0"/>
    <w:rPr>
      <w:lang w:eastAsia="en-US"/>
    </w:rPr>
  </w:style>
  <w:style w:type="character" w:customStyle="1" w:styleId="116">
    <w:name w:val="Char Char2"/>
    <w:qFormat/>
    <w:uiPriority w:val="0"/>
    <w:rPr>
      <w:rFonts w:eastAsia="宋体"/>
      <w:kern w:val="2"/>
      <w:sz w:val="21"/>
      <w:szCs w:val="24"/>
      <w:lang w:val="en-US" w:eastAsia="zh-CN" w:bidi="ar-SA"/>
    </w:rPr>
  </w:style>
  <w:style w:type="character" w:customStyle="1" w:styleId="117">
    <w:name w:val=" Char Char5"/>
    <w:qFormat/>
    <w:uiPriority w:val="0"/>
    <w:rPr>
      <w:rFonts w:ascii="Arial" w:hAnsi="Arial" w:eastAsia="黑体"/>
      <w:b/>
      <w:bCs/>
      <w:kern w:val="2"/>
      <w:sz w:val="32"/>
      <w:szCs w:val="32"/>
    </w:rPr>
  </w:style>
  <w:style w:type="character" w:customStyle="1" w:styleId="118">
    <w:name w:val="msg-box29"/>
    <w:qFormat/>
    <w:uiPriority w:val="0"/>
    <w:rPr>
      <w:lang w:eastAsia="en-US"/>
    </w:rPr>
  </w:style>
  <w:style w:type="character" w:customStyle="1" w:styleId="119">
    <w:name w:val="标题 2 Char1"/>
    <w:qFormat/>
    <w:uiPriority w:val="0"/>
    <w:rPr>
      <w:rFonts w:ascii="Arial" w:hAnsi="Arial" w:eastAsia="黑体"/>
      <w:b/>
      <w:bCs/>
      <w:kern w:val="2"/>
      <w:sz w:val="32"/>
      <w:szCs w:val="32"/>
      <w:lang w:val="en-US" w:eastAsia="zh-CN" w:bidi="ar-SA"/>
    </w:rPr>
  </w:style>
  <w:style w:type="character" w:customStyle="1" w:styleId="120">
    <w:name w:val="c1"/>
    <w:qFormat/>
    <w:uiPriority w:val="0"/>
    <w:rPr>
      <w:lang w:eastAsia="en-US"/>
    </w:rPr>
  </w:style>
  <w:style w:type="character" w:customStyle="1" w:styleId="121">
    <w:name w:val="txt"/>
    <w:qFormat/>
    <w:uiPriority w:val="0"/>
    <w:rPr>
      <w:color w:val="C0C0C0"/>
    </w:rPr>
  </w:style>
  <w:style w:type="character" w:customStyle="1" w:styleId="122">
    <w:name w:val="c2"/>
    <w:qFormat/>
    <w:uiPriority w:val="0"/>
    <w:rPr>
      <w:lang w:eastAsia="en-US"/>
    </w:rPr>
  </w:style>
  <w:style w:type="character" w:customStyle="1" w:styleId="123">
    <w:name w:val="16"/>
    <w:qFormat/>
    <w:uiPriority w:val="0"/>
    <w:rPr>
      <w:rFonts w:ascii="仿宋_GB2312" w:eastAsia="仿宋_GB2312"/>
      <w:color w:val="auto"/>
      <w:sz w:val="28"/>
      <w:szCs w:val="28"/>
    </w:rPr>
  </w:style>
  <w:style w:type="character" w:customStyle="1" w:styleId="124">
    <w:name w:val="over3"/>
    <w:qFormat/>
    <w:uiPriority w:val="0"/>
    <w:rPr>
      <w:lang w:eastAsia="en-US"/>
    </w:rPr>
  </w:style>
  <w:style w:type="character" w:customStyle="1" w:styleId="125">
    <w:name w:val="nostart"/>
    <w:qFormat/>
    <w:uiPriority w:val="0"/>
    <w:rPr>
      <w:color w:val="FF0000"/>
    </w:rPr>
  </w:style>
  <w:style w:type="character" w:customStyle="1" w:styleId="126">
    <w:name w:val="name"/>
    <w:qFormat/>
    <w:uiPriority w:val="0"/>
    <w:rPr>
      <w:color w:val="444444"/>
      <w:sz w:val="21"/>
      <w:szCs w:val="21"/>
    </w:rPr>
  </w:style>
  <w:style w:type="character" w:customStyle="1" w:styleId="127">
    <w:name w:val="tit12"/>
    <w:qFormat/>
    <w:uiPriority w:val="0"/>
    <w:rPr>
      <w:color w:val="04A06C"/>
    </w:rPr>
  </w:style>
  <w:style w:type="character" w:customStyle="1" w:styleId="128">
    <w:name w:val="标题 2 Char2"/>
    <w:qFormat/>
    <w:uiPriority w:val="0"/>
    <w:rPr>
      <w:rFonts w:eastAsia="宋体"/>
      <w:sz w:val="24"/>
      <w:lang w:val="en-US" w:eastAsia="zh-CN" w:bidi="ar-SA"/>
    </w:rPr>
  </w:style>
  <w:style w:type="character" w:customStyle="1" w:styleId="129">
    <w:name w:val="name2"/>
    <w:qFormat/>
    <w:uiPriority w:val="0"/>
    <w:rPr>
      <w:color w:val="000000"/>
      <w:sz w:val="39"/>
      <w:szCs w:val="39"/>
    </w:rPr>
  </w:style>
  <w:style w:type="character" w:customStyle="1" w:styleId="130">
    <w:name w:val="job"/>
    <w:qFormat/>
    <w:uiPriority w:val="0"/>
    <w:rPr>
      <w:lang w:eastAsia="en-US"/>
    </w:rPr>
  </w:style>
  <w:style w:type="character" w:customStyle="1" w:styleId="131">
    <w:name w:val="tit14"/>
    <w:qFormat/>
    <w:uiPriority w:val="0"/>
    <w:rPr>
      <w:color w:val="B60000"/>
    </w:rPr>
  </w:style>
  <w:style w:type="character" w:customStyle="1" w:styleId="132">
    <w:name w:val="buvis"/>
    <w:qFormat/>
    <w:uiPriority w:val="0"/>
    <w:rPr>
      <w:color w:val="999999"/>
    </w:rPr>
  </w:style>
  <w:style w:type="character" w:customStyle="1" w:styleId="133">
    <w:name w:val="textcontents"/>
    <w:qFormat/>
    <w:uiPriority w:val="0"/>
    <w:rPr>
      <w:lang w:eastAsia="en-US"/>
    </w:rPr>
  </w:style>
  <w:style w:type="character" w:customStyle="1" w:styleId="134">
    <w:name w:val="over1"/>
    <w:qFormat/>
    <w:uiPriority w:val="0"/>
    <w:rPr>
      <w:color w:val="B60000"/>
    </w:rPr>
  </w:style>
  <w:style w:type="character" w:customStyle="1" w:styleId="135">
    <w:name w:val="tit13"/>
    <w:qFormat/>
    <w:uiPriority w:val="0"/>
    <w:rPr>
      <w:color w:val="FFFFFF"/>
    </w:rPr>
  </w:style>
  <w:style w:type="character" w:customStyle="1" w:styleId="136">
    <w:name w:val="nostart2"/>
    <w:qFormat/>
    <w:uiPriority w:val="0"/>
    <w:rPr>
      <w:color w:val="B60000"/>
    </w:rPr>
  </w:style>
  <w:style w:type="character" w:customStyle="1" w:styleId="137">
    <w:name w:val="标题 2 Char Char"/>
    <w:qFormat/>
    <w:locked/>
    <w:uiPriority w:val="0"/>
    <w:rPr>
      <w:rFonts w:ascii="Arial" w:hAnsi="Arial" w:eastAsia="黑体"/>
      <w:b/>
      <w:bCs/>
      <w:kern w:val="2"/>
      <w:sz w:val="32"/>
      <w:szCs w:val="32"/>
      <w:lang w:val="en-US" w:eastAsia="zh-CN" w:bidi="ar-SA"/>
    </w:rPr>
  </w:style>
  <w:style w:type="character" w:customStyle="1" w:styleId="138">
    <w:name w:val="unit"/>
    <w:qFormat/>
    <w:uiPriority w:val="0"/>
    <w:rPr>
      <w:color w:val="999999"/>
    </w:rPr>
  </w:style>
  <w:style w:type="character" w:customStyle="1" w:styleId="139">
    <w:name w:val="l3"/>
    <w:qFormat/>
    <w:uiPriority w:val="0"/>
    <w:rPr>
      <w:color w:val="999999"/>
    </w:rPr>
  </w:style>
  <w:style w:type="character" w:customStyle="1" w:styleId="140">
    <w:name w:val="z-窗体顶端 字符"/>
    <w:link w:val="141"/>
    <w:qFormat/>
    <w:uiPriority w:val="0"/>
    <w:rPr>
      <w:rFonts w:ascii="Arial" w:hAnsi="Calibri"/>
      <w:vanish/>
      <w:kern w:val="2"/>
      <w:sz w:val="16"/>
      <w:szCs w:val="24"/>
      <w:lang w:eastAsia="en-US"/>
    </w:rPr>
  </w:style>
  <w:style w:type="paragraph" w:customStyle="1" w:styleId="141">
    <w:name w:val="_Style 140"/>
    <w:basedOn w:val="1"/>
    <w:next w:val="1"/>
    <w:link w:val="140"/>
    <w:qFormat/>
    <w:uiPriority w:val="0"/>
    <w:pPr>
      <w:pBdr>
        <w:bottom w:val="single" w:color="auto" w:sz="6" w:space="1"/>
      </w:pBdr>
      <w:jc w:val="center"/>
    </w:pPr>
    <w:rPr>
      <w:rFonts w:ascii="Arial" w:hAnsi="Calibri"/>
      <w:vanish/>
      <w:sz w:val="16"/>
    </w:rPr>
  </w:style>
  <w:style w:type="character" w:customStyle="1" w:styleId="142">
    <w:name w:val="p05"/>
    <w:qFormat/>
    <w:uiPriority w:val="0"/>
    <w:rPr>
      <w:lang w:eastAsia="en-US"/>
    </w:rPr>
  </w:style>
  <w:style w:type="character" w:customStyle="1" w:styleId="143">
    <w:name w:val="l41"/>
    <w:qFormat/>
    <w:uiPriority w:val="0"/>
    <w:rPr>
      <w:color w:val="999999"/>
    </w:rPr>
  </w:style>
  <w:style w:type="character" w:customStyle="1" w:styleId="144">
    <w:name w:val="font31"/>
    <w:qFormat/>
    <w:uiPriority w:val="0"/>
    <w:rPr>
      <w:rFonts w:hint="eastAsia" w:ascii="仿宋_GB2312" w:eastAsia="仿宋_GB2312" w:cs="仿宋_GB2312"/>
      <w:color w:val="000000"/>
      <w:sz w:val="28"/>
      <w:szCs w:val="28"/>
      <w:u w:val="single"/>
      <w:lang w:eastAsia="en-US"/>
    </w:rPr>
  </w:style>
  <w:style w:type="character" w:customStyle="1" w:styleId="145">
    <w:name w:val="zs"/>
    <w:qFormat/>
    <w:uiPriority w:val="0"/>
    <w:rPr>
      <w:color w:val="8D744B"/>
      <w:sz w:val="18"/>
      <w:szCs w:val="18"/>
    </w:rPr>
  </w:style>
  <w:style w:type="character" w:customStyle="1" w:styleId="146">
    <w:name w:val="starting2"/>
    <w:qFormat/>
    <w:uiPriority w:val="0"/>
    <w:rPr>
      <w:color w:val="B60000"/>
    </w:rPr>
  </w:style>
  <w:style w:type="character" w:customStyle="1" w:styleId="147">
    <w:name w:val="标题 1 Char Char"/>
    <w:qFormat/>
    <w:locked/>
    <w:uiPriority w:val="0"/>
    <w:rPr>
      <w:rFonts w:eastAsia="宋体"/>
      <w:b/>
      <w:bCs/>
      <w:kern w:val="44"/>
      <w:sz w:val="44"/>
      <w:szCs w:val="44"/>
      <w:lang w:val="en-US" w:eastAsia="zh-CN" w:bidi="ar-SA"/>
    </w:rPr>
  </w:style>
  <w:style w:type="character" w:customStyle="1" w:styleId="148">
    <w:name w:val=" Char Char2"/>
    <w:qFormat/>
    <w:uiPriority w:val="0"/>
    <w:rPr>
      <w:rFonts w:eastAsia="宋体"/>
      <w:kern w:val="2"/>
      <w:sz w:val="21"/>
      <w:szCs w:val="24"/>
      <w:lang w:val="en-US" w:eastAsia="zh-CN" w:bidi="ar-SA"/>
    </w:rPr>
  </w:style>
  <w:style w:type="character" w:customStyle="1" w:styleId="149">
    <w:name w:val="msg-box28"/>
    <w:qFormat/>
    <w:uiPriority w:val="0"/>
    <w:rPr>
      <w:lang w:eastAsia="en-US"/>
    </w:rPr>
  </w:style>
  <w:style w:type="character" w:customStyle="1" w:styleId="150">
    <w:name w:val="img_title7"/>
    <w:qFormat/>
    <w:uiPriority w:val="0"/>
    <w:rPr>
      <w:vanish/>
    </w:rPr>
  </w:style>
  <w:style w:type="character" w:customStyle="1" w:styleId="151">
    <w:name w:val="c3"/>
    <w:qFormat/>
    <w:uiPriority w:val="0"/>
    <w:rPr>
      <w:lang w:eastAsia="en-US"/>
    </w:rPr>
  </w:style>
  <w:style w:type="character" w:customStyle="1" w:styleId="152">
    <w:name w:val="zw"/>
    <w:qFormat/>
    <w:uiPriority w:val="0"/>
    <w:rPr>
      <w:color w:val="BD1E22"/>
      <w:sz w:val="22"/>
      <w:szCs w:val="22"/>
    </w:rPr>
  </w:style>
  <w:style w:type="character" w:customStyle="1" w:styleId="153">
    <w:name w:val="Char Char8"/>
    <w:qFormat/>
    <w:uiPriority w:val="0"/>
    <w:rPr>
      <w:rFonts w:ascii="Arial" w:hAnsi="Arial" w:eastAsia="黑体"/>
      <w:b/>
      <w:bCs/>
      <w:kern w:val="2"/>
      <w:sz w:val="32"/>
      <w:szCs w:val="32"/>
      <w:lang w:val="en-US" w:eastAsia="zh-CN" w:bidi="ar-SA"/>
    </w:rPr>
  </w:style>
  <w:style w:type="character" w:customStyle="1" w:styleId="154">
    <w:name w:val="datetime"/>
    <w:qFormat/>
    <w:uiPriority w:val="0"/>
    <w:rPr>
      <w:rFonts w:ascii="Arial" w:hAnsi="Arial" w:cs="Arial"/>
      <w:color w:val="999999"/>
      <w:sz w:val="21"/>
      <w:szCs w:val="21"/>
      <w:lang w:bidi="ar-SA"/>
    </w:rPr>
  </w:style>
  <w:style w:type="character" w:customStyle="1" w:styleId="155">
    <w:name w:val="starting4"/>
    <w:qFormat/>
    <w:uiPriority w:val="0"/>
    <w:rPr>
      <w:lang w:eastAsia="en-US"/>
    </w:rPr>
  </w:style>
  <w:style w:type="character" w:customStyle="1" w:styleId="156">
    <w:name w:val="bsharetext"/>
    <w:qFormat/>
    <w:uiPriority w:val="0"/>
    <w:rPr>
      <w:lang w:eastAsia="en-US"/>
    </w:rPr>
  </w:style>
  <w:style w:type="character" w:customStyle="1" w:styleId="157">
    <w:name w:val="l6"/>
    <w:qFormat/>
    <w:uiPriority w:val="0"/>
    <w:rPr>
      <w:color w:val="999999"/>
    </w:rPr>
  </w:style>
  <w:style w:type="character" w:customStyle="1" w:styleId="158">
    <w:name w:val="img4"/>
    <w:qFormat/>
    <w:uiPriority w:val="0"/>
    <w:rPr>
      <w:lang w:eastAsia="en-US"/>
    </w:rPr>
  </w:style>
  <w:style w:type="character" w:customStyle="1" w:styleId="159">
    <w:name w:val="msg-box31"/>
    <w:qFormat/>
    <w:uiPriority w:val="0"/>
    <w:rPr>
      <w:lang w:eastAsia="en-US"/>
    </w:rPr>
  </w:style>
  <w:style w:type="character" w:customStyle="1" w:styleId="160">
    <w:name w:val="17"/>
    <w:qFormat/>
    <w:uiPriority w:val="0"/>
    <w:rPr>
      <w:rFonts w:ascii="仿宋_GB2312" w:eastAsia="仿宋_GB2312"/>
      <w:color w:val="auto"/>
      <w:sz w:val="28"/>
      <w:szCs w:val="28"/>
      <w:u w:val="single"/>
    </w:rPr>
  </w:style>
  <w:style w:type="character" w:customStyle="1" w:styleId="161">
    <w:name w:val="tit15"/>
    <w:qFormat/>
    <w:uiPriority w:val="0"/>
    <w:rPr>
      <w:b/>
      <w:color w:val="B60000"/>
    </w:rPr>
  </w:style>
  <w:style w:type="character" w:customStyle="1" w:styleId="162">
    <w:name w:val="nostart3"/>
    <w:qFormat/>
    <w:uiPriority w:val="0"/>
    <w:rPr>
      <w:lang w:eastAsia="en-US"/>
    </w:rPr>
  </w:style>
  <w:style w:type="character" w:customStyle="1" w:styleId="163">
    <w:name w:val="red"/>
    <w:qFormat/>
    <w:uiPriority w:val="0"/>
    <w:rPr>
      <w:rFonts w:ascii="Arial" w:hAnsi="Arial" w:cs="Arial"/>
      <w:color w:val="E50000"/>
      <w:lang w:bidi="ar-SA"/>
    </w:rPr>
  </w:style>
  <w:style w:type="character" w:customStyle="1" w:styleId="164">
    <w:name w:val="over2"/>
    <w:qFormat/>
    <w:uiPriority w:val="0"/>
    <w:rPr>
      <w:color w:val="999999"/>
    </w:rPr>
  </w:style>
  <w:style w:type="character" w:customStyle="1" w:styleId="165">
    <w:name w:val=" Char Char4"/>
    <w:qFormat/>
    <w:uiPriority w:val="0"/>
    <w:rPr>
      <w:rFonts w:eastAsia="宋体"/>
      <w:b/>
      <w:bCs/>
      <w:kern w:val="44"/>
      <w:sz w:val="44"/>
      <w:szCs w:val="44"/>
      <w:lang w:val="en-US" w:eastAsia="zh-CN" w:bidi="ar-SA"/>
    </w:rPr>
  </w:style>
  <w:style w:type="character" w:customStyle="1" w:styleId="166">
    <w:name w:val="over"/>
    <w:qFormat/>
    <w:uiPriority w:val="0"/>
    <w:rPr>
      <w:color w:val="B60000"/>
    </w:rPr>
  </w:style>
  <w:style w:type="character" w:customStyle="1" w:styleId="167">
    <w:name w:val="num41"/>
    <w:qFormat/>
    <w:uiPriority w:val="0"/>
    <w:rPr>
      <w:lang w:eastAsia="en-US"/>
    </w:rPr>
  </w:style>
  <w:style w:type="character" w:customStyle="1" w:styleId="168">
    <w:name w:val="num51"/>
    <w:qFormat/>
    <w:uiPriority w:val="0"/>
    <w:rPr>
      <w:lang w:eastAsia="en-US"/>
    </w:rPr>
  </w:style>
  <w:style w:type="character" w:customStyle="1" w:styleId="169">
    <w:name w:val="img_title6"/>
    <w:qFormat/>
    <w:uiPriority w:val="0"/>
    <w:rPr>
      <w:vanish/>
    </w:rPr>
  </w:style>
  <w:style w:type="character" w:customStyle="1" w:styleId="170">
    <w:name w:val="font01"/>
    <w:qFormat/>
    <w:uiPriority w:val="0"/>
    <w:rPr>
      <w:rFonts w:hint="eastAsia" w:ascii="仿宋_GB2312" w:eastAsia="仿宋_GB2312" w:cs="仿宋_GB2312"/>
      <w:color w:val="000000"/>
      <w:sz w:val="28"/>
      <w:szCs w:val="28"/>
      <w:u w:val="none"/>
      <w:lang w:eastAsia="en-US"/>
    </w:rPr>
  </w:style>
  <w:style w:type="character" w:customStyle="1" w:styleId="171">
    <w:name w:val=" Char Char"/>
    <w:qFormat/>
    <w:uiPriority w:val="0"/>
    <w:rPr>
      <w:rFonts w:ascii="Arial" w:hAnsi="Arial" w:eastAsia="黑体"/>
      <w:b/>
      <w:bCs/>
      <w:kern w:val="2"/>
      <w:sz w:val="32"/>
      <w:szCs w:val="32"/>
      <w:lang w:val="en-US" w:eastAsia="zh-CN" w:bidi="ar-SA"/>
    </w:rPr>
  </w:style>
  <w:style w:type="character" w:customStyle="1" w:styleId="172">
    <w:name w:val="msg-box30"/>
    <w:qFormat/>
    <w:uiPriority w:val="0"/>
    <w:rPr>
      <w:lang w:eastAsia="en-US"/>
    </w:rPr>
  </w:style>
  <w:style w:type="character" w:customStyle="1" w:styleId="173">
    <w:name w:val="buvis1"/>
    <w:qFormat/>
    <w:uiPriority w:val="0"/>
    <w:rPr>
      <w:color w:val="CC0000"/>
    </w:rPr>
  </w:style>
  <w:style w:type="character" w:customStyle="1" w:styleId="174">
    <w:name w:val="tit10"/>
    <w:qFormat/>
    <w:uiPriority w:val="0"/>
    <w:rPr>
      <w:color w:val="B60000"/>
    </w:rPr>
  </w:style>
  <w:style w:type="character" w:customStyle="1" w:styleId="175">
    <w:name w:val=" Char Char8"/>
    <w:qFormat/>
    <w:uiPriority w:val="0"/>
    <w:rPr>
      <w:rFonts w:ascii="Arial" w:hAnsi="Arial" w:eastAsia="黑体"/>
      <w:b/>
      <w:bCs/>
      <w:kern w:val="2"/>
      <w:sz w:val="32"/>
      <w:szCs w:val="32"/>
      <w:lang w:val="en-US" w:eastAsia="zh-CN" w:bidi="ar-SA"/>
    </w:rPr>
  </w:style>
  <w:style w:type="character" w:customStyle="1" w:styleId="176">
    <w:name w:val="jg"/>
    <w:qFormat/>
    <w:uiPriority w:val="0"/>
    <w:rPr>
      <w:lang w:eastAsia="en-US"/>
    </w:rPr>
  </w:style>
  <w:style w:type="character" w:customStyle="1" w:styleId="177">
    <w:name w:val="mesg-myd"/>
    <w:qFormat/>
    <w:uiPriority w:val="0"/>
    <w:rPr>
      <w:color w:val="EE0000"/>
    </w:rPr>
  </w:style>
  <w:style w:type="character" w:customStyle="1" w:styleId="178">
    <w:name w:val="img_title9"/>
    <w:qFormat/>
    <w:uiPriority w:val="0"/>
    <w:rPr>
      <w:vanish/>
    </w:rPr>
  </w:style>
  <w:style w:type="character" w:customStyle="1" w:styleId="179">
    <w:name w:val="nostart1"/>
    <w:qFormat/>
    <w:uiPriority w:val="0"/>
    <w:rPr>
      <w:color w:val="FF0000"/>
    </w:rPr>
  </w:style>
  <w:style w:type="character" w:customStyle="1" w:styleId="180">
    <w:name w:val="tit11"/>
    <w:qFormat/>
    <w:uiPriority w:val="0"/>
    <w:rPr>
      <w:color w:val="B60000"/>
    </w:rPr>
  </w:style>
  <w:style w:type="character" w:customStyle="1" w:styleId="181">
    <w:name w:val="starting3"/>
    <w:qFormat/>
    <w:uiPriority w:val="0"/>
    <w:rPr>
      <w:lang w:eastAsia="en-US"/>
    </w:rPr>
  </w:style>
  <w:style w:type="character" w:customStyle="1" w:styleId="182">
    <w:name w:val="tit9"/>
    <w:qFormat/>
    <w:uiPriority w:val="0"/>
    <w:rPr>
      <w:color w:val="B60000"/>
      <w:sz w:val="27"/>
      <w:szCs w:val="27"/>
      <w:bdr w:val="single" w:color="DFCEB8" w:sz="6" w:space="0"/>
      <w:shd w:val="clear" w:color="auto" w:fill="FFFFFF"/>
    </w:rPr>
  </w:style>
  <w:style w:type="character" w:customStyle="1" w:styleId="183">
    <w:name w:val="img_title8"/>
    <w:qFormat/>
    <w:uiPriority w:val="0"/>
    <w:rPr>
      <w:vanish/>
    </w:rPr>
  </w:style>
  <w:style w:type="character" w:customStyle="1" w:styleId="184">
    <w:name w:val=" Char Char Char"/>
    <w:qFormat/>
    <w:uiPriority w:val="0"/>
    <w:rPr>
      <w:rFonts w:eastAsia="宋体"/>
      <w:b/>
      <w:bCs/>
      <w:kern w:val="44"/>
      <w:sz w:val="44"/>
      <w:szCs w:val="44"/>
      <w:lang w:val="en-US" w:eastAsia="zh-CN" w:bidi="ar-SA"/>
    </w:rPr>
  </w:style>
  <w:style w:type="paragraph" w:customStyle="1" w:styleId="18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WPSOffice手动目录 1"/>
    <w:qFormat/>
    <w:uiPriority w:val="0"/>
    <w:rPr>
      <w:rFonts w:ascii="Times New Roman" w:hAnsi="Times New Roman" w:eastAsia="宋体" w:cs="Times New Roman"/>
      <w:lang w:val="en-US" w:eastAsia="zh-CN" w:bidi="ar-SA"/>
    </w:rPr>
  </w:style>
  <w:style w:type="paragraph" w:customStyle="1" w:styleId="18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88">
    <w:name w:val="列出段落1"/>
    <w:basedOn w:val="1"/>
    <w:qFormat/>
    <w:uiPriority w:val="0"/>
    <w:pPr>
      <w:ind w:firstLine="200" w:firstLineChars="200"/>
    </w:pPr>
    <w:rPr>
      <w:rFonts w:ascii="Calibri" w:hAnsi="Calibri"/>
    </w:rPr>
  </w:style>
  <w:style w:type="paragraph" w:customStyle="1" w:styleId="189">
    <w:name w:val="Table Paragraph"/>
    <w:basedOn w:val="1"/>
    <w:qFormat/>
    <w:uiPriority w:val="1"/>
    <w:rPr>
      <w:rFonts w:ascii="宋体" w:hAnsi="宋体" w:cs="宋体"/>
      <w:lang w:val="zh-CN" w:bidi="zh-CN"/>
    </w:rPr>
  </w:style>
  <w:style w:type="paragraph" w:customStyle="1" w:styleId="190">
    <w:name w:val="样式4"/>
    <w:basedOn w:val="4"/>
    <w:qFormat/>
    <w:uiPriority w:val="0"/>
    <w:pPr>
      <w:spacing w:line="415" w:lineRule="auto"/>
    </w:pPr>
    <w:rPr>
      <w:rFonts w:eastAsia="Arial"/>
    </w:rPr>
  </w:style>
  <w:style w:type="paragraph" w:customStyle="1" w:styleId="19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92">
    <w:name w:val="Char4"/>
    <w:basedOn w:val="1"/>
    <w:qFormat/>
    <w:uiPriority w:val="0"/>
    <w:pPr>
      <w:widowControl/>
      <w:spacing w:line="360" w:lineRule="auto"/>
      <w:ind w:firstLine="200" w:firstLineChars="200"/>
      <w:textAlignment w:val="baseline"/>
    </w:pPr>
    <w:rPr>
      <w:rFonts w:ascii="Calibri" w:hAnsi="Calibri"/>
      <w:color w:val="000000"/>
      <w:kern w:val="0"/>
      <w:szCs w:val="20"/>
      <w:u w:val="none" w:color="000000"/>
    </w:rPr>
  </w:style>
  <w:style w:type="paragraph" w:customStyle="1" w:styleId="19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4">
    <w:name w:val=" Char Char Char Char Char Char Char Char Char Char Char Char Char"/>
    <w:basedOn w:val="1"/>
    <w:qFormat/>
    <w:uiPriority w:val="0"/>
    <w:rPr>
      <w:rFonts w:ascii="Calibri" w:hAnsi="Calibri"/>
    </w:rPr>
  </w:style>
  <w:style w:type="paragraph" w:customStyle="1" w:styleId="195">
    <w:name w:val="表格文字"/>
    <w:basedOn w:val="1"/>
    <w:qFormat/>
    <w:uiPriority w:val="0"/>
    <w:pPr>
      <w:adjustRightInd w:val="0"/>
      <w:spacing w:line="420" w:lineRule="atLeast"/>
      <w:jc w:val="left"/>
      <w:textAlignment w:val="baseline"/>
    </w:pPr>
    <w:rPr>
      <w:kern w:val="0"/>
      <w:szCs w:val="20"/>
    </w:rPr>
  </w:style>
  <w:style w:type="paragraph" w:customStyle="1" w:styleId="196">
    <w:name w:val=" Char Char Char Char"/>
    <w:basedOn w:val="1"/>
    <w:qFormat/>
    <w:uiPriority w:val="0"/>
    <w:rPr>
      <w:rFonts w:ascii="Tahoma" w:hAnsi="Tahoma"/>
      <w:sz w:val="24"/>
      <w:szCs w:val="20"/>
    </w:rPr>
  </w:style>
  <w:style w:type="paragraph" w:customStyle="1" w:styleId="197">
    <w:name w:val="p15"/>
    <w:qFormat/>
    <w:uiPriority w:val="0"/>
    <w:pPr>
      <w:jc w:val="both"/>
    </w:pPr>
    <w:rPr>
      <w:rFonts w:ascii="宋体" w:hAnsi="Times New Roman" w:eastAsia="宋体" w:cs="宋体"/>
      <w:sz w:val="21"/>
      <w:szCs w:val="21"/>
      <w:lang w:val="en-US" w:eastAsia="zh-CN" w:bidi="ar-SA"/>
    </w:rPr>
  </w:style>
  <w:style w:type="paragraph" w:customStyle="1" w:styleId="19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199">
    <w:name w:val="默认段落字体 Para Char Char Char Char"/>
    <w:basedOn w:val="1"/>
    <w:qFormat/>
    <w:uiPriority w:val="0"/>
  </w:style>
  <w:style w:type="paragraph" w:customStyle="1" w:styleId="200">
    <w:name w:val=" Char1 Char Char Char Char Char Char Char Char Char Char Char Char1 Char Char Char Char Char1 Char Char Char Char Char Char Char Char Char1 Char"/>
    <w:basedOn w:val="1"/>
    <w:qFormat/>
    <w:uiPriority w:val="0"/>
    <w:pPr>
      <w:widowControl/>
      <w:spacing w:after="160" w:line="240" w:lineRule="exact"/>
      <w:ind w:firstLine="560" w:firstLineChars="200"/>
      <w:jc w:val="left"/>
    </w:pPr>
    <w:rPr>
      <w:rFonts w:ascii="宋体" w:hAnsi="宋体"/>
      <w:kern w:val="0"/>
      <w:sz w:val="28"/>
      <w:szCs w:val="28"/>
      <w:lang w:eastAsia="en-US"/>
    </w:rPr>
  </w:style>
  <w:style w:type="paragraph" w:customStyle="1" w:styleId="201">
    <w:name w:val="Normal"/>
    <w:qFormat/>
    <w:uiPriority w:val="0"/>
    <w:pPr>
      <w:widowControl w:val="0"/>
      <w:jc w:val="both"/>
    </w:pPr>
    <w:rPr>
      <w:rFonts w:ascii="Times New Roman" w:hAnsi="Times New Roman" w:eastAsia="宋体" w:cs="Times New Roman"/>
      <w:lang w:val="en-US" w:eastAsia="zh-CN" w:bidi="ar-SA"/>
    </w:rPr>
  </w:style>
  <w:style w:type="paragraph" w:customStyle="1" w:styleId="202">
    <w:name w:val="p"/>
    <w:basedOn w:val="1"/>
    <w:qFormat/>
    <w:uiPriority w:val="0"/>
    <w:rPr>
      <w:rFonts w:ascii="宋体"/>
      <w:sz w:val="24"/>
    </w:rPr>
  </w:style>
  <w:style w:type="paragraph" w:customStyle="1" w:styleId="203">
    <w:name w:val="1"/>
    <w:basedOn w:val="1"/>
    <w:next w:val="1"/>
    <w:qFormat/>
    <w:uiPriority w:val="0"/>
  </w:style>
  <w:style w:type="paragraph" w:customStyle="1" w:styleId="204">
    <w:name w:val="p0 New"/>
    <w:basedOn w:val="1"/>
    <w:qFormat/>
    <w:uiPriority w:val="0"/>
    <w:pPr>
      <w:widowControl/>
      <w:jc w:val="left"/>
    </w:pPr>
    <w:rPr>
      <w:rFonts w:ascii="宋体" w:hAnsi="Calibri" w:cs="宋体"/>
      <w:kern w:val="0"/>
      <w:sz w:val="18"/>
      <w:szCs w:val="18"/>
    </w:rPr>
  </w:style>
  <w:style w:type="paragraph" w:customStyle="1" w:styleId="20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06">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207">
    <w:name w:val="Default Paragraph Char Char Char Char"/>
    <w:basedOn w:val="1"/>
    <w:next w:val="1"/>
    <w:qFormat/>
    <w:uiPriority w:val="0"/>
    <w:pPr>
      <w:spacing w:line="360" w:lineRule="auto"/>
    </w:pPr>
    <w:rPr>
      <w:rFonts w:ascii="Calibri" w:hAnsi="Calibri"/>
      <w:szCs w:val="20"/>
    </w:rPr>
  </w:style>
  <w:style w:type="paragraph" w:customStyle="1" w:styleId="208">
    <w:name w:val=" Char"/>
    <w:basedOn w:val="1"/>
    <w:next w:val="1"/>
    <w:qFormat/>
    <w:uiPriority w:val="0"/>
    <w:pPr>
      <w:widowControl/>
      <w:spacing w:line="360" w:lineRule="auto"/>
      <w:jc w:val="left"/>
    </w:pPr>
    <w:rPr>
      <w:kern w:val="0"/>
      <w:szCs w:val="20"/>
      <w:lang w:eastAsia="en-US"/>
    </w:rPr>
  </w:style>
  <w:style w:type="paragraph" w:customStyle="1" w:styleId="209">
    <w:name w:val="WPSOffice手动目录 3"/>
    <w:qFormat/>
    <w:uiPriority w:val="0"/>
    <w:pPr>
      <w:ind w:leftChars="400"/>
    </w:pPr>
    <w:rPr>
      <w:rFonts w:ascii="Times New Roman" w:hAnsi="Times New Roman" w:eastAsia="宋体" w:cs="Times New Roman"/>
      <w:lang w:val="en-US" w:eastAsia="zh-CN" w:bidi="ar-SA"/>
    </w:rPr>
  </w:style>
  <w:style w:type="paragraph" w:customStyle="1" w:styleId="210">
    <w:name w:val="表格"/>
    <w:basedOn w:val="1"/>
    <w:qFormat/>
    <w:uiPriority w:val="0"/>
    <w:pPr>
      <w:jc w:val="center"/>
      <w:textAlignment w:val="center"/>
    </w:pPr>
    <w:rPr>
      <w:rFonts w:ascii="华文细黑" w:hAnsi="华文细黑"/>
      <w:kern w:val="0"/>
      <w:szCs w:val="20"/>
    </w:rPr>
  </w:style>
  <w:style w:type="paragraph" w:customStyle="1" w:styleId="211">
    <w:name w:val="Char Char"/>
    <w:basedOn w:val="1"/>
    <w:qFormat/>
    <w:uiPriority w:val="0"/>
    <w:pPr>
      <w:widowControl/>
      <w:spacing w:after="160" w:afterLines="0" w:line="240" w:lineRule="exact"/>
      <w:jc w:val="left"/>
    </w:pPr>
  </w:style>
  <w:style w:type="paragraph" w:customStyle="1" w:styleId="212">
    <w:name w:val="p0"/>
    <w:basedOn w:val="1"/>
    <w:qFormat/>
    <w:uiPriority w:val="0"/>
    <w:pPr>
      <w:widowControl/>
      <w:jc w:val="left"/>
    </w:pPr>
    <w:rPr>
      <w:rFonts w:ascii="宋体" w:hAnsi="宋体" w:cs="宋体"/>
      <w:kern w:val="0"/>
      <w:sz w:val="18"/>
      <w:szCs w:val="18"/>
    </w:rPr>
  </w:style>
  <w:style w:type="paragraph" w:customStyle="1" w:styleId="213">
    <w:name w:val="样式2"/>
    <w:basedOn w:val="4"/>
    <w:qFormat/>
    <w:uiPriority w:val="0"/>
    <w:pPr>
      <w:spacing w:line="415" w:lineRule="auto"/>
    </w:pPr>
  </w:style>
  <w:style w:type="paragraph" w:customStyle="1" w:styleId="214">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215">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216">
    <w:name w:val="List Paragraph"/>
    <w:basedOn w:val="1"/>
    <w:qFormat/>
    <w:uiPriority w:val="0"/>
    <w:pPr>
      <w:ind w:firstLine="200" w:firstLineChars="200"/>
    </w:pPr>
    <w:rPr>
      <w:rFonts w:ascii="Calibri" w:hAnsi="Calibri"/>
      <w:szCs w:val="22"/>
    </w:rPr>
  </w:style>
  <w:style w:type="paragraph" w:customStyle="1" w:styleId="217">
    <w:name w:val="Char Char Char Char Char Char Char Char Char Char Char Char Char"/>
    <w:basedOn w:val="1"/>
    <w:qFormat/>
    <w:uiPriority w:val="0"/>
  </w:style>
  <w:style w:type="paragraph" w:customStyle="1" w:styleId="218">
    <w:name w:val="Char"/>
    <w:basedOn w:val="1"/>
    <w:next w:val="1"/>
    <w:qFormat/>
    <w:uiPriority w:val="0"/>
    <w:pPr>
      <w:widowControl/>
      <w:spacing w:line="360" w:lineRule="auto"/>
      <w:jc w:val="left"/>
    </w:pPr>
    <w:rPr>
      <w:kern w:val="0"/>
      <w:szCs w:val="20"/>
      <w:lang w:eastAsia="en-US"/>
    </w:rPr>
  </w:style>
  <w:style w:type="paragraph" w:customStyle="1" w:styleId="219">
    <w:name w:val="WPSOffice手动目录 2"/>
    <w:qFormat/>
    <w:uiPriority w:val="0"/>
    <w:pPr>
      <w:ind w:leftChars="200"/>
    </w:pPr>
    <w:rPr>
      <w:rFonts w:ascii="Times New Roman" w:hAnsi="Times New Roman" w:eastAsia="宋体" w:cs="Times New Roman"/>
      <w:lang w:val="en-US" w:eastAsia="zh-CN" w:bidi="ar-SA"/>
    </w:rPr>
  </w:style>
  <w:style w:type="paragraph" w:customStyle="1" w:styleId="220">
    <w:name w:val="样式3"/>
    <w:basedOn w:val="4"/>
    <w:qFormat/>
    <w:uiPriority w:val="0"/>
    <w:pPr>
      <w:spacing w:line="415" w:lineRule="auto"/>
    </w:pPr>
    <w:rPr>
      <w:rFonts w:eastAsia="Arial"/>
    </w:rPr>
  </w:style>
  <w:style w:type="paragraph" w:customStyle="1" w:styleId="221">
    <w:name w:val="Body Text First Indent 2"/>
    <w:basedOn w:val="222"/>
    <w:next w:val="224"/>
    <w:qFormat/>
    <w:uiPriority w:val="0"/>
    <w:pPr>
      <w:ind w:firstLine="420"/>
    </w:pPr>
    <w:rPr>
      <w:rFonts w:ascii="Times New Roman" w:hAnsi="Times New Roman" w:eastAsia="宋体" w:cs="Times New Roman"/>
    </w:rPr>
  </w:style>
  <w:style w:type="paragraph" w:customStyle="1" w:styleId="222">
    <w:name w:val="Body Text Indent"/>
    <w:basedOn w:val="1"/>
    <w:next w:val="223"/>
    <w:qFormat/>
    <w:uiPriority w:val="0"/>
    <w:pPr>
      <w:spacing w:after="120" w:afterLines="0"/>
      <w:ind w:left="420" w:leftChars="200"/>
    </w:pPr>
    <w:rPr>
      <w:rFonts w:ascii="Times New Roman" w:hAnsi="Times New Roman" w:eastAsia="宋体" w:cs="Times New Roman"/>
    </w:rPr>
  </w:style>
  <w:style w:type="paragraph" w:customStyle="1" w:styleId="223">
    <w:name w:val="envelope return"/>
    <w:basedOn w:val="1"/>
    <w:qFormat/>
    <w:uiPriority w:val="0"/>
    <w:pPr>
      <w:snapToGrid w:val="0"/>
    </w:pPr>
    <w:rPr>
      <w:rFonts w:ascii="Arial" w:hAnsi="Arial"/>
    </w:rPr>
  </w:style>
  <w:style w:type="paragraph" w:customStyle="1" w:styleId="224">
    <w:name w:val="List"/>
    <w:basedOn w:val="1"/>
    <w:next w:val="1"/>
    <w:qFormat/>
    <w:uiPriority w:val="0"/>
    <w:pPr>
      <w:widowControl w:val="0"/>
      <w:spacing w:line="240" w:lineRule="auto"/>
      <w:ind w:left="420" w:hanging="420"/>
    </w:pPr>
    <w:rPr>
      <w:rFonts w:ascii="Arial" w:eastAsia="楷体_GB2312"/>
      <w:sz w:val="28"/>
    </w:rPr>
  </w:style>
  <w:style w:type="character" w:customStyle="1" w:styleId="225">
    <w:name w:val="first-child"/>
    <w:qFormat/>
    <w:uiPriority w:val="0"/>
    <w:rPr>
      <w:lang w:eastAsia="en-US"/>
    </w:rPr>
  </w:style>
  <w:style w:type="character" w:customStyle="1" w:styleId="226">
    <w:name w:val="layui-this"/>
    <w:qFormat/>
    <w:uiPriority w:val="0"/>
    <w:rPr>
      <w:bdr w:val="single" w:color="EEEEEE" w:sz="6" w:space="0"/>
      <w:shd w:val="clear" w:color="auto" w:fill="FFFFFF"/>
      <w:lang w:eastAsia="en-US"/>
    </w:rPr>
  </w:style>
  <w:style w:type="character" w:customStyle="1" w:styleId="227">
    <w:name w:val="active"/>
    <w:qFormat/>
    <w:uiPriority w:val="0"/>
    <w:rPr>
      <w:color w:val="FFFFFF"/>
      <w:shd w:val="clear" w:color="auto" w:fill="E22323"/>
      <w:lang w:eastAsia="en-US"/>
    </w:rPr>
  </w:style>
  <w:style w:type="character" w:customStyle="1" w:styleId="228">
    <w:name w:val="hover5"/>
    <w:qFormat/>
    <w:uiPriority w:val="0"/>
    <w:rPr>
      <w:color w:val="0063BA"/>
      <w:lang w:eastAsia="en-US"/>
    </w:rPr>
  </w:style>
  <w:style w:type="character" w:customStyle="1" w:styleId="229">
    <w:name w:val="margin_right202"/>
    <w:qFormat/>
    <w:uiPriority w:val="0"/>
    <w:rPr>
      <w:lang w:eastAsia="en-US"/>
    </w:rPr>
  </w:style>
  <w:style w:type="character" w:customStyle="1" w:styleId="230">
    <w:name w:val="before"/>
    <w:qFormat/>
    <w:uiPriority w:val="0"/>
    <w:rPr>
      <w:shd w:val="clear" w:color="auto" w:fill="E22323"/>
      <w:lang w:eastAsia="en-US"/>
    </w:rPr>
  </w:style>
  <w:style w:type="character" w:customStyle="1" w:styleId="231">
    <w:name w:val="hover"/>
    <w:qFormat/>
    <w:uiPriority w:val="0"/>
    <w:rPr>
      <w:color w:val="0063BA"/>
      <w:lang w:eastAsia="en-US"/>
    </w:rPr>
  </w:style>
  <w:style w:type="character" w:customStyle="1" w:styleId="232">
    <w:name w:val="active6"/>
    <w:qFormat/>
    <w:uiPriority w:val="0"/>
    <w:rPr>
      <w:color w:val="FFFFFF"/>
      <w:shd w:val="clear" w:color="auto" w:fill="E22323"/>
      <w:lang w:eastAsia="en-US"/>
    </w:rPr>
  </w:style>
  <w:style w:type="paragraph" w:customStyle="1" w:styleId="233">
    <w:name w:val="xl25"/>
    <w:basedOn w:val="1"/>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character" w:customStyle="1" w:styleId="234">
    <w:name w:val="font41"/>
    <w:basedOn w:val="50"/>
    <w:qFormat/>
    <w:uiPriority w:val="0"/>
    <w:rPr>
      <w:rFonts w:hint="eastAsia" w:ascii="宋体" w:hAnsi="宋体" w:eastAsia="宋体" w:cs="宋体"/>
      <w:color w:val="000000"/>
      <w:sz w:val="20"/>
      <w:szCs w:val="20"/>
      <w:u w:val="none"/>
    </w:rPr>
  </w:style>
  <w:style w:type="character" w:customStyle="1" w:styleId="235">
    <w:name w:val="c-icon28"/>
    <w:basedOn w:val="50"/>
    <w:qFormat/>
    <w:uiPriority w:val="0"/>
  </w:style>
  <w:style w:type="character" w:customStyle="1" w:styleId="236">
    <w:name w:val="hover24"/>
    <w:basedOn w:val="50"/>
    <w:qFormat/>
    <w:uiPriority w:val="0"/>
    <w:rPr>
      <w:color w:val="315EFB"/>
    </w:rPr>
  </w:style>
  <w:style w:type="character" w:customStyle="1" w:styleId="237">
    <w:name w:val="hover25"/>
    <w:basedOn w:val="50"/>
    <w:qFormat/>
    <w:uiPriority w:val="0"/>
  </w:style>
  <w:style w:type="character" w:customStyle="1" w:styleId="238">
    <w:name w:val="hover26"/>
    <w:basedOn w:val="50"/>
    <w:qFormat/>
    <w:uiPriority w:val="0"/>
    <w:rPr>
      <w:color w:val="315EFB"/>
    </w:rPr>
  </w:style>
  <w:style w:type="character" w:customStyle="1" w:styleId="239">
    <w:name w:val="hover1"/>
    <w:basedOn w:val="50"/>
    <w:qFormat/>
    <w:uiPriority w:val="0"/>
    <w:rPr>
      <w:color w:val="315EFB"/>
    </w:rPr>
  </w:style>
  <w:style w:type="character" w:customStyle="1" w:styleId="240">
    <w:name w:val="hover2"/>
    <w:basedOn w:val="50"/>
    <w:qFormat/>
    <w:uiPriority w:val="0"/>
    <w:rPr>
      <w:color w:val="315EFB"/>
    </w:rPr>
  </w:style>
  <w:style w:type="character" w:customStyle="1" w:styleId="241">
    <w:name w:val="c-icon26"/>
    <w:basedOn w:val="50"/>
    <w:qFormat/>
    <w:uiPriority w:val="0"/>
  </w:style>
  <w:style w:type="paragraph" w:customStyle="1" w:styleId="242">
    <w:name w:val="页眉1"/>
    <w:basedOn w:val="1"/>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18"/>
    </w:rPr>
  </w:style>
  <w:style w:type="paragraph" w:customStyle="1" w:styleId="243">
    <w:name w:val="页脚1"/>
    <w:basedOn w:val="1"/>
    <w:qFormat/>
    <w:uiPriority w:val="0"/>
    <w:pPr>
      <w:tabs>
        <w:tab w:val="center" w:pos="4153"/>
        <w:tab w:val="right" w:pos="8306"/>
      </w:tabs>
      <w:snapToGrid w:val="0"/>
      <w:jc w:val="left"/>
    </w:pPr>
    <w:rPr>
      <w:sz w:val="18"/>
      <w:szCs w:val="18"/>
    </w:rPr>
  </w:style>
  <w:style w:type="paragraph" w:customStyle="1" w:styleId="244">
    <w:name w:val="xl31"/>
    <w:basedOn w:val="1"/>
    <w:qFormat/>
    <w:uiPriority w:val="0"/>
    <w:pPr>
      <w:widowControl/>
      <w:spacing w:before="100" w:beforeAutospacing="1" w:after="100" w:afterAutospacing="1"/>
      <w:jc w:val="center"/>
    </w:pPr>
    <w:rPr>
      <w:b/>
      <w:bCs/>
      <w:kern w:val="0"/>
      <w:sz w:val="28"/>
      <w:szCs w:val="28"/>
    </w:rPr>
  </w:style>
  <w:style w:type="paragraph" w:customStyle="1" w:styleId="245">
    <w:name w:val="Char Char Char Char Char Char Char1 Char"/>
    <w:basedOn w:val="1"/>
    <w:qFormat/>
    <w:uiPriority w:val="0"/>
    <w:rPr>
      <w:rFonts w:ascii="Arial" w:hAnsi="Arial" w:eastAsia="宋体" w:cs="Arial"/>
      <w:sz w:val="24"/>
    </w:rPr>
  </w:style>
  <w:style w:type="paragraph" w:customStyle="1" w:styleId="246">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15872</Words>
  <Characters>16953</Characters>
  <Lines>205</Lines>
  <Paragraphs>57</Paragraphs>
  <TotalTime>7</TotalTime>
  <ScaleCrop>false</ScaleCrop>
  <LinksUpToDate>false</LinksUpToDate>
  <CharactersWithSpaces>18809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2020-06-17T01:37:00Z</dcterms:created>
  <dc:creator>微软用户</dc:creator>
  <cp:lastModifiedBy>韦韦</cp:lastModifiedBy>
  <cp:lastPrinted>2024-05-23T02:54:00Z</cp:lastPrinted>
  <dcterms:modified xsi:type="dcterms:W3CDTF">2026-06-22T09:34:43Z</dcterms:modified>
  <dc:title>花亭路等道路绿化工程苗木比价采购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DE6E045687F74594AE526D95DEB7F11F_13</vt:lpwstr>
  </property>
  <property fmtid="{D5CDD505-2E9C-101B-9397-08002B2CF9AE}" pid="4" name="KSOTemplateDocerSaveRecord">
    <vt:lpwstr>eyJoZGlkIjoiZmQ5MGI3YTdkMjVkZTZjM2ZjZTQ5YjMxYTJjZjRlOWEiLCJ1c2VySWQiOiIzNjE4MjQ5In0=</vt:lpwstr>
  </property>
</Properties>
</file>