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F75E">
      <w:pPr>
        <w:ind w:right="-315" w:rightChars="-150"/>
        <w:jc w:val="both"/>
        <w:rPr>
          <w:rFonts w:hint="eastAsia" w:ascii="宋体" w:hAnsi="宋体" w:eastAsia="宋体" w:cs="宋体"/>
          <w:b/>
          <w:bCs/>
          <w:sz w:val="48"/>
          <w:szCs w:val="48"/>
          <w:highlight w:val="none"/>
        </w:rPr>
      </w:pPr>
    </w:p>
    <w:p w14:paraId="542F8F3C">
      <w:pPr>
        <w:keepNext w:val="0"/>
        <w:keepLines w:val="0"/>
        <w:pageBreakBefore w:val="0"/>
        <w:widowControl w:val="0"/>
        <w:kinsoku/>
        <w:wordWrap/>
        <w:overflowPunct/>
        <w:topLinePunct w:val="0"/>
        <w:autoSpaceDE/>
        <w:autoSpaceDN/>
        <w:bidi w:val="0"/>
        <w:adjustRightInd/>
        <w:snapToGrid/>
        <w:spacing w:before="136" w:beforeLines="50" w:after="136" w:afterLines="50" w:line="800" w:lineRule="exact"/>
        <w:jc w:val="center"/>
        <w:textAlignment w:val="auto"/>
        <w:rPr>
          <w:rFonts w:hint="default"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滁州军粮部分区域装修改造工程</w:t>
      </w:r>
    </w:p>
    <w:p w14:paraId="645B150D">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宋体" w:hAnsi="宋体" w:eastAsia="宋体" w:cs="宋体"/>
          <w:bCs/>
          <w:sz w:val="56"/>
          <w:szCs w:val="20"/>
          <w:highlight w:val="none"/>
        </w:rPr>
      </w:pPr>
    </w:p>
    <w:p w14:paraId="6C0C5F86">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宋体" w:hAnsi="宋体" w:eastAsia="宋体" w:cs="宋体"/>
          <w:bCs/>
          <w:sz w:val="56"/>
          <w:szCs w:val="20"/>
          <w:highlight w:val="none"/>
        </w:rPr>
      </w:pPr>
      <w:r>
        <w:rPr>
          <w:rFonts w:hint="eastAsia" w:ascii="宋体" w:hAnsi="宋体" w:eastAsia="宋体" w:cs="宋体"/>
          <w:bCs/>
          <w:sz w:val="56"/>
          <w:szCs w:val="20"/>
          <w:highlight w:val="none"/>
        </w:rPr>
        <w:t>招 标 文 件</w:t>
      </w:r>
    </w:p>
    <w:p w14:paraId="7E29DD26">
      <w:pPr>
        <w:spacing w:line="480" w:lineRule="exact"/>
        <w:rPr>
          <w:rFonts w:hint="eastAsia" w:ascii="宋体" w:hAnsi="宋体" w:eastAsia="宋体" w:cs="宋体"/>
          <w:b/>
          <w:bCs/>
          <w:sz w:val="44"/>
          <w:highlight w:val="none"/>
        </w:rPr>
      </w:pPr>
    </w:p>
    <w:p w14:paraId="51655C26">
      <w:pPr>
        <w:spacing w:line="480" w:lineRule="exact"/>
        <w:ind w:firstLine="643" w:firstLineChars="200"/>
        <w:jc w:val="center"/>
        <w:rPr>
          <w:rFonts w:hint="default" w:ascii="宋体" w:hAnsi="宋体" w:eastAsia="宋体" w:cs="宋体"/>
          <w:b/>
          <w:bCs/>
          <w:sz w:val="32"/>
          <w:highlight w:val="none"/>
          <w:lang w:val="en-US" w:eastAsia="zh-CN"/>
        </w:rPr>
      </w:pPr>
    </w:p>
    <w:p w14:paraId="1EC85D8C">
      <w:pPr>
        <w:spacing w:line="480" w:lineRule="exact"/>
        <w:rPr>
          <w:rFonts w:hint="eastAsia" w:ascii="宋体" w:hAnsi="宋体" w:eastAsia="宋体" w:cs="宋体"/>
          <w:b/>
          <w:bCs/>
          <w:sz w:val="32"/>
          <w:highlight w:val="none"/>
        </w:rPr>
      </w:pPr>
    </w:p>
    <w:p w14:paraId="5ED19172">
      <w:pPr>
        <w:spacing w:line="480" w:lineRule="exact"/>
        <w:rPr>
          <w:rFonts w:hint="eastAsia" w:ascii="宋体" w:hAnsi="宋体" w:eastAsia="宋体" w:cs="宋体"/>
          <w:b/>
          <w:bCs/>
          <w:sz w:val="32"/>
          <w:highlight w:val="none"/>
        </w:rPr>
      </w:pPr>
    </w:p>
    <w:p w14:paraId="697CA577">
      <w:pPr>
        <w:spacing w:line="480" w:lineRule="exact"/>
        <w:rPr>
          <w:rFonts w:hint="eastAsia" w:ascii="宋体" w:hAnsi="宋体" w:eastAsia="宋体" w:cs="宋体"/>
          <w:b/>
          <w:bCs/>
          <w:sz w:val="32"/>
          <w:highlight w:val="none"/>
        </w:rPr>
      </w:pPr>
    </w:p>
    <w:p w14:paraId="673E5DB8">
      <w:pPr>
        <w:spacing w:line="480" w:lineRule="exact"/>
        <w:rPr>
          <w:rFonts w:hint="eastAsia" w:ascii="宋体" w:hAnsi="宋体" w:eastAsia="宋体" w:cs="宋体"/>
          <w:b/>
          <w:bCs/>
          <w:sz w:val="32"/>
          <w:highlight w:val="none"/>
        </w:rPr>
      </w:pPr>
    </w:p>
    <w:p w14:paraId="0F607866">
      <w:pPr>
        <w:spacing w:line="480" w:lineRule="exact"/>
        <w:rPr>
          <w:rFonts w:hint="eastAsia" w:ascii="宋体" w:hAnsi="宋体" w:eastAsia="宋体" w:cs="宋体"/>
          <w:b/>
          <w:bCs/>
          <w:sz w:val="32"/>
          <w:highlight w:val="none"/>
        </w:rPr>
      </w:pPr>
    </w:p>
    <w:p w14:paraId="138E3B01">
      <w:pPr>
        <w:spacing w:line="480" w:lineRule="exact"/>
        <w:rPr>
          <w:rFonts w:hint="eastAsia" w:ascii="宋体" w:hAnsi="宋体" w:eastAsia="宋体" w:cs="宋体"/>
          <w:b/>
          <w:bCs/>
          <w:sz w:val="32"/>
          <w:highlight w:val="none"/>
        </w:rPr>
      </w:pPr>
    </w:p>
    <w:p w14:paraId="768B0890">
      <w:pPr>
        <w:adjustRightInd w:val="0"/>
        <w:snapToGrid w:val="0"/>
        <w:ind w:firstLine="662" w:firstLineChars="194"/>
        <w:rPr>
          <w:rFonts w:hint="eastAsia" w:ascii="宋体" w:hAnsi="宋体" w:eastAsia="宋体" w:cs="宋体"/>
          <w:b/>
          <w:spacing w:val="30"/>
          <w:sz w:val="28"/>
          <w:szCs w:val="28"/>
          <w:highlight w:val="none"/>
        </w:rPr>
      </w:pPr>
    </w:p>
    <w:p w14:paraId="101A05EE">
      <w:pPr>
        <w:adjustRightInd w:val="0"/>
        <w:snapToGrid w:val="0"/>
        <w:ind w:firstLine="662" w:firstLineChars="194"/>
        <w:rPr>
          <w:rFonts w:hint="eastAsia" w:ascii="宋体" w:hAnsi="宋体" w:eastAsia="宋体" w:cs="宋体"/>
          <w:b/>
          <w:spacing w:val="30"/>
          <w:sz w:val="28"/>
          <w:szCs w:val="28"/>
          <w:highlight w:val="none"/>
        </w:rPr>
      </w:pPr>
    </w:p>
    <w:p w14:paraId="55BA14A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spacing w:val="30"/>
          <w:sz w:val="28"/>
          <w:szCs w:val="28"/>
          <w:highlight w:val="none"/>
        </w:rPr>
      </w:pPr>
    </w:p>
    <w:p w14:paraId="344CECD6">
      <w:pPr>
        <w:keepNext w:val="0"/>
        <w:keepLines w:val="0"/>
        <w:pageBreakBefore w:val="0"/>
        <w:widowControl/>
        <w:kinsoku/>
        <w:wordWrap/>
        <w:overflowPunct/>
        <w:topLinePunct w:val="0"/>
        <w:autoSpaceDE/>
        <w:autoSpaceDN/>
        <w:bidi w:val="0"/>
        <w:adjustRightInd/>
        <w:snapToGrid/>
        <w:spacing w:before="157" w:beforeLines="50" w:after="157" w:afterLines="50" w:line="720" w:lineRule="exact"/>
        <w:ind w:firstLine="1124" w:firstLineChars="400"/>
        <w:jc w:val="both"/>
        <w:textAlignment w:val="baseline"/>
        <w:rPr>
          <w:rFonts w:hint="eastAsia" w:ascii="宋体" w:hAnsi="宋体" w:cs="宋体"/>
          <w:b/>
          <w:bCs/>
          <w:color w:val="auto"/>
          <w:sz w:val="28"/>
          <w:szCs w:val="28"/>
          <w:highlight w:val="none"/>
        </w:rPr>
      </w:pPr>
      <w:bookmarkStart w:id="0" w:name="_Toc152042287"/>
      <w:bookmarkStart w:id="1" w:name="_Toc179632527"/>
      <w:bookmarkStart w:id="2" w:name="_Toc152045511"/>
      <w:bookmarkStart w:id="3" w:name="_Toc144974479"/>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滁州市军粮供应站有限公司   </w:t>
      </w:r>
      <w:r>
        <w:rPr>
          <w:rFonts w:hint="eastAsia" w:ascii="宋体" w:hAnsi="宋体" w:cs="宋体"/>
          <w:b/>
          <w:bCs/>
          <w:color w:val="auto"/>
          <w:sz w:val="28"/>
          <w:szCs w:val="28"/>
          <w:highlight w:val="none"/>
        </w:rPr>
        <w:t>（盖章）</w:t>
      </w:r>
    </w:p>
    <w:p w14:paraId="66022F71">
      <w:pPr>
        <w:keepNext w:val="0"/>
        <w:keepLines w:val="0"/>
        <w:pageBreakBefore w:val="0"/>
        <w:widowControl/>
        <w:kinsoku/>
        <w:wordWrap/>
        <w:overflowPunct/>
        <w:topLinePunct w:val="0"/>
        <w:autoSpaceDE/>
        <w:autoSpaceDN/>
        <w:bidi w:val="0"/>
        <w:adjustRightInd/>
        <w:snapToGrid/>
        <w:spacing w:before="157" w:beforeLines="50" w:after="157" w:afterLines="50" w:line="72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7F05EC2B">
      <w:pPr>
        <w:keepNext w:val="0"/>
        <w:keepLines w:val="0"/>
        <w:pageBreakBefore w:val="0"/>
        <w:widowControl/>
        <w:kinsoku/>
        <w:wordWrap/>
        <w:overflowPunct/>
        <w:topLinePunct w:val="0"/>
        <w:autoSpaceDE/>
        <w:autoSpaceDN/>
        <w:bidi w:val="0"/>
        <w:adjustRightInd/>
        <w:snapToGrid/>
        <w:spacing w:before="157" w:beforeLines="50" w:after="157" w:afterLines="50" w:line="72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月</w:t>
      </w:r>
    </w:p>
    <w:p w14:paraId="10756467">
      <w:pPr>
        <w:keepNext w:val="0"/>
        <w:keepLines w:val="0"/>
        <w:pageBreakBefore/>
        <w:widowControl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宋体" w:hAnsi="宋体" w:eastAsia="宋体" w:cs="宋体"/>
          <w:b/>
          <w:sz w:val="28"/>
          <w:szCs w:val="28"/>
          <w:highlight w:val="none"/>
          <w:lang w:eastAsia="zh-CN"/>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271759FD">
      <w:pPr>
        <w:keepNext w:val="0"/>
        <w:keepLines w:val="0"/>
        <w:pageBreakBefore/>
        <w:widowControl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滁州军粮部分区域装修改造工程招标</w:t>
      </w:r>
      <w:r>
        <w:rPr>
          <w:rFonts w:hint="eastAsia" w:ascii="宋体" w:hAnsi="宋体" w:eastAsia="宋体" w:cs="宋体"/>
          <w:b/>
          <w:sz w:val="28"/>
          <w:szCs w:val="28"/>
          <w:highlight w:val="none"/>
        </w:rPr>
        <w:t>公告信息</w:t>
      </w:r>
    </w:p>
    <w:bookmarkEnd w:id="0"/>
    <w:bookmarkEnd w:id="1"/>
    <w:bookmarkEnd w:id="2"/>
    <w:bookmarkEnd w:id="3"/>
    <w:tbl>
      <w:tblPr>
        <w:tblStyle w:val="27"/>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8161"/>
      </w:tblGrid>
      <w:tr w14:paraId="4FD5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79E55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62A6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467F8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161" w:type="dxa"/>
            <w:noWrap w:val="0"/>
            <w:vAlign w:val="top"/>
          </w:tcPr>
          <w:p w14:paraId="54779549">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滁州军粮部分区域装修改造工程</w:t>
            </w:r>
          </w:p>
        </w:tc>
      </w:tr>
      <w:tr w14:paraId="4488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27" w:type="dxa"/>
            <w:noWrap w:val="0"/>
            <w:vAlign w:val="center"/>
          </w:tcPr>
          <w:p w14:paraId="265687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161" w:type="dxa"/>
            <w:noWrap w:val="0"/>
            <w:vAlign w:val="center"/>
          </w:tcPr>
          <w:p w14:paraId="54D81F5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滁州市军粮供应站有限公司</w:t>
            </w:r>
          </w:p>
        </w:tc>
      </w:tr>
      <w:tr w14:paraId="609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080498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161" w:type="dxa"/>
            <w:noWrap w:val="0"/>
            <w:vAlign w:val="center"/>
          </w:tcPr>
          <w:p w14:paraId="1E0A61F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滁州市军粮供应站有限公司</w:t>
            </w:r>
          </w:p>
        </w:tc>
      </w:tr>
      <w:tr w14:paraId="36E9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2DA4172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161" w:type="dxa"/>
            <w:noWrap w:val="0"/>
            <w:vAlign w:val="center"/>
          </w:tcPr>
          <w:p w14:paraId="3C2102B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财政加自筹资金</w:t>
            </w:r>
          </w:p>
        </w:tc>
      </w:tr>
      <w:tr w14:paraId="0AD1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6C9B441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161" w:type="dxa"/>
            <w:noWrap w:val="0"/>
            <w:vAlign w:val="center"/>
          </w:tcPr>
          <w:p w14:paraId="7C7E80F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1D05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6194E6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61" w:type="dxa"/>
            <w:noWrap w:val="0"/>
            <w:vAlign w:val="center"/>
          </w:tcPr>
          <w:p w14:paraId="10459E7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5AC6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1FB05A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161" w:type="dxa"/>
            <w:noWrap w:val="0"/>
            <w:vAlign w:val="center"/>
          </w:tcPr>
          <w:p w14:paraId="0DCC1EA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经评审最低价法</w:t>
            </w:r>
          </w:p>
        </w:tc>
      </w:tr>
      <w:tr w14:paraId="01C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4B11797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54E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6489F04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61" w:type="dxa"/>
            <w:noWrap w:val="0"/>
            <w:vAlign w:val="center"/>
          </w:tcPr>
          <w:p w14:paraId="12457C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滁州军粮部分区域装修改造工程</w:t>
            </w:r>
          </w:p>
        </w:tc>
      </w:tr>
      <w:tr w14:paraId="75C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35E6146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161" w:type="dxa"/>
            <w:noWrap w:val="0"/>
            <w:vAlign w:val="center"/>
          </w:tcPr>
          <w:p w14:paraId="59D8D8D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一个标段</w:t>
            </w:r>
          </w:p>
        </w:tc>
      </w:tr>
      <w:tr w14:paraId="68F3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22220B1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161" w:type="dxa"/>
            <w:noWrap w:val="0"/>
            <w:vAlign w:val="center"/>
          </w:tcPr>
          <w:p w14:paraId="1E6E156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滁州市内</w:t>
            </w:r>
          </w:p>
        </w:tc>
      </w:tr>
      <w:tr w14:paraId="643C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3513652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8161" w:type="dxa"/>
            <w:noWrap w:val="0"/>
            <w:vAlign w:val="center"/>
          </w:tcPr>
          <w:p w14:paraId="4F69A0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办公楼3楼北侧楼梯以南区域（含楼梯，厨房食堂除外），</w:t>
            </w:r>
            <w:r>
              <w:rPr>
                <w:rFonts w:hint="eastAsia" w:ascii="宋体" w:hAnsi="宋体" w:eastAsia="宋体" w:cs="宋体"/>
                <w:color w:val="auto"/>
                <w:sz w:val="21"/>
                <w:szCs w:val="21"/>
                <w:highlight w:val="none"/>
                <w:lang w:val="en-US" w:eastAsia="zh-CN"/>
              </w:rPr>
              <w:t>面积约308平方米；1号仓库2楼、3楼西侧窗户改造。</w:t>
            </w:r>
          </w:p>
        </w:tc>
      </w:tr>
      <w:tr w14:paraId="3E8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631008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161" w:type="dxa"/>
            <w:noWrap w:val="0"/>
            <w:vAlign w:val="center"/>
          </w:tcPr>
          <w:p w14:paraId="0422F5D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235217.40元</w:t>
            </w:r>
          </w:p>
        </w:tc>
      </w:tr>
      <w:tr w14:paraId="068D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7F8E71E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161" w:type="dxa"/>
            <w:noWrap w:val="0"/>
            <w:vAlign w:val="center"/>
          </w:tcPr>
          <w:p w14:paraId="7246A6A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4127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5944F41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161" w:type="dxa"/>
            <w:noWrap w:val="0"/>
            <w:vAlign w:val="center"/>
          </w:tcPr>
          <w:p w14:paraId="298C0BA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具体内容详见工程量清单</w:t>
            </w:r>
          </w:p>
        </w:tc>
      </w:tr>
      <w:tr w14:paraId="57C0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F800D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3ED5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48DFF5E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投标人资质条件</w:t>
            </w:r>
          </w:p>
        </w:tc>
        <w:tc>
          <w:tcPr>
            <w:tcW w:w="8161" w:type="dxa"/>
            <w:noWrap w:val="0"/>
            <w:vAlign w:val="center"/>
          </w:tcPr>
          <w:p w14:paraId="479477D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投标人须具备建设行政主管部门颁发的</w:t>
            </w:r>
            <w:r>
              <w:rPr>
                <w:rFonts w:hint="eastAsia" w:ascii="宋体" w:hAnsi="宋体" w:eastAsia="宋体" w:cs="宋体"/>
                <w:color w:val="auto"/>
                <w:sz w:val="21"/>
                <w:szCs w:val="21"/>
                <w:highlight w:val="none"/>
                <w:lang w:val="en-US" w:eastAsia="zh-CN"/>
              </w:rPr>
              <w:t>建筑装修装饰工程专业承包二级（或以上）</w:t>
            </w:r>
            <w:r>
              <w:rPr>
                <w:rFonts w:hint="eastAsia" w:ascii="宋体" w:hAnsi="宋体" w:eastAsia="宋体" w:cs="宋体"/>
                <w:color w:val="auto"/>
                <w:sz w:val="21"/>
                <w:szCs w:val="21"/>
                <w:highlight w:val="none"/>
              </w:rPr>
              <w:t>资质</w:t>
            </w:r>
          </w:p>
        </w:tc>
      </w:tr>
      <w:tr w14:paraId="02A7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42917F2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项目经理资格要求</w:t>
            </w:r>
          </w:p>
        </w:tc>
        <w:tc>
          <w:tcPr>
            <w:tcW w:w="8161" w:type="dxa"/>
            <w:noWrap w:val="0"/>
            <w:vAlign w:val="center"/>
          </w:tcPr>
          <w:p w14:paraId="467FCCA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投标人拟委任项目经理须具备</w:t>
            </w:r>
            <w:r>
              <w:rPr>
                <w:rFonts w:hint="eastAsia" w:ascii="宋体" w:hAnsi="宋体" w:eastAsia="宋体" w:cs="宋体"/>
                <w:color w:val="auto"/>
                <w:sz w:val="21"/>
                <w:szCs w:val="21"/>
                <w:highlight w:val="none"/>
                <w:u w:val="single"/>
              </w:rPr>
              <w:t xml:space="preserve"> 注册在投标单位的</w:t>
            </w:r>
            <w:r>
              <w:rPr>
                <w:rFonts w:hint="eastAsia" w:ascii="宋体" w:hAnsi="宋体" w:eastAsia="宋体" w:cs="宋体"/>
                <w:color w:val="auto"/>
                <w:sz w:val="21"/>
                <w:szCs w:val="21"/>
                <w:highlight w:val="none"/>
                <w:u w:val="single"/>
                <w:lang w:val="en-US" w:eastAsia="zh-CN"/>
              </w:rPr>
              <w:t>建筑工程专业二</w:t>
            </w:r>
            <w:r>
              <w:rPr>
                <w:rFonts w:hint="eastAsia" w:ascii="宋体" w:hAnsi="宋体" w:eastAsia="宋体" w:cs="宋体"/>
                <w:color w:val="auto"/>
                <w:sz w:val="21"/>
                <w:szCs w:val="21"/>
                <w:highlight w:val="none"/>
                <w:u w:val="single"/>
              </w:rPr>
              <w:t>级</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或以上）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注册建造师资格，具备有效的安全生产考核合格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证书。</w:t>
            </w:r>
          </w:p>
        </w:tc>
      </w:tr>
      <w:tr w14:paraId="12FE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181FA4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161" w:type="dxa"/>
            <w:noWrap w:val="0"/>
            <w:vAlign w:val="center"/>
          </w:tcPr>
          <w:p w14:paraId="3D0539C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本项目不接受联合体投标。</w:t>
            </w:r>
          </w:p>
        </w:tc>
      </w:tr>
      <w:tr w14:paraId="6B8F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7BAD3B5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3941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72211E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161" w:type="dxa"/>
            <w:noWrap w:val="0"/>
            <w:vAlign w:val="center"/>
          </w:tcPr>
          <w:p w14:paraId="6B1B77A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rPr>
              <w:t>202</w:t>
            </w:r>
            <w:r>
              <w:rPr>
                <w:rFonts w:hint="eastAsia" w:ascii="宋体" w:hAnsi="宋体" w:eastAsia="宋体" w:cs="宋体"/>
                <w:bCs/>
                <w:snapToGrid w:val="0"/>
                <w:color w:val="auto"/>
                <w:kern w:val="0"/>
                <w:sz w:val="21"/>
                <w:szCs w:val="21"/>
                <w:highlight w:val="non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lang w:val="en-US" w:eastAsia="zh-CN"/>
              </w:rPr>
              <w:t>6</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lang w:val="en-US" w:eastAsia="zh-CN"/>
              </w:rPr>
              <w:t>22</w:t>
            </w:r>
            <w:r>
              <w:rPr>
                <w:rFonts w:hint="eastAsia" w:ascii="宋体" w:hAnsi="宋体" w:eastAsia="宋体" w:cs="宋体"/>
                <w:bCs/>
                <w:snapToGrid w:val="0"/>
                <w:color w:val="auto"/>
                <w:kern w:val="0"/>
                <w:sz w:val="21"/>
                <w:szCs w:val="21"/>
                <w:highlight w:val="none"/>
              </w:rPr>
              <w:t>日17时00分至202</w:t>
            </w:r>
            <w:r>
              <w:rPr>
                <w:rFonts w:hint="eastAsia" w:ascii="宋体" w:hAnsi="宋体" w:eastAsia="宋体" w:cs="宋体"/>
                <w:bCs/>
                <w:snapToGrid w:val="0"/>
                <w:color w:val="auto"/>
                <w:kern w:val="0"/>
                <w:sz w:val="21"/>
                <w:szCs w:val="21"/>
                <w:highlight w:val="non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lang w:val="en-US" w:eastAsia="zh-CN"/>
              </w:rPr>
              <w:t>6</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lang w:val="en-US" w:eastAsia="zh-CN"/>
              </w:rPr>
              <w:t>30</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lang w:val="en-US" w:eastAsia="zh-CN"/>
              </w:rPr>
              <w:t>9</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lang w:val="en-US" w:eastAsia="zh-CN"/>
              </w:rPr>
              <w:t>00</w:t>
            </w:r>
            <w:r>
              <w:rPr>
                <w:rFonts w:hint="eastAsia" w:ascii="宋体" w:hAnsi="宋体" w:eastAsia="宋体" w:cs="宋体"/>
                <w:bCs/>
                <w:snapToGrid w:val="0"/>
                <w:color w:val="auto"/>
                <w:kern w:val="0"/>
                <w:sz w:val="21"/>
                <w:szCs w:val="21"/>
                <w:highlight w:val="none"/>
              </w:rPr>
              <w:t>分</w:t>
            </w:r>
          </w:p>
        </w:tc>
      </w:tr>
      <w:tr w14:paraId="6E2A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5002035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获取方式</w:t>
            </w:r>
          </w:p>
        </w:tc>
        <w:tc>
          <w:tcPr>
            <w:tcW w:w="8161" w:type="dxa"/>
            <w:noWrap w:val="0"/>
            <w:vAlign w:val="center"/>
          </w:tcPr>
          <w:p w14:paraId="24485D5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snapToGrid w:val="0"/>
                <w:color w:val="auto"/>
                <w:kern w:val="0"/>
                <w:sz w:val="21"/>
                <w:szCs w:val="21"/>
                <w:highlight w:val="none"/>
                <w:u w:val="none"/>
              </w:rPr>
            </w:pPr>
            <w:r>
              <w:rPr>
                <w:rFonts w:hint="eastAsia" w:ascii="宋体" w:hAnsi="宋体" w:eastAsia="宋体" w:cs="宋体"/>
                <w:bCs/>
                <w:snapToGrid w:val="0"/>
                <w:color w:val="auto"/>
                <w:kern w:val="0"/>
                <w:sz w:val="21"/>
                <w:szCs w:val="21"/>
                <w:highlight w:val="none"/>
                <w:u w:val="none"/>
                <w:lang w:val="en-US" w:eastAsia="zh-CN"/>
              </w:rPr>
              <w:t>1.</w:t>
            </w:r>
            <w:r>
              <w:rPr>
                <w:rFonts w:hint="eastAsia" w:ascii="宋体" w:hAnsi="宋体" w:eastAsia="宋体" w:cs="宋体"/>
                <w:bCs/>
                <w:snapToGrid w:val="0"/>
                <w:color w:val="auto"/>
                <w:kern w:val="0"/>
                <w:sz w:val="21"/>
                <w:szCs w:val="21"/>
                <w:highlight w:val="none"/>
                <w:u w:val="none"/>
              </w:rPr>
              <w:t>潜在投标人须登录滁州市扬子工业投资集团有限公司官网（https://czyzgtjt.com/）查阅并下载电子招标文件。</w:t>
            </w:r>
          </w:p>
          <w:p w14:paraId="5196F04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bCs/>
                <w:snapToGrid w:val="0"/>
                <w:color w:val="auto"/>
                <w:kern w:val="0"/>
                <w:sz w:val="21"/>
                <w:szCs w:val="21"/>
                <w:highlight w:val="none"/>
                <w:u w:val="none"/>
                <w:lang w:val="en-US" w:eastAsia="zh-CN"/>
              </w:rPr>
              <w:t>2.</w:t>
            </w:r>
            <w:r>
              <w:rPr>
                <w:rFonts w:hint="eastAsia" w:ascii="宋体" w:hAnsi="宋体" w:eastAsia="宋体" w:cs="宋体"/>
                <w:bCs/>
                <w:snapToGrid w:val="0"/>
                <w:color w:val="auto"/>
                <w:kern w:val="0"/>
                <w:sz w:val="21"/>
                <w:szCs w:val="21"/>
                <w:highlight w:val="none"/>
                <w:u w:val="none"/>
              </w:rPr>
              <w:t>招标文件获取过程中有任何疑问，请在工作时间（工作时间：工作日8:00-12:00,14:30-17:30）拨打0550-3801701。</w:t>
            </w:r>
          </w:p>
        </w:tc>
      </w:tr>
      <w:tr w14:paraId="4CCC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54F395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161" w:type="dxa"/>
            <w:noWrap w:val="0"/>
            <w:vAlign w:val="center"/>
          </w:tcPr>
          <w:p w14:paraId="244A434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p>
        </w:tc>
      </w:tr>
      <w:tr w14:paraId="6D66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70F99B1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161" w:type="dxa"/>
            <w:noWrap w:val="0"/>
            <w:vAlign w:val="center"/>
          </w:tcPr>
          <w:p w14:paraId="4126E99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479E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2F2CC17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投标文件递交的方式</w:t>
            </w:r>
          </w:p>
        </w:tc>
        <w:tc>
          <w:tcPr>
            <w:tcW w:w="8161" w:type="dxa"/>
            <w:noWrap w:val="0"/>
            <w:vAlign w:val="center"/>
          </w:tcPr>
          <w:p w14:paraId="67E31E1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滁州市龙蟠大道109号房产商务大厦6楼603会议室</w:t>
            </w:r>
          </w:p>
        </w:tc>
      </w:tr>
      <w:tr w14:paraId="7C9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7" w:type="dxa"/>
            <w:noWrap w:val="0"/>
            <w:vAlign w:val="center"/>
          </w:tcPr>
          <w:p w14:paraId="4FD6534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161" w:type="dxa"/>
            <w:noWrap w:val="0"/>
            <w:vAlign w:val="center"/>
          </w:tcPr>
          <w:p w14:paraId="0226D33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13FA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27" w:type="dxa"/>
            <w:noWrap w:val="0"/>
            <w:vAlign w:val="center"/>
          </w:tcPr>
          <w:p w14:paraId="3161BEC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161" w:type="dxa"/>
            <w:noWrap w:val="0"/>
            <w:vAlign w:val="center"/>
          </w:tcPr>
          <w:p w14:paraId="25C741B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滁州市龙蟠大道109号房产商务大厦6楼603会议室</w:t>
            </w:r>
          </w:p>
        </w:tc>
      </w:tr>
      <w:tr w14:paraId="101A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2B3B71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161" w:type="dxa"/>
            <w:noWrap w:val="0"/>
            <w:vAlign w:val="center"/>
          </w:tcPr>
          <w:p w14:paraId="0D2926B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0元</w:t>
            </w:r>
          </w:p>
        </w:tc>
      </w:tr>
      <w:tr w14:paraId="5DDD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059E76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161" w:type="dxa"/>
            <w:noWrap w:val="0"/>
            <w:vAlign w:val="center"/>
          </w:tcPr>
          <w:p w14:paraId="7E99D04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本次招标公告在</w:t>
            </w:r>
            <w:r>
              <w:rPr>
                <w:rFonts w:hint="eastAsia" w:ascii="宋体" w:hAnsi="宋体" w:eastAsia="宋体" w:cs="宋体"/>
                <w:bCs/>
                <w:snapToGrid w:val="0"/>
                <w:color w:val="auto"/>
                <w:kern w:val="0"/>
                <w:sz w:val="21"/>
                <w:szCs w:val="21"/>
                <w:highlight w:val="none"/>
                <w:u w:val="none"/>
              </w:rPr>
              <w:t>滁州市扬子工业投资集团有限公司官网（https://czyzgtjt.com/）网站</w:t>
            </w:r>
            <w:r>
              <w:rPr>
                <w:rFonts w:hint="eastAsia" w:ascii="宋体" w:hAnsi="宋体" w:eastAsia="宋体" w:cs="宋体"/>
                <w:color w:val="auto"/>
                <w:kern w:val="0"/>
                <w:sz w:val="21"/>
                <w:szCs w:val="21"/>
                <w:highlight w:val="none"/>
              </w:rPr>
              <w:t>发布。</w:t>
            </w:r>
          </w:p>
        </w:tc>
      </w:tr>
      <w:tr w14:paraId="7565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4F869D0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922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27" w:type="dxa"/>
            <w:noWrap w:val="0"/>
            <w:vAlign w:val="center"/>
          </w:tcPr>
          <w:p w14:paraId="548C383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161" w:type="dxa"/>
            <w:noWrap w:val="0"/>
            <w:vAlign w:val="center"/>
          </w:tcPr>
          <w:p w14:paraId="27085D3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不收取</w:t>
            </w:r>
          </w:p>
        </w:tc>
      </w:tr>
      <w:tr w14:paraId="4CD7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68BD67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2C2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1B4B9E9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161" w:type="dxa"/>
            <w:noWrap w:val="0"/>
            <w:vAlign w:val="center"/>
          </w:tcPr>
          <w:p w14:paraId="0215968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滁州市军粮供应站有限公司</w:t>
            </w:r>
          </w:p>
        </w:tc>
      </w:tr>
      <w:tr w14:paraId="78C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7C13306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161" w:type="dxa"/>
            <w:noWrap w:val="0"/>
            <w:vAlign w:val="center"/>
          </w:tcPr>
          <w:p w14:paraId="3C65049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安徽省滁州市苏州北路379号</w:t>
            </w:r>
          </w:p>
        </w:tc>
      </w:tr>
      <w:tr w14:paraId="08B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5FE5F4A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161" w:type="dxa"/>
            <w:noWrap w:val="0"/>
            <w:vAlign w:val="center"/>
          </w:tcPr>
          <w:p w14:paraId="52516CB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钟庆阳</w:t>
            </w:r>
          </w:p>
        </w:tc>
      </w:tr>
      <w:tr w14:paraId="6001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3B608E2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161" w:type="dxa"/>
            <w:noWrap w:val="0"/>
            <w:vAlign w:val="center"/>
          </w:tcPr>
          <w:p w14:paraId="322EEE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13665505859     </w:t>
            </w:r>
            <w:r>
              <w:rPr>
                <w:rFonts w:hint="eastAsia" w:ascii="宋体" w:hAnsi="宋体" w:cs="宋体"/>
                <w:color w:val="auto"/>
                <w:sz w:val="21"/>
                <w:szCs w:val="21"/>
                <w:highlight w:val="none"/>
                <w:lang w:val="en-US" w:eastAsia="zh-CN"/>
              </w:rPr>
              <w:t>监督电话：俞东0550-3162619；0550-3018133</w:t>
            </w:r>
          </w:p>
        </w:tc>
      </w:tr>
      <w:tr w14:paraId="030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06471F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161" w:type="dxa"/>
            <w:noWrap w:val="0"/>
            <w:vAlign w:val="center"/>
          </w:tcPr>
          <w:p w14:paraId="2BB0776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滁州市城投工程咨询管理有限公司</w:t>
            </w:r>
          </w:p>
        </w:tc>
      </w:tr>
      <w:tr w14:paraId="6B5B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7" w:type="dxa"/>
            <w:noWrap w:val="0"/>
            <w:vAlign w:val="center"/>
          </w:tcPr>
          <w:p w14:paraId="1E5A73A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161" w:type="dxa"/>
            <w:noWrap w:val="0"/>
            <w:vAlign w:val="center"/>
          </w:tcPr>
          <w:p w14:paraId="3969F92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滁州市龙蟠大道109号房产商务大厦6楼</w:t>
            </w:r>
          </w:p>
        </w:tc>
      </w:tr>
      <w:tr w14:paraId="3672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74AA040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w:t>
            </w:r>
          </w:p>
          <w:p w14:paraId="4FDCD21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联系人</w:t>
            </w:r>
          </w:p>
        </w:tc>
        <w:tc>
          <w:tcPr>
            <w:tcW w:w="8161" w:type="dxa"/>
            <w:noWrap w:val="0"/>
            <w:vAlign w:val="center"/>
          </w:tcPr>
          <w:p w14:paraId="6306358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杨韦</w:t>
            </w:r>
          </w:p>
        </w:tc>
      </w:tr>
      <w:tr w14:paraId="781A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noWrap w:val="0"/>
            <w:vAlign w:val="center"/>
          </w:tcPr>
          <w:p w14:paraId="4573B16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161" w:type="dxa"/>
            <w:noWrap w:val="0"/>
            <w:vAlign w:val="center"/>
          </w:tcPr>
          <w:p w14:paraId="3CAEC67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0550-3519590、18005501210</w:t>
            </w:r>
          </w:p>
        </w:tc>
      </w:tr>
    </w:tbl>
    <w:p w14:paraId="0FADABDE">
      <w:pPr>
        <w:keepNext w:val="0"/>
        <w:keepLines w:val="0"/>
        <w:pageBreakBefore w:val="0"/>
        <w:widowControl w:val="0"/>
        <w:numPr>
          <w:ilvl w:val="0"/>
          <w:numId w:val="0"/>
        </w:numPr>
        <w:kinsoku/>
        <w:wordWrap/>
        <w:overflowPunct/>
        <w:topLinePunct w:val="0"/>
        <w:autoSpaceDE/>
        <w:autoSpaceDN/>
        <w:bidi w:val="0"/>
        <w:adjustRightInd/>
        <w:snapToGrid/>
        <w:spacing w:before="136" w:beforeLines="50" w:after="136" w:afterLines="50" w:line="72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br w:type="page"/>
      </w:r>
      <w:r>
        <w:rPr>
          <w:rFonts w:hint="eastAsia" w:ascii="宋体" w:hAnsi="宋体" w:eastAsia="宋体" w:cs="宋体"/>
          <w:b/>
          <w:sz w:val="32"/>
          <w:szCs w:val="32"/>
          <w:highlight w:val="none"/>
          <w:lang w:val="en-US" w:eastAsia="zh-CN"/>
        </w:rPr>
        <w:t>第一章</w:t>
      </w:r>
      <w:r>
        <w:rPr>
          <w:rFonts w:hint="eastAsia" w:ascii="宋体" w:hAnsi="宋体" w:eastAsia="宋体" w:cs="宋体"/>
          <w:b/>
          <w:sz w:val="32"/>
          <w:szCs w:val="32"/>
          <w:highlight w:val="none"/>
        </w:rPr>
        <w:t>投标须知</w:t>
      </w:r>
    </w:p>
    <w:p w14:paraId="7FCA6966">
      <w:pPr>
        <w:keepNext w:val="0"/>
        <w:keepLines w:val="0"/>
        <w:pageBreakBefore w:val="0"/>
        <w:widowControl w:val="0"/>
        <w:numPr>
          <w:ilvl w:val="0"/>
          <w:numId w:val="0"/>
        </w:numPr>
        <w:kinsoku/>
        <w:wordWrap/>
        <w:overflowPunct/>
        <w:topLinePunct w:val="0"/>
        <w:autoSpaceDE/>
        <w:autoSpaceDN/>
        <w:bidi w:val="0"/>
        <w:adjustRightInd/>
        <w:snapToGrid/>
        <w:spacing w:before="82" w:beforeLines="30" w:after="82" w:afterLines="30" w:line="720" w:lineRule="exact"/>
        <w:ind w:firstLine="3654" w:firstLineChars="13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投标须知前附表</w:t>
      </w:r>
    </w:p>
    <w:tbl>
      <w:tblPr>
        <w:tblStyle w:val="27"/>
        <w:tblW w:w="10375" w:type="dxa"/>
        <w:tblInd w:w="-539" w:type="dxa"/>
        <w:tblLayout w:type="fixed"/>
        <w:tblCellMar>
          <w:top w:w="0" w:type="dxa"/>
          <w:left w:w="0" w:type="dxa"/>
          <w:bottom w:w="0" w:type="dxa"/>
          <w:right w:w="0" w:type="dxa"/>
        </w:tblCellMar>
      </w:tblPr>
      <w:tblGrid>
        <w:gridCol w:w="576"/>
        <w:gridCol w:w="1458"/>
        <w:gridCol w:w="8341"/>
      </w:tblGrid>
      <w:tr w14:paraId="034753DD">
        <w:tblPrEx>
          <w:tblCellMar>
            <w:top w:w="0" w:type="dxa"/>
            <w:left w:w="0" w:type="dxa"/>
            <w:bottom w:w="0" w:type="dxa"/>
            <w:right w:w="0" w:type="dxa"/>
          </w:tblCellMar>
        </w:tblPrEx>
        <w:trPr>
          <w:trHeight w:val="276"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6FBF2D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编号</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5A1B32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内容</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7ACF1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说明与要求</w:t>
            </w:r>
          </w:p>
        </w:tc>
      </w:tr>
      <w:tr w14:paraId="5B4345E3">
        <w:tblPrEx>
          <w:tblCellMar>
            <w:top w:w="0" w:type="dxa"/>
            <w:left w:w="0" w:type="dxa"/>
            <w:bottom w:w="0" w:type="dxa"/>
            <w:right w:w="0" w:type="dxa"/>
          </w:tblCellMar>
        </w:tblPrEx>
        <w:trPr>
          <w:trHeight w:val="1026"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42ACCC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2314FC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工程概况</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667A91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工程名称：滁州军粮部分区域装修改造工程</w:t>
            </w:r>
          </w:p>
          <w:p w14:paraId="0CC375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建设地点：滁州市军粮供应站</w:t>
            </w:r>
          </w:p>
          <w:p w14:paraId="40F8C9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项目总投资：235217.40元</w:t>
            </w:r>
          </w:p>
        </w:tc>
      </w:tr>
      <w:tr w14:paraId="3063601D">
        <w:tblPrEx>
          <w:tblCellMar>
            <w:top w:w="0" w:type="dxa"/>
            <w:left w:w="0" w:type="dxa"/>
            <w:bottom w:w="0" w:type="dxa"/>
            <w:right w:w="0" w:type="dxa"/>
          </w:tblCellMar>
        </w:tblPrEx>
        <w:trPr>
          <w:trHeight w:val="190"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49955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508A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招标范围</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47FF59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见招标公告</w:t>
            </w:r>
          </w:p>
        </w:tc>
      </w:tr>
      <w:tr w14:paraId="0495166E">
        <w:tblPrEx>
          <w:tblCellMar>
            <w:top w:w="0" w:type="dxa"/>
            <w:left w:w="0" w:type="dxa"/>
            <w:bottom w:w="0" w:type="dxa"/>
            <w:right w:w="0" w:type="dxa"/>
          </w:tblCellMar>
        </w:tblPrEx>
        <w:trPr>
          <w:trHeight w:val="90"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075335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349038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工期要求</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1C6227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不高于45个日历天</w:t>
            </w:r>
          </w:p>
        </w:tc>
      </w:tr>
      <w:tr w14:paraId="05EC4961">
        <w:tblPrEx>
          <w:tblCellMar>
            <w:top w:w="0" w:type="dxa"/>
            <w:left w:w="0" w:type="dxa"/>
            <w:bottom w:w="0" w:type="dxa"/>
            <w:right w:w="0" w:type="dxa"/>
          </w:tblCellMar>
        </w:tblPrEx>
        <w:trPr>
          <w:trHeight w:val="266"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0FAB84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270BFD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020559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必须达到国家工程施工质量验收合格标准</w:t>
            </w:r>
          </w:p>
        </w:tc>
      </w:tr>
      <w:tr w14:paraId="22590FC5">
        <w:tblPrEx>
          <w:tblCellMar>
            <w:top w:w="0" w:type="dxa"/>
            <w:left w:w="0" w:type="dxa"/>
            <w:bottom w:w="0" w:type="dxa"/>
            <w:right w:w="0" w:type="dxa"/>
          </w:tblCellMar>
        </w:tblPrEx>
        <w:trPr>
          <w:trHeight w:val="549"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01DFD1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2BFAFA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w:t>
            </w:r>
          </w:p>
          <w:p w14:paraId="4EA662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等级要求</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1FFDEE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见招标公告</w:t>
            </w:r>
          </w:p>
        </w:tc>
      </w:tr>
      <w:tr w14:paraId="527CA5CC">
        <w:tblPrEx>
          <w:tblCellMar>
            <w:top w:w="0" w:type="dxa"/>
            <w:left w:w="0" w:type="dxa"/>
            <w:bottom w:w="0" w:type="dxa"/>
            <w:right w:w="0" w:type="dxa"/>
          </w:tblCellMar>
        </w:tblPrEx>
        <w:trPr>
          <w:trHeight w:val="413"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4096FB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7ACCCF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投标文件份数</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5B282D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正本1份，副本1份</w:t>
            </w:r>
          </w:p>
        </w:tc>
      </w:tr>
      <w:tr w14:paraId="590153AF">
        <w:tblPrEx>
          <w:tblCellMar>
            <w:top w:w="0" w:type="dxa"/>
            <w:left w:w="0" w:type="dxa"/>
            <w:bottom w:w="0" w:type="dxa"/>
            <w:right w:w="0" w:type="dxa"/>
          </w:tblCellMar>
        </w:tblPrEx>
        <w:trPr>
          <w:trHeight w:val="672"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06D771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445416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勘察现场及投标预备会</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666A7E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不再集中召开招标答疑会。投标人自行勘察现场，对现场不清楚或有异议可咨询业主项目负责人，中标后不得以不了解现场或现场存在的现状不清楚等理由增加工程造价。</w:t>
            </w:r>
          </w:p>
        </w:tc>
      </w:tr>
      <w:tr w14:paraId="682E9C33">
        <w:tblPrEx>
          <w:tblCellMar>
            <w:top w:w="0" w:type="dxa"/>
            <w:left w:w="0" w:type="dxa"/>
            <w:bottom w:w="0" w:type="dxa"/>
            <w:right w:w="0" w:type="dxa"/>
          </w:tblCellMar>
        </w:tblPrEx>
        <w:trPr>
          <w:trHeight w:val="377"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18E649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5686E7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57A224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见招标公告</w:t>
            </w:r>
          </w:p>
        </w:tc>
      </w:tr>
      <w:tr w14:paraId="6E4F4FE2">
        <w:tblPrEx>
          <w:tblCellMar>
            <w:top w:w="0" w:type="dxa"/>
            <w:left w:w="0" w:type="dxa"/>
            <w:bottom w:w="0" w:type="dxa"/>
            <w:right w:w="0" w:type="dxa"/>
          </w:tblCellMar>
        </w:tblPrEx>
        <w:trPr>
          <w:trHeight w:val="325"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7CA545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4467DE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lang w:val="en-US" w:eastAsia="zh-CN"/>
              </w:rPr>
              <w:t>担保</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16855135">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要求中标人提交履约保证金。</w:t>
            </w:r>
          </w:p>
          <w:p w14:paraId="427ED7DF">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形式：支持银行转账、银行电汇、银行保函、担保机构担保、保证保险使用。</w:t>
            </w:r>
          </w:p>
          <w:p w14:paraId="586BAE67">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 xml:space="preserve">金   额：中标合同金额×2% </w:t>
            </w:r>
          </w:p>
          <w:p w14:paraId="66569072">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 xml:space="preserve">收款单位：另行通知 </w:t>
            </w:r>
          </w:p>
          <w:p w14:paraId="5067605C">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 xml:space="preserve">开户银行:另行通知 </w:t>
            </w:r>
          </w:p>
          <w:p w14:paraId="5448CB7A">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银行账号：另行通知</w:t>
            </w:r>
          </w:p>
          <w:p w14:paraId="76F05DDF">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缴纳时限：签订合同前缴纳</w:t>
            </w:r>
          </w:p>
          <w:p w14:paraId="1BED5790">
            <w:pPr>
              <w:keepNext w:val="0"/>
              <w:keepLines w:val="0"/>
              <w:pageBreakBefore w:val="0"/>
              <w:widowControl/>
              <w:kinsoku/>
              <w:wordWrap/>
              <w:overflowPunct/>
              <w:topLinePunct w:val="0"/>
              <w:autoSpaceDE/>
              <w:autoSpaceDN/>
              <w:bidi w:val="0"/>
              <w:spacing w:line="500" w:lineRule="exact"/>
              <w:jc w:val="left"/>
              <w:textAlignment w:val="auto"/>
              <w:rPr>
                <w:rFonts w:hint="default"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履约保证金退还时限：</w:t>
            </w:r>
            <w:r>
              <w:rPr>
                <w:rFonts w:hint="eastAsia" w:ascii="宋体" w:hAnsi="宋体" w:cs="宋体"/>
                <w:color w:val="auto"/>
                <w:sz w:val="21"/>
                <w:szCs w:val="21"/>
                <w:highlight w:val="none"/>
                <w:u w:val="none"/>
                <w:lang w:val="en-US" w:eastAsia="zh-CN"/>
              </w:rPr>
              <w:t>竣工验收合格后15日内一次性退还。</w:t>
            </w:r>
          </w:p>
          <w:p w14:paraId="30C2BC06">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其他相关要求：满足招标人要求</w:t>
            </w:r>
            <w:r>
              <w:rPr>
                <w:rFonts w:hint="eastAsia" w:ascii="宋体" w:hAnsi="宋体" w:cs="宋体"/>
                <w:color w:val="auto"/>
                <w:sz w:val="21"/>
                <w:szCs w:val="21"/>
                <w:highlight w:val="none"/>
                <w:u w:val="none"/>
                <w:lang w:eastAsia="zh-CN"/>
              </w:rPr>
              <w:t>。</w:t>
            </w:r>
          </w:p>
        </w:tc>
      </w:tr>
      <w:tr w14:paraId="7830158F">
        <w:tblPrEx>
          <w:tblCellMar>
            <w:top w:w="0" w:type="dxa"/>
            <w:left w:w="0" w:type="dxa"/>
            <w:bottom w:w="0" w:type="dxa"/>
            <w:right w:w="0" w:type="dxa"/>
          </w:tblCellMar>
        </w:tblPrEx>
        <w:trPr>
          <w:trHeight w:val="377" w:hRule="atLeast"/>
        </w:trPr>
        <w:tc>
          <w:tcPr>
            <w:tcW w:w="576" w:type="dxa"/>
            <w:vMerge w:val="restart"/>
            <w:tcBorders>
              <w:top w:val="single" w:color="auto" w:sz="8" w:space="0"/>
              <w:left w:val="single" w:color="auto" w:sz="8" w:space="0"/>
              <w:right w:val="single" w:color="auto" w:sz="8" w:space="0"/>
            </w:tcBorders>
            <w:noWrap w:val="0"/>
            <w:vAlign w:val="center"/>
          </w:tcPr>
          <w:p w14:paraId="660A8E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7C308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投标文件提交截止时间</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394F45CE">
            <w:pPr>
              <w:keepNext w:val="0"/>
              <w:keepLines w:val="0"/>
              <w:pageBreakBefore w:val="0"/>
              <w:kinsoku/>
              <w:wordWrap/>
              <w:overflowPunct/>
              <w:topLinePunct w:val="0"/>
              <w:autoSpaceDE/>
              <w:autoSpaceDN/>
              <w:bidi w:val="0"/>
              <w:spacing w:line="500" w:lineRule="exact"/>
              <w:ind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pacing w:val="-4"/>
                <w:kern w:val="0"/>
                <w:sz w:val="21"/>
                <w:szCs w:val="21"/>
                <w:highlight w:val="none"/>
                <w:lang w:eastAsia="zh-CN"/>
              </w:rPr>
              <w:t>202</w:t>
            </w:r>
            <w:r>
              <w:rPr>
                <w:rFonts w:hint="eastAsia" w:ascii="宋体" w:hAnsi="宋体" w:eastAsia="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lang w:eastAsia="zh-CN"/>
              </w:rPr>
              <w:t>年</w:t>
            </w:r>
            <w:r>
              <w:rPr>
                <w:rFonts w:hint="eastAsia" w:ascii="宋体" w:hAnsi="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lang w:eastAsia="zh-CN"/>
              </w:rPr>
              <w:t>月</w:t>
            </w:r>
            <w:r>
              <w:rPr>
                <w:rFonts w:hint="eastAsia" w:ascii="宋体" w:hAnsi="宋体" w:cs="宋体"/>
                <w:b/>
                <w:color w:val="auto"/>
                <w:spacing w:val="-4"/>
                <w:kern w:val="0"/>
                <w:sz w:val="21"/>
                <w:szCs w:val="21"/>
                <w:highlight w:val="none"/>
                <w:lang w:val="en-US" w:eastAsia="zh-CN"/>
              </w:rPr>
              <w:t>30</w:t>
            </w:r>
            <w:r>
              <w:rPr>
                <w:rFonts w:hint="eastAsia" w:ascii="宋体" w:hAnsi="宋体" w:eastAsia="宋体" w:cs="宋体"/>
                <w:b/>
                <w:color w:val="auto"/>
                <w:spacing w:val="-4"/>
                <w:kern w:val="0"/>
                <w:sz w:val="21"/>
                <w:szCs w:val="21"/>
                <w:highlight w:val="none"/>
                <w:lang w:eastAsia="zh-CN"/>
              </w:rPr>
              <w:t>日</w:t>
            </w:r>
            <w:r>
              <w:rPr>
                <w:rFonts w:hint="eastAsia" w:ascii="宋体" w:hAnsi="宋体" w:cs="宋体"/>
                <w:b/>
                <w:color w:val="auto"/>
                <w:spacing w:val="-4"/>
                <w:kern w:val="0"/>
                <w:sz w:val="21"/>
                <w:szCs w:val="21"/>
                <w:highlight w:val="none"/>
                <w:lang w:val="en-US" w:eastAsia="zh-CN"/>
              </w:rPr>
              <w:t>9</w:t>
            </w:r>
            <w:r>
              <w:rPr>
                <w:rFonts w:hint="eastAsia" w:ascii="宋体" w:hAnsi="宋体" w:eastAsia="宋体" w:cs="宋体"/>
                <w:b/>
                <w:color w:val="auto"/>
                <w:spacing w:val="-4"/>
                <w:kern w:val="0"/>
                <w:sz w:val="21"/>
                <w:szCs w:val="21"/>
                <w:highlight w:val="none"/>
              </w:rPr>
              <w:t>时</w:t>
            </w:r>
            <w:r>
              <w:rPr>
                <w:rFonts w:hint="eastAsia" w:ascii="宋体" w:hAnsi="宋体" w:cs="宋体"/>
                <w:b/>
                <w:color w:val="auto"/>
                <w:spacing w:val="-4"/>
                <w:kern w:val="0"/>
                <w:sz w:val="21"/>
                <w:szCs w:val="21"/>
                <w:highlight w:val="none"/>
                <w:lang w:val="en-US" w:eastAsia="zh-CN"/>
              </w:rPr>
              <w:t>00</w:t>
            </w:r>
            <w:r>
              <w:rPr>
                <w:rFonts w:hint="eastAsia" w:ascii="宋体" w:hAnsi="宋体" w:eastAsia="宋体" w:cs="宋体"/>
                <w:b/>
                <w:color w:val="auto"/>
                <w:spacing w:val="-4"/>
                <w:kern w:val="0"/>
                <w:sz w:val="21"/>
                <w:szCs w:val="21"/>
                <w:highlight w:val="none"/>
              </w:rPr>
              <w:t>分（北京时间）</w:t>
            </w:r>
          </w:p>
        </w:tc>
      </w:tr>
      <w:tr w14:paraId="6D55A889">
        <w:tblPrEx>
          <w:tblCellMar>
            <w:top w:w="0" w:type="dxa"/>
            <w:left w:w="0" w:type="dxa"/>
            <w:bottom w:w="0" w:type="dxa"/>
            <w:right w:w="0" w:type="dxa"/>
          </w:tblCellMar>
        </w:tblPrEx>
        <w:trPr>
          <w:trHeight w:val="377" w:hRule="atLeast"/>
        </w:trPr>
        <w:tc>
          <w:tcPr>
            <w:tcW w:w="576" w:type="dxa"/>
            <w:vMerge w:val="continue"/>
            <w:tcBorders>
              <w:left w:val="single" w:color="auto" w:sz="8" w:space="0"/>
              <w:right w:val="single" w:color="auto" w:sz="8" w:space="0"/>
            </w:tcBorders>
            <w:noWrap w:val="0"/>
            <w:vAlign w:val="center"/>
          </w:tcPr>
          <w:p w14:paraId="3845C8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p>
        </w:tc>
        <w:tc>
          <w:tcPr>
            <w:tcW w:w="1458" w:type="dxa"/>
            <w:tcBorders>
              <w:top w:val="single" w:color="auto" w:sz="8" w:space="0"/>
              <w:left w:val="single" w:color="auto" w:sz="4" w:space="0"/>
              <w:bottom w:val="single" w:color="auto" w:sz="8" w:space="0"/>
              <w:right w:val="single" w:color="auto" w:sz="4" w:space="0"/>
            </w:tcBorders>
            <w:noWrap w:val="0"/>
            <w:vAlign w:val="center"/>
          </w:tcPr>
          <w:p w14:paraId="3F5153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开标时间及地点</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5252855C">
            <w:pPr>
              <w:keepNext w:val="0"/>
              <w:keepLines w:val="0"/>
              <w:pageBreakBefore w:val="0"/>
              <w:kinsoku/>
              <w:wordWrap/>
              <w:overflowPunct/>
              <w:topLinePunct w:val="0"/>
              <w:autoSpaceDE/>
              <w:autoSpaceDN/>
              <w:bidi w:val="0"/>
              <w:spacing w:line="500" w:lineRule="exact"/>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w:t>
            </w:r>
          </w:p>
          <w:p w14:paraId="35FAA104">
            <w:pPr>
              <w:keepNext w:val="0"/>
              <w:keepLines w:val="0"/>
              <w:pageBreakBefore w:val="0"/>
              <w:kinsoku/>
              <w:wordWrap/>
              <w:overflowPunct/>
              <w:topLinePunct w:val="0"/>
              <w:autoSpaceDE/>
              <w:autoSpaceDN/>
              <w:bidi w:val="0"/>
              <w:spacing w:line="5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开标地点：滁州市龙蟠大道109号房产商务大厦6楼603会议室</w:t>
            </w:r>
          </w:p>
        </w:tc>
      </w:tr>
      <w:tr w14:paraId="50B0A629">
        <w:tblPrEx>
          <w:tblCellMar>
            <w:top w:w="0" w:type="dxa"/>
            <w:left w:w="0" w:type="dxa"/>
            <w:bottom w:w="0" w:type="dxa"/>
            <w:right w:w="0" w:type="dxa"/>
          </w:tblCellMar>
        </w:tblPrEx>
        <w:trPr>
          <w:trHeight w:val="377" w:hRule="atLeast"/>
        </w:trPr>
        <w:tc>
          <w:tcPr>
            <w:tcW w:w="576" w:type="dxa"/>
            <w:vMerge w:val="continue"/>
            <w:tcBorders>
              <w:left w:val="single" w:color="auto" w:sz="8" w:space="0"/>
              <w:bottom w:val="single" w:color="auto" w:sz="8" w:space="0"/>
              <w:right w:val="single" w:color="auto" w:sz="8" w:space="0"/>
            </w:tcBorders>
            <w:noWrap w:val="0"/>
            <w:vAlign w:val="center"/>
          </w:tcPr>
          <w:p w14:paraId="46920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eastAsia="zh-CN"/>
              </w:rPr>
            </w:pPr>
          </w:p>
        </w:tc>
        <w:tc>
          <w:tcPr>
            <w:tcW w:w="1458" w:type="dxa"/>
            <w:tcBorders>
              <w:top w:val="single" w:color="auto" w:sz="8" w:space="0"/>
              <w:left w:val="single" w:color="auto" w:sz="4" w:space="0"/>
              <w:bottom w:val="single" w:color="auto" w:sz="8" w:space="0"/>
              <w:right w:val="single" w:color="auto" w:sz="4" w:space="0"/>
            </w:tcBorders>
            <w:noWrap w:val="0"/>
            <w:vAlign w:val="center"/>
          </w:tcPr>
          <w:p w14:paraId="7E10BB86">
            <w:pPr>
              <w:keepNext w:val="0"/>
              <w:keepLines w:val="0"/>
              <w:pageBreakBefore w:val="0"/>
              <w:kinsoku/>
              <w:wordWrap/>
              <w:overflowPunct/>
              <w:topLinePunct w:val="0"/>
              <w:autoSpaceDE/>
              <w:autoSpaceDN/>
              <w:bidi w:val="0"/>
              <w:spacing w:line="5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开标顺序</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5F51D647">
            <w:pPr>
              <w:keepNext w:val="0"/>
              <w:keepLines w:val="0"/>
              <w:pageBreakBefore w:val="0"/>
              <w:kinsoku/>
              <w:wordWrap/>
              <w:overflowPunct/>
              <w:topLinePunct w:val="0"/>
              <w:autoSpaceDE/>
              <w:autoSpaceDN/>
              <w:bidi w:val="0"/>
              <w:spacing w:line="500" w:lineRule="exact"/>
              <w:ind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先进行资格审查，再进行符合性评审。</w:t>
            </w:r>
          </w:p>
        </w:tc>
      </w:tr>
      <w:tr w14:paraId="475F3598">
        <w:tblPrEx>
          <w:tblCellMar>
            <w:top w:w="0" w:type="dxa"/>
            <w:left w:w="0" w:type="dxa"/>
            <w:bottom w:w="0" w:type="dxa"/>
            <w:right w:w="0" w:type="dxa"/>
          </w:tblCellMar>
        </w:tblPrEx>
        <w:trPr>
          <w:trHeight w:val="377" w:hRule="atLeast"/>
        </w:trPr>
        <w:tc>
          <w:tcPr>
            <w:tcW w:w="576" w:type="dxa"/>
            <w:tcBorders>
              <w:top w:val="single" w:color="auto" w:sz="8" w:space="0"/>
              <w:left w:val="single" w:color="auto" w:sz="8" w:space="0"/>
              <w:bottom w:val="single" w:color="auto" w:sz="8" w:space="0"/>
              <w:right w:val="single" w:color="auto" w:sz="8" w:space="0"/>
            </w:tcBorders>
            <w:noWrap w:val="0"/>
            <w:vAlign w:val="center"/>
          </w:tcPr>
          <w:p w14:paraId="31C5F243">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458" w:type="dxa"/>
            <w:tcBorders>
              <w:top w:val="single" w:color="auto" w:sz="8" w:space="0"/>
              <w:left w:val="single" w:color="auto" w:sz="4" w:space="0"/>
              <w:bottom w:val="single" w:color="auto" w:sz="8" w:space="0"/>
              <w:right w:val="single" w:color="auto" w:sz="4" w:space="0"/>
            </w:tcBorders>
            <w:noWrap w:val="0"/>
            <w:vAlign w:val="center"/>
          </w:tcPr>
          <w:p w14:paraId="7A0F5A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8341" w:type="dxa"/>
            <w:tcBorders>
              <w:top w:val="single" w:color="auto" w:sz="8" w:space="0"/>
              <w:left w:val="single" w:color="auto" w:sz="4" w:space="0"/>
              <w:bottom w:val="single" w:color="auto" w:sz="8" w:space="0"/>
              <w:right w:val="single" w:color="auto" w:sz="8" w:space="0"/>
            </w:tcBorders>
            <w:noWrap w:val="0"/>
            <w:vAlign w:val="center"/>
          </w:tcPr>
          <w:p w14:paraId="1BD270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最高限价为贰拾叁万伍仟贰佰壹拾柒元肆角整（235217.40元）</w:t>
            </w:r>
            <w:r>
              <w:rPr>
                <w:rFonts w:hint="eastAsia" w:ascii="宋体" w:hAnsi="宋体" w:eastAsia="宋体" w:cs="宋体"/>
                <w:color w:val="auto"/>
                <w:sz w:val="21"/>
                <w:szCs w:val="21"/>
                <w:highlight w:val="none"/>
                <w:lang w:val="en-US" w:eastAsia="zh-CN"/>
              </w:rPr>
              <w:t>，投标报价超过最高限价的，按无效标处理。</w:t>
            </w:r>
          </w:p>
        </w:tc>
      </w:tr>
      <w:tr w14:paraId="7C1DBC39">
        <w:tblPrEx>
          <w:tblCellMar>
            <w:top w:w="0" w:type="dxa"/>
            <w:left w:w="0" w:type="dxa"/>
            <w:bottom w:w="0" w:type="dxa"/>
            <w:right w:w="0" w:type="dxa"/>
          </w:tblCellMar>
        </w:tblPrEx>
        <w:trPr>
          <w:trHeight w:val="90" w:hRule="atLeast"/>
        </w:trPr>
        <w:tc>
          <w:tcPr>
            <w:tcW w:w="576" w:type="dxa"/>
            <w:tcBorders>
              <w:top w:val="single" w:color="auto" w:sz="4" w:space="0"/>
              <w:left w:val="single" w:color="auto" w:sz="8" w:space="0"/>
              <w:bottom w:val="single" w:color="auto" w:sz="4" w:space="0"/>
              <w:right w:val="single" w:color="auto" w:sz="8" w:space="0"/>
            </w:tcBorders>
            <w:noWrap w:val="0"/>
            <w:vAlign w:val="center"/>
          </w:tcPr>
          <w:p w14:paraId="6CA770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342C4475">
            <w:pPr>
              <w:keepNext w:val="0"/>
              <w:keepLines w:val="0"/>
              <w:pageBreakBefore w:val="0"/>
              <w:kinsoku/>
              <w:wordWrap/>
              <w:overflowPunct/>
              <w:topLinePunct w:val="0"/>
              <w:autoSpaceDE/>
              <w:autoSpaceDN/>
              <w:bidi w:val="0"/>
              <w:spacing w:line="5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评审委员会的组建</w:t>
            </w:r>
          </w:p>
        </w:tc>
        <w:tc>
          <w:tcPr>
            <w:tcW w:w="8341" w:type="dxa"/>
            <w:tcBorders>
              <w:top w:val="single" w:color="auto" w:sz="4" w:space="0"/>
              <w:left w:val="single" w:color="auto" w:sz="4" w:space="0"/>
              <w:bottom w:val="single" w:color="auto" w:sz="4" w:space="0"/>
              <w:right w:val="single" w:color="auto" w:sz="8" w:space="0"/>
            </w:tcBorders>
            <w:noWrap w:val="0"/>
            <w:vAlign w:val="center"/>
          </w:tcPr>
          <w:p w14:paraId="66271099">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人</w:t>
            </w:r>
          </w:p>
          <w:p w14:paraId="0C3E9322">
            <w:pPr>
              <w:keepNext w:val="0"/>
              <w:keepLines w:val="0"/>
              <w:pageBreakBefore w:val="0"/>
              <w:kinsoku/>
              <w:wordWrap/>
              <w:overflowPunct/>
              <w:topLinePunct w:val="0"/>
              <w:autoSpaceDE/>
              <w:autoSpaceDN/>
              <w:bidi w:val="0"/>
              <w:spacing w:line="500" w:lineRule="exact"/>
              <w:ind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评标专家确定方式：随机抽取</w:t>
            </w:r>
          </w:p>
        </w:tc>
      </w:tr>
      <w:tr w14:paraId="6A449D00">
        <w:tblPrEx>
          <w:tblCellMar>
            <w:top w:w="0" w:type="dxa"/>
            <w:left w:w="0" w:type="dxa"/>
            <w:bottom w:w="0" w:type="dxa"/>
            <w:right w:w="0" w:type="dxa"/>
          </w:tblCellMar>
        </w:tblPrEx>
        <w:trPr>
          <w:trHeight w:val="615" w:hRule="atLeast"/>
        </w:trPr>
        <w:tc>
          <w:tcPr>
            <w:tcW w:w="576" w:type="dxa"/>
            <w:tcBorders>
              <w:top w:val="single" w:color="auto" w:sz="4" w:space="0"/>
              <w:left w:val="single" w:color="auto" w:sz="8" w:space="0"/>
              <w:bottom w:val="single" w:color="auto" w:sz="4" w:space="0"/>
              <w:right w:val="single" w:color="auto" w:sz="8" w:space="0"/>
            </w:tcBorders>
            <w:noWrap w:val="0"/>
            <w:vAlign w:val="center"/>
          </w:tcPr>
          <w:p w14:paraId="51572D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32CE9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招标代理</w:t>
            </w:r>
            <w:r>
              <w:rPr>
                <w:rFonts w:hint="eastAsia" w:ascii="宋体" w:hAnsi="宋体" w:eastAsia="宋体" w:cs="宋体"/>
                <w:color w:val="auto"/>
                <w:sz w:val="21"/>
                <w:szCs w:val="21"/>
                <w:highlight w:val="none"/>
                <w:lang w:val="en-US" w:eastAsia="zh-CN"/>
              </w:rPr>
              <w:t>服务费</w:t>
            </w:r>
          </w:p>
        </w:tc>
        <w:tc>
          <w:tcPr>
            <w:tcW w:w="8341" w:type="dxa"/>
            <w:tcBorders>
              <w:top w:val="single" w:color="auto" w:sz="4" w:space="0"/>
              <w:left w:val="single" w:color="auto" w:sz="4" w:space="0"/>
              <w:bottom w:val="single" w:color="auto" w:sz="4" w:space="0"/>
              <w:right w:val="single" w:color="auto" w:sz="8" w:space="0"/>
            </w:tcBorders>
            <w:noWrap w:val="0"/>
            <w:vAlign w:val="center"/>
          </w:tcPr>
          <w:p w14:paraId="48F11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招标代理费用</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专家评委费约1240元（具体以实际发生费用为准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。上述两项费用均由中标单位支付，</w:t>
            </w:r>
            <w:r>
              <w:rPr>
                <w:rFonts w:hint="eastAsia" w:ascii="宋体" w:hAnsi="宋体" w:eastAsia="宋体" w:cs="宋体"/>
                <w:color w:val="auto"/>
                <w:sz w:val="21"/>
                <w:szCs w:val="21"/>
                <w:highlight w:val="none"/>
              </w:rPr>
              <w:t>在获取中标通知书时一次性支付给代理机构。</w:t>
            </w:r>
          </w:p>
        </w:tc>
      </w:tr>
      <w:tr w14:paraId="5CE6A89D">
        <w:tblPrEx>
          <w:tblCellMar>
            <w:top w:w="0" w:type="dxa"/>
            <w:left w:w="0" w:type="dxa"/>
            <w:bottom w:w="0" w:type="dxa"/>
            <w:right w:w="0" w:type="dxa"/>
          </w:tblCellMar>
        </w:tblPrEx>
        <w:trPr>
          <w:trHeight w:val="615" w:hRule="atLeast"/>
        </w:trPr>
        <w:tc>
          <w:tcPr>
            <w:tcW w:w="576" w:type="dxa"/>
            <w:tcBorders>
              <w:top w:val="single" w:color="auto" w:sz="4" w:space="0"/>
              <w:left w:val="single" w:color="auto" w:sz="8" w:space="0"/>
              <w:bottom w:val="single" w:color="auto" w:sz="4" w:space="0"/>
              <w:right w:val="single" w:color="auto" w:sz="8" w:space="0"/>
            </w:tcBorders>
            <w:noWrap w:val="0"/>
            <w:vAlign w:val="center"/>
          </w:tcPr>
          <w:p w14:paraId="6FEB56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552E3FDC">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人员到岗及履约要求</w:t>
            </w:r>
          </w:p>
        </w:tc>
        <w:tc>
          <w:tcPr>
            <w:tcW w:w="8341" w:type="dxa"/>
            <w:tcBorders>
              <w:top w:val="single" w:color="auto" w:sz="4" w:space="0"/>
              <w:left w:val="single" w:color="auto" w:sz="4" w:space="0"/>
              <w:bottom w:val="single" w:color="auto" w:sz="4" w:space="0"/>
              <w:right w:val="single" w:color="auto" w:sz="8" w:space="0"/>
            </w:tcBorders>
            <w:noWrap w:val="0"/>
            <w:vAlign w:val="center"/>
          </w:tcPr>
          <w:p w14:paraId="5408606B">
            <w:pPr>
              <w:pStyle w:val="68"/>
              <w:keepNext w:val="0"/>
              <w:keepLines w:val="0"/>
              <w:pageBreakBefore w:val="0"/>
              <w:widowControl w:val="0"/>
              <w:kinsoku/>
              <w:wordWrap/>
              <w:overflowPunct/>
              <w:topLinePunct w:val="0"/>
              <w:autoSpaceDE/>
              <w:autoSpaceDN/>
              <w:bidi w:val="0"/>
              <w:adjustRightInd w:val="0"/>
              <w:snapToGrid w:val="0"/>
              <w:spacing w:line="500" w:lineRule="exact"/>
              <w:ind w:right="-45"/>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1.人员考核：工程开工进场后，承包人必须参照《安徽省建设工程施工项目部关键岗位人员配备标准》的要求配备项目经理、技术负责人和施工员、质量员、安全员、资料员、取样员等施工项目部关键岗位人员。合同签订前，中签人须按不低于《安徽省建设工程施工项目部关键岗位人员配备标准》规定的数量及类型提供其他主管管理人员名单、社保及岗位证书供项目单位确认（国家及安徽省已取消相关人员岗位证书的可不提供岗位证书）， 否则项目单位有权取消其中签资格。 </w:t>
            </w:r>
          </w:p>
          <w:p w14:paraId="4401F841">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在各级相关部门现场检查过程中发现</w:t>
            </w:r>
            <w:r>
              <w:rPr>
                <w:rFonts w:hint="eastAsia" w:ascii="宋体" w:hAnsi="宋体" w:eastAsia="宋体" w:cs="宋体"/>
                <w:bCs/>
                <w:color w:val="auto"/>
                <w:sz w:val="21"/>
                <w:szCs w:val="21"/>
                <w:highlight w:val="none"/>
                <w:lang w:val="en-US" w:eastAsia="zh-CN"/>
              </w:rPr>
              <w:t>项目经理（建造师）</w:t>
            </w:r>
            <w:r>
              <w:rPr>
                <w:rFonts w:hint="eastAsia" w:ascii="宋体" w:hAnsi="宋体" w:eastAsia="宋体" w:cs="宋体"/>
                <w:bCs/>
                <w:color w:val="auto"/>
                <w:sz w:val="21"/>
                <w:szCs w:val="21"/>
                <w:highlight w:val="none"/>
              </w:rPr>
              <w:t>、技术负责人、安全员、质检员等主要管理人员未按合同约定在岗三次及以上的，将上报建设行政主管部门依法依规处理，并在相关信用信息平台披露。</w:t>
            </w:r>
          </w:p>
          <w:p w14:paraId="1107D49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0" w:firstLineChars="0"/>
              <w:jc w:val="left"/>
              <w:textAlignment w:val="auto"/>
              <w:rPr>
                <w:rFonts w:hint="eastAsia" w:ascii="宋体" w:hAnsi="宋体" w:eastAsia="宋体" w:cs="宋体"/>
                <w:bCs/>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未能按照承诺到岗尽职的，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将视情况严重程度对其作出相应处理，给予警告并发出整改通知。如仍未及时整改，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有权责令其停工整改、直至终止合同，引进新的承包商，</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还将停止支付工程款项，扣留任何未付的工程进度款项补偿建设单位的有关损失或工期延误的损失，并就此向承包单位索赔。</w:t>
            </w:r>
          </w:p>
        </w:tc>
      </w:tr>
      <w:tr w14:paraId="32364CC5">
        <w:tblPrEx>
          <w:tblCellMar>
            <w:top w:w="0" w:type="dxa"/>
            <w:left w:w="0" w:type="dxa"/>
            <w:bottom w:w="0" w:type="dxa"/>
            <w:right w:w="0" w:type="dxa"/>
          </w:tblCellMar>
        </w:tblPrEx>
        <w:trPr>
          <w:trHeight w:val="615" w:hRule="atLeast"/>
        </w:trPr>
        <w:tc>
          <w:tcPr>
            <w:tcW w:w="576" w:type="dxa"/>
            <w:tcBorders>
              <w:top w:val="single" w:color="auto" w:sz="4" w:space="0"/>
              <w:left w:val="single" w:color="auto" w:sz="8" w:space="0"/>
              <w:bottom w:val="single" w:color="auto" w:sz="4" w:space="0"/>
              <w:right w:val="single" w:color="auto" w:sz="8" w:space="0"/>
            </w:tcBorders>
            <w:noWrap w:val="0"/>
            <w:vAlign w:val="center"/>
          </w:tcPr>
          <w:p w14:paraId="0C016D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bookmarkStart w:id="4" w:name="_Toc17454"/>
            <w:r>
              <w:rPr>
                <w:rFonts w:hint="eastAsia" w:ascii="宋体" w:hAnsi="宋体" w:eastAsia="宋体" w:cs="宋体"/>
                <w:color w:val="auto"/>
                <w:sz w:val="21"/>
                <w:szCs w:val="21"/>
                <w:highlight w:val="none"/>
                <w:lang w:val="en-US" w:eastAsia="zh-CN"/>
              </w:rPr>
              <w:t>15</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23EF3C10">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现场管理</w:t>
            </w:r>
          </w:p>
        </w:tc>
        <w:tc>
          <w:tcPr>
            <w:tcW w:w="8341" w:type="dxa"/>
            <w:tcBorders>
              <w:top w:val="single" w:color="auto" w:sz="4" w:space="0"/>
              <w:left w:val="single" w:color="auto" w:sz="4" w:space="0"/>
              <w:bottom w:val="single" w:color="auto" w:sz="4" w:space="0"/>
              <w:right w:val="single" w:color="auto" w:sz="8" w:space="0"/>
            </w:tcBorders>
            <w:noWrap w:val="0"/>
            <w:vAlign w:val="center"/>
          </w:tcPr>
          <w:p w14:paraId="79770339">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1.施工过程中，严格执行国家及地方针对环保、禁噪、防尘、防护等措施，必须满足当地行政主管部门相关规定及要求；</w:t>
            </w:r>
          </w:p>
          <w:p w14:paraId="10329F4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2.投标人自行勘察施工现场情况，因投标人未勘察现场而造成的损失由投标人承担。</w:t>
            </w:r>
          </w:p>
          <w:p w14:paraId="78C3E01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3.在工程建设过程中，出现质量、安全、进度、文明施工、扬尘污染、人员不在岗履职等违约行为的，招标单位将给予违约处理；如中标人拒不缴纳违约金的，招标单位有权从进度款中直接扣除。</w:t>
            </w:r>
          </w:p>
          <w:p w14:paraId="100C2DC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4.临时设施、施工便道等费用由投标人自行勘察现场考虑，综合考虑在报价中，招标单位不另行支付其他任何费用。</w:t>
            </w:r>
          </w:p>
          <w:p w14:paraId="6C8DEA45">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lang w:val="en-US" w:eastAsia="zh-CN"/>
              </w:rPr>
              <w:t>4.本工程施工过程中所有违约金均以银行转账形式或直接从进度款中扣除形式缴纳至项目单位处，否则当期不予请款。</w:t>
            </w:r>
          </w:p>
        </w:tc>
      </w:tr>
      <w:tr w14:paraId="6CC5A48E">
        <w:tblPrEx>
          <w:tblCellMar>
            <w:top w:w="0" w:type="dxa"/>
            <w:left w:w="0" w:type="dxa"/>
            <w:bottom w:w="0" w:type="dxa"/>
            <w:right w:w="0" w:type="dxa"/>
          </w:tblCellMar>
        </w:tblPrEx>
        <w:trPr>
          <w:trHeight w:val="615" w:hRule="atLeast"/>
        </w:trPr>
        <w:tc>
          <w:tcPr>
            <w:tcW w:w="576" w:type="dxa"/>
            <w:tcBorders>
              <w:top w:val="single" w:color="auto" w:sz="4" w:space="0"/>
              <w:left w:val="single" w:color="auto" w:sz="8" w:space="0"/>
              <w:bottom w:val="single" w:color="auto" w:sz="4" w:space="0"/>
              <w:right w:val="single" w:color="auto" w:sz="8" w:space="0"/>
            </w:tcBorders>
            <w:noWrap w:val="0"/>
            <w:vAlign w:val="center"/>
          </w:tcPr>
          <w:p w14:paraId="61E31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50D0D2D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sz w:val="21"/>
                <w:szCs w:val="21"/>
                <w:highlight w:val="none"/>
              </w:rPr>
              <w:t>工程质量管理</w:t>
            </w:r>
          </w:p>
        </w:tc>
        <w:tc>
          <w:tcPr>
            <w:tcW w:w="8341" w:type="dxa"/>
            <w:tcBorders>
              <w:top w:val="single" w:color="auto" w:sz="4" w:space="0"/>
              <w:left w:val="single" w:color="auto" w:sz="4" w:space="0"/>
              <w:bottom w:val="single" w:color="auto" w:sz="4" w:space="0"/>
              <w:right w:val="single" w:color="auto" w:sz="8" w:space="0"/>
            </w:tcBorders>
            <w:noWrap w:val="0"/>
            <w:vAlign w:val="center"/>
          </w:tcPr>
          <w:p w14:paraId="453F188F">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承包人被发包人项目组日常检查、专项检查或第三方巡查等检查出未按设计文件和相关规范施工，存在质量隐患</w:t>
            </w:r>
            <w:r>
              <w:rPr>
                <w:rFonts w:hint="eastAsia" w:ascii="宋体" w:hAnsi="宋体" w:eastAsia="宋体" w:cs="宋体"/>
                <w:bCs/>
                <w:color w:val="auto"/>
                <w:sz w:val="21"/>
                <w:szCs w:val="21"/>
                <w:highlight w:val="none"/>
                <w:lang w:val="en-US" w:eastAsia="zh-CN"/>
              </w:rPr>
              <w:t>和质量问题的</w:t>
            </w:r>
            <w:r>
              <w:rPr>
                <w:rFonts w:hint="eastAsia" w:ascii="宋体" w:hAnsi="宋体" w:eastAsia="宋体" w:cs="宋体"/>
                <w:bCs/>
                <w:color w:val="auto"/>
                <w:sz w:val="21"/>
                <w:szCs w:val="21"/>
                <w:highlight w:val="none"/>
              </w:rPr>
              <w:t>，必须按要求和规定时限整改到位，同时处以</w:t>
            </w:r>
            <w:r>
              <w:rPr>
                <w:rFonts w:hint="eastAsia" w:ascii="宋体" w:hAnsi="宋体" w:eastAsia="宋体" w:cs="宋体"/>
                <w:bCs/>
                <w:color w:val="auto"/>
                <w:sz w:val="21"/>
                <w:szCs w:val="21"/>
                <w:highlight w:val="none"/>
                <w:lang w:val="en-US" w:eastAsia="zh-CN"/>
              </w:rPr>
              <w:t>1000</w:t>
            </w:r>
            <w:r>
              <w:rPr>
                <w:rFonts w:hint="eastAsia" w:ascii="宋体" w:hAnsi="宋体" w:eastAsia="宋体" w:cs="宋体"/>
                <w:bCs/>
                <w:color w:val="auto"/>
                <w:sz w:val="21"/>
                <w:szCs w:val="21"/>
                <w:highlight w:val="none"/>
              </w:rPr>
              <w:t>元/次的违约金。对拒不执行或整改不力的，发包人有权解除合同，并追究经济损失。</w:t>
            </w:r>
          </w:p>
          <w:p w14:paraId="1DEF56DB">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Cs/>
                <w:snapToGrid w:val="0"/>
                <w:color w:val="auto"/>
                <w:kern w:val="0"/>
                <w:sz w:val="21"/>
                <w:szCs w:val="21"/>
                <w:highlight w:val="none"/>
                <w:lang w:val="zh-CN" w:eastAsia="zh-CN" w:bidi="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.在本项目工程质量保修期内出现质量问题的，具体详见《工程质量保修书》要求。</w:t>
            </w:r>
          </w:p>
        </w:tc>
      </w:tr>
    </w:tbl>
    <w:p w14:paraId="5BF4B574">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一、总  则</w:t>
      </w:r>
      <w:bookmarkEnd w:id="4"/>
    </w:p>
    <w:p w14:paraId="07BAD0CD">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 </w:t>
      </w:r>
      <w:r>
        <w:rPr>
          <w:rFonts w:hint="eastAsia" w:ascii="宋体" w:hAnsi="宋体" w:eastAsia="宋体" w:cs="宋体"/>
          <w:spacing w:val="-6"/>
          <w:sz w:val="21"/>
          <w:szCs w:val="21"/>
          <w:highlight w:val="none"/>
        </w:rPr>
        <w:t>工程概况</w:t>
      </w:r>
    </w:p>
    <w:p w14:paraId="0F0190E4">
      <w:pPr>
        <w:keepNext w:val="0"/>
        <w:keepLines w:val="0"/>
        <w:pageBreakBefore w:val="0"/>
        <w:widowControl w:val="0"/>
        <w:kinsoku/>
        <w:wordWrap/>
        <w:overflowPunct/>
        <w:topLinePunct w:val="0"/>
        <w:autoSpaceDE/>
        <w:autoSpaceDN/>
        <w:bidi w:val="0"/>
        <w:adjustRightInd w:val="0"/>
        <w:snapToGrid w:val="0"/>
        <w:spacing w:line="500" w:lineRule="exact"/>
        <w:ind w:firstLine="396" w:firstLine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pacing w:val="-6"/>
          <w:sz w:val="21"/>
          <w:szCs w:val="21"/>
          <w:highlight w:val="none"/>
        </w:rPr>
        <w:t>1.1本次招标工程名称：</w:t>
      </w:r>
      <w:r>
        <w:rPr>
          <w:rFonts w:hint="eastAsia" w:ascii="宋体" w:hAnsi="宋体" w:eastAsia="宋体" w:cs="宋体"/>
          <w:spacing w:val="-6"/>
          <w:sz w:val="21"/>
          <w:szCs w:val="21"/>
          <w:highlight w:val="none"/>
          <w:u w:val="single"/>
          <w:lang w:val="en-US" w:eastAsia="zh-CN"/>
        </w:rPr>
        <w:t xml:space="preserve">    见招标公告   </w:t>
      </w:r>
    </w:p>
    <w:p w14:paraId="3EE6D06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 xml:space="preserve">     </w:t>
      </w:r>
      <w:r>
        <w:rPr>
          <w:rFonts w:hint="eastAsia" w:ascii="宋体" w:hAnsi="宋体" w:eastAsia="宋体" w:cs="宋体"/>
          <w:spacing w:val="4"/>
          <w:sz w:val="21"/>
          <w:szCs w:val="21"/>
          <w:highlight w:val="none"/>
        </w:rPr>
        <w:t>建设单位：</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6"/>
          <w:sz w:val="21"/>
          <w:szCs w:val="21"/>
          <w:highlight w:val="none"/>
          <w:u w:val="single"/>
          <w:lang w:val="en-US" w:eastAsia="zh-CN"/>
        </w:rPr>
        <w:t xml:space="preserve">见招标公告      </w:t>
      </w:r>
    </w:p>
    <w:p w14:paraId="5C3B641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sz w:val="21"/>
          <w:szCs w:val="21"/>
          <w:highlight w:val="none"/>
          <w:u w:val="single"/>
          <w:lang w:val="en-US"/>
        </w:rPr>
      </w:pPr>
      <w:r>
        <w:rPr>
          <w:rFonts w:hint="eastAsia" w:ascii="宋体" w:hAnsi="宋体" w:eastAsia="宋体" w:cs="宋体"/>
          <w:sz w:val="21"/>
          <w:szCs w:val="21"/>
          <w:highlight w:val="none"/>
        </w:rPr>
        <w:t>1.2</w:t>
      </w:r>
      <w:r>
        <w:rPr>
          <w:rFonts w:hint="eastAsia" w:ascii="宋体" w:hAnsi="宋体" w:eastAsia="宋体" w:cs="宋体"/>
          <w:spacing w:val="4"/>
          <w:sz w:val="21"/>
          <w:szCs w:val="21"/>
          <w:highlight w:val="none"/>
        </w:rPr>
        <w:t>本工程建设规模：</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6"/>
          <w:sz w:val="21"/>
          <w:szCs w:val="21"/>
          <w:highlight w:val="none"/>
          <w:u w:val="single"/>
          <w:lang w:val="en-US" w:eastAsia="zh-CN"/>
        </w:rPr>
        <w:t xml:space="preserve">见招标公告   </w:t>
      </w:r>
    </w:p>
    <w:p w14:paraId="394429B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1.3本工程概算造价约</w:t>
      </w:r>
      <w:r>
        <w:rPr>
          <w:rFonts w:hint="eastAsia" w:ascii="宋体" w:hAnsi="宋体" w:eastAsia="宋体" w:cs="宋体"/>
          <w:sz w:val="21"/>
          <w:szCs w:val="21"/>
          <w:highlight w:val="none"/>
          <w:u w:val="single"/>
          <w:lang w:val="en-US" w:eastAsia="zh-CN"/>
        </w:rPr>
        <w:t>235217.40元</w:t>
      </w:r>
      <w:r>
        <w:rPr>
          <w:rFonts w:hint="eastAsia" w:ascii="宋体" w:hAnsi="宋体" w:eastAsia="宋体" w:cs="宋体"/>
          <w:sz w:val="21"/>
          <w:szCs w:val="21"/>
          <w:highlight w:val="none"/>
        </w:rPr>
        <w:t>。</w:t>
      </w:r>
    </w:p>
    <w:p w14:paraId="1CD1DF2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1.4现场条件：</w:t>
      </w:r>
    </w:p>
    <w:p w14:paraId="04A0E73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①施工场地：</w:t>
      </w:r>
      <w:r>
        <w:rPr>
          <w:rFonts w:hint="eastAsia" w:ascii="宋体" w:hAnsi="宋体" w:eastAsia="宋体" w:cs="宋体"/>
          <w:sz w:val="21"/>
          <w:szCs w:val="21"/>
          <w:highlight w:val="none"/>
          <w:u w:val="single"/>
        </w:rPr>
        <w:t>已具备</w:t>
      </w:r>
      <w:r>
        <w:rPr>
          <w:rFonts w:hint="eastAsia" w:ascii="宋体" w:hAnsi="宋体" w:eastAsia="宋体" w:cs="宋体"/>
          <w:sz w:val="21"/>
          <w:szCs w:val="21"/>
          <w:highlight w:val="none"/>
        </w:rPr>
        <w:t>；</w:t>
      </w:r>
    </w:p>
    <w:p w14:paraId="6798CBC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②施工用水、电：</w:t>
      </w:r>
      <w:r>
        <w:rPr>
          <w:rFonts w:hint="eastAsia" w:ascii="宋体" w:hAnsi="宋体" w:eastAsia="宋体" w:cs="宋体"/>
          <w:sz w:val="21"/>
          <w:szCs w:val="21"/>
          <w:highlight w:val="none"/>
          <w:u w:val="single"/>
        </w:rPr>
        <w:t>自行解决，费用自理</w:t>
      </w:r>
      <w:r>
        <w:rPr>
          <w:rFonts w:hint="eastAsia" w:ascii="宋体" w:hAnsi="宋体" w:eastAsia="宋体" w:cs="宋体"/>
          <w:sz w:val="21"/>
          <w:szCs w:val="21"/>
          <w:highlight w:val="none"/>
        </w:rPr>
        <w:t>；</w:t>
      </w:r>
    </w:p>
    <w:p w14:paraId="753890D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③场内外道路：</w:t>
      </w:r>
      <w:r>
        <w:rPr>
          <w:rFonts w:hint="eastAsia" w:ascii="宋体" w:hAnsi="宋体" w:eastAsia="宋体" w:cs="宋体"/>
          <w:sz w:val="21"/>
          <w:szCs w:val="21"/>
          <w:highlight w:val="none"/>
          <w:u w:val="single"/>
        </w:rPr>
        <w:t>自行解决，费用自理</w:t>
      </w:r>
      <w:r>
        <w:rPr>
          <w:rFonts w:hint="eastAsia" w:ascii="宋体" w:hAnsi="宋体" w:eastAsia="宋体" w:cs="宋体"/>
          <w:sz w:val="21"/>
          <w:szCs w:val="21"/>
          <w:highlight w:val="none"/>
        </w:rPr>
        <w:t>。</w:t>
      </w:r>
    </w:p>
    <w:p w14:paraId="60345F6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2.招标范围</w:t>
      </w:r>
    </w:p>
    <w:p w14:paraId="3465D4E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2.1本次招标范围依据招标人提供的工程量清单中的所有内容。</w:t>
      </w:r>
    </w:p>
    <w:p w14:paraId="70FA576B">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3.承包方式</w:t>
      </w:r>
    </w:p>
    <w:p w14:paraId="13850E01">
      <w:pPr>
        <w:keepNext w:val="0"/>
        <w:keepLines w:val="0"/>
        <w:pageBreakBefore w:val="0"/>
        <w:widowControl w:val="0"/>
        <w:kinsoku/>
        <w:wordWrap/>
        <w:overflowPunct/>
        <w:topLinePunct w:val="0"/>
        <w:autoSpaceDE/>
        <w:autoSpaceDN/>
        <w:bidi w:val="0"/>
        <w:spacing w:line="500" w:lineRule="exact"/>
        <w:ind w:right="-174" w:rightChars="-83"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eastAsia="宋体" w:cs="宋体"/>
          <w:spacing w:val="-6"/>
          <w:sz w:val="21"/>
          <w:szCs w:val="21"/>
          <w:highlight w:val="none"/>
        </w:rPr>
        <w:t>承包方式：</w:t>
      </w:r>
      <w:r>
        <w:rPr>
          <w:rFonts w:hint="eastAsia" w:ascii="宋体" w:hAnsi="宋体" w:eastAsia="宋体" w:cs="宋体"/>
          <w:sz w:val="21"/>
          <w:szCs w:val="21"/>
          <w:highlight w:val="none"/>
          <w:u w:val="single"/>
        </w:rPr>
        <w:t>包工、包料、包质量、包工期、包安全</w:t>
      </w:r>
      <w:r>
        <w:rPr>
          <w:rFonts w:hint="eastAsia" w:ascii="宋体" w:hAnsi="宋体" w:eastAsia="宋体" w:cs="宋体"/>
          <w:sz w:val="21"/>
          <w:szCs w:val="21"/>
          <w:highlight w:val="none"/>
        </w:rPr>
        <w:t xml:space="preserve"> 。</w:t>
      </w:r>
    </w:p>
    <w:p w14:paraId="719CB0C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4.工期要求</w:t>
      </w:r>
    </w:p>
    <w:p w14:paraId="5908738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4.1</w:t>
      </w:r>
      <w:r>
        <w:rPr>
          <w:rFonts w:hint="eastAsia" w:ascii="宋体" w:hAnsi="宋体" w:eastAsia="宋体" w:cs="宋体"/>
          <w:kern w:val="0"/>
          <w:sz w:val="21"/>
          <w:szCs w:val="21"/>
          <w:highlight w:val="none"/>
        </w:rPr>
        <w:t>要求工期：不高于</w:t>
      </w:r>
      <w:r>
        <w:rPr>
          <w:rFonts w:hint="eastAsia" w:ascii="宋体" w:hAnsi="宋体" w:eastAsia="宋体" w:cs="宋体"/>
          <w:kern w:val="0"/>
          <w:sz w:val="21"/>
          <w:szCs w:val="21"/>
          <w:highlight w:val="none"/>
          <w:lang w:val="en-US" w:eastAsia="zh-CN"/>
        </w:rPr>
        <w:t>45</w:t>
      </w:r>
      <w:r>
        <w:rPr>
          <w:rFonts w:hint="eastAsia" w:ascii="宋体" w:hAnsi="宋体" w:eastAsia="宋体" w:cs="宋体"/>
          <w:kern w:val="0"/>
          <w:sz w:val="21"/>
          <w:szCs w:val="21"/>
          <w:highlight w:val="none"/>
        </w:rPr>
        <w:t>个日历天</w:t>
      </w:r>
      <w:r>
        <w:rPr>
          <w:rFonts w:hint="eastAsia" w:ascii="宋体" w:hAnsi="宋体" w:cs="宋体"/>
          <w:kern w:val="0"/>
          <w:sz w:val="21"/>
          <w:szCs w:val="21"/>
          <w:highlight w:val="none"/>
          <w:lang w:eastAsia="zh-CN"/>
        </w:rPr>
        <w:t>。</w:t>
      </w:r>
    </w:p>
    <w:p w14:paraId="1AB8F1B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5.质量要求</w:t>
      </w:r>
    </w:p>
    <w:p w14:paraId="42D1596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5.1工程质量必须达到国家工程施工质量验收</w:t>
      </w:r>
      <w:r>
        <w:rPr>
          <w:rFonts w:hint="eastAsia" w:ascii="宋体" w:hAnsi="宋体" w:eastAsia="宋体" w:cs="宋体"/>
          <w:sz w:val="21"/>
          <w:szCs w:val="21"/>
          <w:highlight w:val="none"/>
          <w:u w:val="single"/>
        </w:rPr>
        <w:t xml:space="preserve"> 合格</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标准。</w:t>
      </w:r>
    </w:p>
    <w:p w14:paraId="2C3B5D3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6.投标人资质等级要求</w:t>
      </w:r>
    </w:p>
    <w:p w14:paraId="18987767">
      <w:pPr>
        <w:keepNext w:val="0"/>
        <w:keepLines w:val="0"/>
        <w:pageBreakBefore w:val="0"/>
        <w:widowControl w:val="0"/>
        <w:kinsoku/>
        <w:wordWrap/>
        <w:overflowPunct/>
        <w:topLinePunct w:val="0"/>
        <w:autoSpaceDE/>
        <w:autoSpaceDN/>
        <w:bidi w:val="0"/>
        <w:spacing w:line="500" w:lineRule="exact"/>
        <w:ind w:firstLine="396" w:firstLineChars="200"/>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6.1</w:t>
      </w:r>
      <w:r>
        <w:rPr>
          <w:rFonts w:hint="eastAsia" w:ascii="宋体" w:hAnsi="宋体" w:eastAsia="宋体" w:cs="宋体"/>
          <w:sz w:val="21"/>
          <w:szCs w:val="21"/>
          <w:highlight w:val="none"/>
          <w:lang w:val="en-US" w:eastAsia="zh-CN"/>
        </w:rPr>
        <w:t>见招标公告</w:t>
      </w:r>
      <w:r>
        <w:rPr>
          <w:rFonts w:hint="eastAsia" w:ascii="宋体" w:hAnsi="宋体" w:eastAsia="宋体" w:cs="宋体"/>
          <w:sz w:val="21"/>
          <w:szCs w:val="21"/>
          <w:highlight w:val="none"/>
        </w:rPr>
        <w:t>；</w:t>
      </w:r>
    </w:p>
    <w:p w14:paraId="00D09905">
      <w:pPr>
        <w:keepNext w:val="0"/>
        <w:keepLines w:val="0"/>
        <w:pageBreakBefore w:val="0"/>
        <w:widowControl w:val="0"/>
        <w:kinsoku/>
        <w:wordWrap/>
        <w:overflowPunct/>
        <w:topLinePunct w:val="0"/>
        <w:autoSpaceDE/>
        <w:autoSpaceDN/>
        <w:bidi w:val="0"/>
        <w:spacing w:line="500" w:lineRule="exact"/>
        <w:ind w:firstLine="396" w:firstLineChars="200"/>
        <w:jc w:val="left"/>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7.资金来源</w:t>
      </w:r>
    </w:p>
    <w:p w14:paraId="3024812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7.1资金来源：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财政加自筹资金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资金已落实。</w:t>
      </w:r>
    </w:p>
    <w:p w14:paraId="16B5AA20">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8.标段划分</w:t>
      </w:r>
    </w:p>
    <w:p w14:paraId="69C7B905">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8.1本工程划分：</w:t>
      </w:r>
      <w:r>
        <w:rPr>
          <w:rFonts w:hint="eastAsia" w:ascii="宋体" w:hAnsi="宋体" w:eastAsia="宋体" w:cs="宋体"/>
          <w:sz w:val="21"/>
          <w:szCs w:val="21"/>
          <w:highlight w:val="none"/>
          <w:u w:val="single"/>
        </w:rPr>
        <w:t xml:space="preserve">一个标段   </w:t>
      </w:r>
    </w:p>
    <w:p w14:paraId="4BCA7C28">
      <w:pPr>
        <w:keepNext w:val="0"/>
        <w:keepLines w:val="0"/>
        <w:pageBreakBefore w:val="0"/>
        <w:widowControl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9.招标方式</w:t>
      </w:r>
    </w:p>
    <w:p w14:paraId="0D2D055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9.1本工程招标方式：</w:t>
      </w:r>
      <w:r>
        <w:rPr>
          <w:rFonts w:hint="eastAsia" w:ascii="宋体" w:hAnsi="宋体" w:eastAsia="宋体" w:cs="宋体"/>
          <w:sz w:val="21"/>
          <w:szCs w:val="21"/>
          <w:highlight w:val="none"/>
          <w:u w:val="single"/>
        </w:rPr>
        <w:t xml:space="preserve">  公开招标  </w:t>
      </w:r>
    </w:p>
    <w:p w14:paraId="00670FF1">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10.计价方式</w:t>
      </w:r>
    </w:p>
    <w:p w14:paraId="12050C0D">
      <w:pPr>
        <w:pStyle w:val="26"/>
        <w:keepNext w:val="0"/>
        <w:keepLines w:val="0"/>
        <w:pageBreakBefore w:val="0"/>
        <w:widowControl w:val="0"/>
        <w:kinsoku/>
        <w:wordWrap/>
        <w:overflowPunct/>
        <w:topLinePunct w:val="0"/>
        <w:autoSpaceDE/>
        <w:autoSpaceDN/>
        <w:bidi w:val="0"/>
        <w:spacing w:line="500" w:lineRule="exact"/>
        <w:ind w:left="0" w:leftChars="0"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10.1本工程招标计价方式：</w:t>
      </w:r>
      <w:r>
        <w:rPr>
          <w:rFonts w:hint="eastAsia" w:ascii="宋体" w:hAnsi="宋体" w:eastAsia="宋体" w:cs="宋体"/>
          <w:b w:val="0"/>
          <w:bCs w:val="0"/>
          <w:kern w:val="2"/>
          <w:sz w:val="21"/>
          <w:szCs w:val="21"/>
          <w:highlight w:val="none"/>
          <w:u w:val="single"/>
          <w:lang w:val="en-US" w:eastAsia="zh-CN" w:bidi="ar-SA"/>
        </w:rPr>
        <w:t>工程量清单计价</w:t>
      </w:r>
      <w:r>
        <w:rPr>
          <w:rFonts w:hint="eastAsia" w:ascii="宋体" w:hAnsi="宋体" w:eastAsia="宋体" w:cs="宋体"/>
          <w:b w:val="0"/>
          <w:bCs w:val="0"/>
          <w:kern w:val="2"/>
          <w:sz w:val="21"/>
          <w:szCs w:val="21"/>
          <w:highlight w:val="none"/>
          <w:lang w:val="en-US" w:eastAsia="zh-CN" w:bidi="ar-SA"/>
        </w:rPr>
        <w:t>。</w:t>
      </w:r>
    </w:p>
    <w:p w14:paraId="2D47D990">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本工程合同计价方式：</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lang w:val="en-US" w:eastAsia="zh-CN"/>
        </w:rPr>
        <w:t>单价合同</w:t>
      </w:r>
      <w:r>
        <w:rPr>
          <w:rFonts w:hint="eastAsia" w:ascii="宋体" w:hAnsi="宋体" w:eastAsia="宋体" w:cs="宋体"/>
          <w:b w:val="0"/>
          <w:bCs w:val="0"/>
          <w:sz w:val="21"/>
          <w:szCs w:val="21"/>
          <w:highlight w:val="none"/>
          <w:u w:val="single"/>
        </w:rPr>
        <w:t xml:space="preserve">  </w:t>
      </w:r>
    </w:p>
    <w:p w14:paraId="6317688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11.评标办法</w:t>
      </w:r>
    </w:p>
    <w:p w14:paraId="5D52329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sz w:val="21"/>
          <w:szCs w:val="21"/>
          <w:highlight w:val="none"/>
        </w:rPr>
        <w:t>11.1本工程评标</w:t>
      </w:r>
      <w:r>
        <w:rPr>
          <w:rFonts w:hint="eastAsia" w:ascii="宋体" w:hAnsi="宋体" w:eastAsia="宋体" w:cs="宋体"/>
          <w:b w:val="0"/>
          <w:bCs w:val="0"/>
          <w:color w:val="auto"/>
          <w:sz w:val="21"/>
          <w:szCs w:val="21"/>
          <w:highlight w:val="none"/>
        </w:rPr>
        <w:t>办法：</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经评审最低价法</w:t>
      </w:r>
      <w:r>
        <w:rPr>
          <w:rFonts w:hint="eastAsia" w:ascii="宋体" w:hAnsi="宋体" w:eastAsia="宋体" w:cs="宋体"/>
          <w:b w:val="0"/>
          <w:bCs w:val="0"/>
          <w:color w:val="auto"/>
          <w:sz w:val="21"/>
          <w:szCs w:val="21"/>
          <w:highlight w:val="none"/>
          <w:u w:val="single"/>
        </w:rPr>
        <w:t xml:space="preserve">  </w:t>
      </w:r>
    </w:p>
    <w:p w14:paraId="4D3C6886">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4"/>
          <w:szCs w:val="24"/>
          <w:highlight w:val="none"/>
        </w:rPr>
      </w:pPr>
      <w:bookmarkStart w:id="5" w:name="_Toc24311"/>
      <w:r>
        <w:rPr>
          <w:rFonts w:hint="eastAsia" w:ascii="宋体" w:hAnsi="宋体" w:eastAsia="宋体" w:cs="宋体"/>
          <w:b/>
          <w:bCs/>
          <w:sz w:val="24"/>
          <w:szCs w:val="24"/>
          <w:highlight w:val="none"/>
        </w:rPr>
        <w:t>二、招标文件</w:t>
      </w:r>
      <w:bookmarkEnd w:id="5"/>
    </w:p>
    <w:p w14:paraId="476D3E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12.招标文件的编制依据</w:t>
      </w:r>
    </w:p>
    <w:p w14:paraId="67F9D0A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12.1根据相关法律法规和规章及部、省、市级规范性文件的规定，编制本</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w:t>
      </w:r>
    </w:p>
    <w:p w14:paraId="334FF0B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13.招标文件的组成</w:t>
      </w:r>
    </w:p>
    <w:p w14:paraId="2FA2FFE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 招标文件包括内容：</w:t>
      </w:r>
    </w:p>
    <w:p w14:paraId="7C7DBE4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第一章</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投标须知</w:t>
      </w:r>
    </w:p>
    <w:p w14:paraId="4E4BDD8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第二章</w:t>
      </w:r>
      <w:r>
        <w:rPr>
          <w:rFonts w:hint="eastAsia" w:ascii="宋体" w:hAnsi="宋体" w:eastAsia="宋体" w:cs="宋体"/>
          <w:sz w:val="21"/>
          <w:szCs w:val="21"/>
          <w:highlight w:val="none"/>
          <w:lang w:val="en-US" w:eastAsia="zh-CN"/>
        </w:rPr>
        <w:t xml:space="preserve">  资格审查办法</w:t>
      </w:r>
    </w:p>
    <w:p w14:paraId="29418C8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第三章</w:t>
      </w:r>
      <w:r>
        <w:rPr>
          <w:rFonts w:hint="eastAsia" w:ascii="宋体" w:hAnsi="宋体" w:eastAsia="宋体" w:cs="宋体"/>
          <w:sz w:val="21"/>
          <w:szCs w:val="21"/>
          <w:highlight w:val="none"/>
          <w:lang w:val="en-US" w:eastAsia="zh-CN"/>
        </w:rPr>
        <w:t xml:space="preserve">  评标办法</w:t>
      </w:r>
    </w:p>
    <w:p w14:paraId="3EC5A2B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第四章</w:t>
      </w:r>
      <w:r>
        <w:rPr>
          <w:rFonts w:hint="eastAsia" w:ascii="宋体" w:hAnsi="宋体" w:eastAsia="宋体" w:cs="宋体"/>
          <w:sz w:val="21"/>
          <w:szCs w:val="21"/>
          <w:highlight w:val="none"/>
          <w:lang w:val="en-US" w:eastAsia="zh-CN"/>
        </w:rPr>
        <w:t xml:space="preserve">  施工合同</w:t>
      </w:r>
    </w:p>
    <w:p w14:paraId="12352D2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第五章</w:t>
      </w:r>
      <w:r>
        <w:rPr>
          <w:rFonts w:hint="eastAsia" w:ascii="宋体" w:hAnsi="宋体" w:eastAsia="宋体" w:cs="宋体"/>
          <w:sz w:val="21"/>
          <w:szCs w:val="21"/>
          <w:highlight w:val="none"/>
          <w:lang w:val="en-US" w:eastAsia="zh-CN"/>
        </w:rPr>
        <w:t xml:space="preserve">  技术标准和要求</w:t>
      </w:r>
    </w:p>
    <w:p w14:paraId="3959CC3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第六章  工程量清单</w:t>
      </w:r>
    </w:p>
    <w:p w14:paraId="6FCEDCE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 xml:space="preserve">章 </w:t>
      </w:r>
      <w:r>
        <w:rPr>
          <w:rFonts w:hint="eastAsia" w:ascii="宋体" w:hAnsi="宋体" w:eastAsia="宋体" w:cs="宋体"/>
          <w:sz w:val="21"/>
          <w:szCs w:val="21"/>
          <w:highlight w:val="none"/>
          <w:lang w:val="en-US" w:eastAsia="zh-CN"/>
        </w:rPr>
        <w:t xml:space="preserve"> 投标文件格式</w:t>
      </w:r>
    </w:p>
    <w:p w14:paraId="6A35D38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 除13.1内容外，招标答疑亦为招标文件的组成部分，对招标人和投标人起约束作用。</w:t>
      </w:r>
    </w:p>
    <w:p w14:paraId="0ECD5D8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30F41C3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14.</w:t>
      </w:r>
      <w:r>
        <w:rPr>
          <w:rFonts w:hint="eastAsia" w:ascii="宋体" w:hAnsi="宋体" w:eastAsia="宋体" w:cs="宋体"/>
          <w:bCs/>
          <w:sz w:val="21"/>
          <w:szCs w:val="21"/>
          <w:highlight w:val="none"/>
        </w:rPr>
        <w:t>招标文件的澄清、修改、补充、解释</w:t>
      </w:r>
    </w:p>
    <w:p w14:paraId="476F903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14.1</w:t>
      </w:r>
      <w:r>
        <w:rPr>
          <w:rFonts w:hint="eastAsia" w:ascii="宋体" w:hAnsi="宋体" w:eastAsia="宋体" w:cs="宋体"/>
          <w:sz w:val="21"/>
          <w:szCs w:val="21"/>
          <w:highlight w:val="none"/>
          <w:lang w:val="zh-CN"/>
        </w:rPr>
        <w:t>招标文件发出后</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招标人可对招标文件进行必要的澄清、修改和补充</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并以澄清公告形式在</w:t>
      </w:r>
      <w:r>
        <w:rPr>
          <w:rFonts w:hint="eastAsia" w:ascii="宋体" w:hAnsi="宋体" w:cs="宋体"/>
          <w:b w:val="0"/>
          <w:bCs w:val="0"/>
          <w:color w:val="auto"/>
          <w:szCs w:val="21"/>
          <w:highlight w:val="none"/>
          <w:lang w:bidi="ar"/>
        </w:rPr>
        <w:t>滁州市扬子工业投资集团有限公司官网（https://czyzgtjt.com/）</w:t>
      </w:r>
      <w:r>
        <w:rPr>
          <w:rFonts w:hint="eastAsia" w:ascii="宋体" w:hAnsi="宋体" w:eastAsia="宋体" w:cs="宋体"/>
          <w:sz w:val="21"/>
          <w:szCs w:val="21"/>
          <w:highlight w:val="none"/>
          <w:lang w:val="zh-CN"/>
        </w:rPr>
        <w:t>中予以公告</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请各位投标人注意查看有关内容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如不及时查看造成后果由投标人自负。招标文件的澄清、修改内容作为招标文件的组成部分，具有约束作用。</w:t>
      </w:r>
    </w:p>
    <w:p w14:paraId="705C838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14.2本招标文件由招标人（或其委托的代理机构）负责解释。</w:t>
      </w:r>
    </w:p>
    <w:p w14:paraId="3FDB280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15.踏勘现场及投标预备会</w:t>
      </w:r>
    </w:p>
    <w:p w14:paraId="241F808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15.1</w:t>
      </w:r>
      <w:r>
        <w:rPr>
          <w:rFonts w:hint="eastAsia" w:ascii="宋体" w:hAnsi="宋体" w:eastAsia="宋体" w:cs="宋体"/>
          <w:kern w:val="0"/>
          <w:sz w:val="21"/>
          <w:szCs w:val="21"/>
          <w:highlight w:val="none"/>
        </w:rPr>
        <w:t>勘察现场及投标预备会</w:t>
      </w:r>
    </w:p>
    <w:p w14:paraId="6E04E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15.1.1</w:t>
      </w:r>
      <w:r>
        <w:rPr>
          <w:rFonts w:hint="eastAsia" w:ascii="宋体" w:hAnsi="宋体" w:eastAsia="宋体" w:cs="宋体"/>
          <w:kern w:val="0"/>
          <w:sz w:val="21"/>
          <w:szCs w:val="21"/>
          <w:highlight w:val="none"/>
        </w:rPr>
        <w:t>不再集中召开招标答疑会。投标人自行勘察现场，</w:t>
      </w:r>
      <w:r>
        <w:rPr>
          <w:rFonts w:hint="eastAsia" w:ascii="宋体" w:hAnsi="宋体" w:eastAsia="宋体" w:cs="宋体"/>
          <w:sz w:val="21"/>
          <w:szCs w:val="21"/>
          <w:highlight w:val="none"/>
        </w:rPr>
        <w:t>以便投标人获取有关编制投标文件和签署合同所涉及现场的资料，</w:t>
      </w:r>
      <w:r>
        <w:rPr>
          <w:rFonts w:hint="eastAsia" w:ascii="宋体" w:hAnsi="宋体" w:eastAsia="宋体" w:cs="宋体"/>
          <w:kern w:val="0"/>
          <w:sz w:val="21"/>
          <w:szCs w:val="21"/>
          <w:highlight w:val="none"/>
        </w:rPr>
        <w:t>对现场不清楚或有异议可咨询业主项目负责人，中标后不得以不了解现场或现场存在的现状不清楚等理由增加工程造价。</w:t>
      </w:r>
      <w:r>
        <w:rPr>
          <w:rFonts w:hint="eastAsia" w:ascii="宋体" w:hAnsi="宋体" w:eastAsia="宋体" w:cs="宋体"/>
          <w:sz w:val="21"/>
          <w:szCs w:val="21"/>
          <w:highlight w:val="none"/>
        </w:rPr>
        <w:t>投标人自行承担踏勘现场所发生的自身费用。</w:t>
      </w:r>
    </w:p>
    <w:p w14:paraId="693E55B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16.招标文件的发出</w:t>
      </w:r>
    </w:p>
    <w:p w14:paraId="4619020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16.1招标文件、招标文件的澄清、修改、补充及招标答疑等均应报招标人确认后，方可发出。</w:t>
      </w:r>
    </w:p>
    <w:p w14:paraId="7641B29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.最高投标限价</w:t>
      </w:r>
    </w:p>
    <w:p w14:paraId="750E5F2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本项目最高限价为</w:t>
      </w:r>
      <w:r>
        <w:rPr>
          <w:rFonts w:hint="eastAsia" w:ascii="宋体" w:hAnsi="宋体" w:eastAsia="宋体" w:cs="宋体"/>
          <w:b/>
          <w:bCs/>
          <w:color w:val="auto"/>
          <w:sz w:val="21"/>
          <w:szCs w:val="21"/>
          <w:highlight w:val="none"/>
          <w:lang w:val="en-US" w:eastAsia="zh-CN"/>
        </w:rPr>
        <w:t>贰拾叁万伍仟贰佰壹拾柒元肆角整（235217.40元）</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人的</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不得高于最高限价，否则按无效标处理。</w:t>
      </w:r>
    </w:p>
    <w:p w14:paraId="7E436007">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4"/>
          <w:szCs w:val="24"/>
          <w:highlight w:val="none"/>
        </w:rPr>
      </w:pPr>
      <w:bookmarkStart w:id="6" w:name="_Toc27273"/>
      <w:r>
        <w:rPr>
          <w:rFonts w:hint="eastAsia" w:ascii="宋体" w:hAnsi="宋体" w:eastAsia="宋体" w:cs="宋体"/>
          <w:b/>
          <w:bCs/>
          <w:sz w:val="24"/>
          <w:szCs w:val="24"/>
          <w:highlight w:val="none"/>
        </w:rPr>
        <w:t>三、投标文件的编制</w:t>
      </w:r>
      <w:bookmarkEnd w:id="6"/>
    </w:p>
    <w:p w14:paraId="12A222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18.投标文件的组成</w:t>
      </w:r>
    </w:p>
    <w:p w14:paraId="742548E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1详见第七章投标文件格式</w:t>
      </w:r>
    </w:p>
    <w:p w14:paraId="0B6DD16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b w:val="0"/>
          <w:bCs w:val="0"/>
          <w:color w:val="auto"/>
          <w:sz w:val="21"/>
          <w:szCs w:val="21"/>
          <w:highlight w:val="none"/>
          <w:lang w:eastAsia="zh-CN"/>
        </w:rPr>
      </w:pPr>
      <w:bookmarkStart w:id="7" w:name="_Toc12925"/>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招标人设有最高投标限价的，投标人的投标报价不得超过最高投标限价，最高投标限价在投标人须知前附表中载明。</w:t>
      </w:r>
    </w:p>
    <w:p w14:paraId="63931EF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投标报价应包括国家规定的增值税税金，除投标人须知前附表另有规定外，增值税税金按一般计税方法计算。投标人应按第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章“投标文件格式”的要求在投标函中进行报价并填写工程量清单相应表格。</w:t>
      </w:r>
    </w:p>
    <w:p w14:paraId="446C8E89">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r>
        <w:rPr>
          <w:rFonts w:hint="eastAsia" w:ascii="宋体" w:hAnsi="宋体" w:eastAsia="宋体" w:cs="宋体"/>
          <w:color w:val="auto"/>
          <w:sz w:val="21"/>
          <w:szCs w:val="21"/>
          <w:highlight w:val="none"/>
        </w:rPr>
        <w:t>投标人在投标截止时间前修改投标函中的投标报价总额，应同时修改“已标价工程量清单”中的相应报价，投标报价总额为各分项金额之和。此修改须符合本章第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款的有关要求。</w:t>
      </w:r>
    </w:p>
    <w:p w14:paraId="501562BF">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投标有效期</w:t>
      </w:r>
    </w:p>
    <w:p w14:paraId="0537703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60 </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EC473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投标保证金</w:t>
      </w:r>
    </w:p>
    <w:p w14:paraId="69958C90">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25.1</w:t>
      </w:r>
      <w:r>
        <w:rPr>
          <w:rFonts w:hint="eastAsia" w:ascii="宋体" w:hAnsi="宋体" w:eastAsia="宋体" w:cs="宋体"/>
          <w:color w:val="auto"/>
          <w:sz w:val="21"/>
          <w:szCs w:val="21"/>
          <w:highlight w:val="none"/>
        </w:rPr>
        <w:t>投标保证金数额：</w:t>
      </w:r>
      <w:r>
        <w:rPr>
          <w:rFonts w:hint="eastAsia" w:ascii="宋体" w:hAnsi="宋体" w:eastAsia="宋体" w:cs="宋体"/>
          <w:color w:val="auto"/>
          <w:sz w:val="21"/>
          <w:szCs w:val="21"/>
          <w:highlight w:val="none"/>
          <w:u w:val="none"/>
          <w:lang w:val="en-US" w:eastAsia="zh-CN"/>
        </w:rPr>
        <w:t>不收取</w:t>
      </w:r>
      <w:r>
        <w:rPr>
          <w:rFonts w:hint="eastAsia" w:ascii="宋体" w:hAnsi="宋体" w:eastAsia="宋体" w:cs="宋体"/>
          <w:color w:val="auto"/>
          <w:sz w:val="21"/>
          <w:szCs w:val="21"/>
          <w:highlight w:val="none"/>
        </w:rPr>
        <w:t>。</w:t>
      </w:r>
    </w:p>
    <w:p w14:paraId="6CE1E2A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25.2</w:t>
      </w:r>
      <w:r>
        <w:rPr>
          <w:rFonts w:hint="eastAsia" w:ascii="宋体" w:hAnsi="宋体" w:eastAsia="宋体" w:cs="宋体"/>
          <w:color w:val="auto"/>
          <w:sz w:val="21"/>
          <w:szCs w:val="21"/>
          <w:highlight w:val="none"/>
        </w:rPr>
        <w:t>有下列情形之一的，投标保证金将不予退还：</w:t>
      </w:r>
    </w:p>
    <w:p w14:paraId="6F7DF7F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.2.1投标截止后投标人撤销投标文件的；</w:t>
      </w:r>
    </w:p>
    <w:p w14:paraId="06CFF7E6">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.2.2中标人无正当理由不与招标人订立合同，在签订合同时向招标人提出附加条件，或者不按照招标文件要求提交履约保证金的。</w:t>
      </w:r>
    </w:p>
    <w:p w14:paraId="2B45450F">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法律法规规定的其</w:t>
      </w:r>
      <w:r>
        <w:rPr>
          <w:rFonts w:hint="eastAsia" w:ascii="宋体" w:hAnsi="宋体" w:cs="宋体"/>
          <w:color w:val="auto"/>
          <w:sz w:val="21"/>
          <w:szCs w:val="21"/>
          <w:highlight w:val="none"/>
          <w:lang w:val="en-US" w:eastAsia="zh-CN"/>
        </w:rPr>
        <w:t>他</w:t>
      </w:r>
      <w:r>
        <w:rPr>
          <w:rFonts w:hint="eastAsia" w:ascii="宋体" w:hAnsi="宋体" w:eastAsia="宋体" w:cs="宋体"/>
          <w:color w:val="auto"/>
          <w:sz w:val="21"/>
          <w:szCs w:val="21"/>
          <w:highlight w:val="none"/>
        </w:rPr>
        <w:t>情形。</w:t>
      </w:r>
    </w:p>
    <w:p w14:paraId="4083E0A0">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bookmarkEnd w:id="7"/>
      <w:r>
        <w:rPr>
          <w:rFonts w:hint="eastAsia" w:ascii="宋体" w:hAnsi="宋体" w:eastAsia="宋体" w:cs="宋体"/>
          <w:b/>
          <w:bCs/>
          <w:sz w:val="24"/>
          <w:szCs w:val="24"/>
          <w:highlight w:val="none"/>
        </w:rPr>
        <w:t>投标文件的密封和递交</w:t>
      </w:r>
    </w:p>
    <w:p w14:paraId="6B87823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投标文件的</w:t>
      </w:r>
      <w:r>
        <w:rPr>
          <w:rFonts w:hint="eastAsia" w:ascii="宋体" w:hAnsi="宋体" w:eastAsia="宋体" w:cs="宋体"/>
          <w:sz w:val="21"/>
          <w:szCs w:val="21"/>
          <w:highlight w:val="none"/>
          <w:lang w:val="en-US" w:eastAsia="zh-CN"/>
        </w:rPr>
        <w:t>密封份数</w:t>
      </w:r>
      <w:r>
        <w:rPr>
          <w:rFonts w:hint="eastAsia" w:ascii="宋体" w:hAnsi="宋体" w:eastAsia="宋体" w:cs="宋体"/>
          <w:sz w:val="21"/>
          <w:szCs w:val="21"/>
          <w:highlight w:val="none"/>
        </w:rPr>
        <w:t>和签署</w:t>
      </w:r>
    </w:p>
    <w:p w14:paraId="0C42124C">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Style w:val="47"/>
          <w:rFonts w:hint="eastAsia" w:ascii="宋体" w:hAnsi="宋体" w:eastAsia="宋体" w:cs="宋体"/>
          <w:b w:val="0"/>
          <w:i w:val="0"/>
          <w:caps w:val="0"/>
          <w:spacing w:val="0"/>
          <w:w w:val="100"/>
          <w:kern w:val="2"/>
          <w:sz w:val="21"/>
          <w:szCs w:val="21"/>
          <w:highlight w:val="none"/>
          <w:lang w:val="en-US" w:eastAsia="zh-CN" w:bidi="ar-SA"/>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 投标文件</w:t>
      </w:r>
      <w:r>
        <w:rPr>
          <w:rStyle w:val="47"/>
          <w:rFonts w:hint="eastAsia" w:ascii="宋体" w:hAnsi="宋体" w:eastAsia="宋体" w:cs="宋体"/>
          <w:b w:val="0"/>
          <w:i w:val="0"/>
          <w:caps w:val="0"/>
          <w:spacing w:val="0"/>
          <w:w w:val="100"/>
          <w:kern w:val="2"/>
          <w:sz w:val="21"/>
          <w:szCs w:val="21"/>
          <w:highlight w:val="none"/>
          <w:lang w:val="en-US" w:eastAsia="zh-CN" w:bidi="ar-SA"/>
        </w:rPr>
        <w:t>份数：正本1份，副本1份</w:t>
      </w:r>
    </w:p>
    <w:p w14:paraId="3C637E21">
      <w:pPr>
        <w:pStyle w:val="4"/>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26.2  投标文件正本、副本密封在投标文件袋内。</w:t>
      </w:r>
    </w:p>
    <w:p w14:paraId="22B677BC">
      <w:pPr>
        <w:pStyle w:val="4"/>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26.3 投标文件的授权书、诚信投标承诺书、投标函及资格证明材料应当在格式文本要求的相应位置签字和盖章。</w:t>
      </w:r>
    </w:p>
    <w:p w14:paraId="5F7CC3DD">
      <w:pPr>
        <w:pStyle w:val="4"/>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27. 投标文件的递交</w:t>
      </w:r>
    </w:p>
    <w:p w14:paraId="541EB2E7">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27.1除投标人须知前附表另有规定外，投标人所递交的投标文件不予退还。</w:t>
      </w:r>
    </w:p>
    <w:p w14:paraId="624A3308">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27.2在规定的投标截止时间前，投标人可以撤回已递交的投标文件，并可修改后重新递交，开标时以投标截止时间前投标人最终递交的投标文件为准。</w:t>
      </w:r>
    </w:p>
    <w:p w14:paraId="009BE9C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28.偏离</w:t>
      </w:r>
    </w:p>
    <w:p w14:paraId="059F864C">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28.1投标文件偏离招标文件某些要求，视为投标文件存在偏差。偏差包括重大偏差和细微偏差。</w:t>
      </w:r>
    </w:p>
    <w:p w14:paraId="3F6A0810">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28.1.1投标文件应对招标文件的实质性要求和条件作出满足性或更有利于招标人的响应，否则，视为投标文件存在重大偏差，投标人的投标将被否决。</w:t>
      </w:r>
    </w:p>
    <w:p w14:paraId="10C72513">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投标文件存在“评标办法”中所列任一无效投标情形的，均属于存在重大偏差。</w:t>
      </w:r>
    </w:p>
    <w:p w14:paraId="7EF46E53">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28.1.2投标文件中的下列偏差为细微偏差：</w:t>
      </w:r>
    </w:p>
    <w:p w14:paraId="37460679">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在按照“评标办法”的规定对投标价进行算术性错误修正及其他错误修正后，最终投标报价未超过最高投标限价（如有）或未被否决投标的情况下，出现“评标办法”规定的算术性错误和投标报价的其他错误；</w:t>
      </w:r>
    </w:p>
    <w:p w14:paraId="0608EFF7">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（2）投标文件个别文字有遗漏错误等不影响投标文件实质性内容的偏差。</w:t>
      </w:r>
    </w:p>
    <w:p w14:paraId="2DC4FFA9">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28.1.3评标委员会对投标文件中的细微偏差按如下规定处理：</w:t>
      </w:r>
    </w:p>
    <w:p w14:paraId="5BE3FF1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对于本章第28.1.2 项（1）目所述的细微偏差，按照“评标办法”的规定予以修正并要求投标人进行澄清；</w:t>
      </w:r>
    </w:p>
    <w:p w14:paraId="71D6205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对于本章第28.1.2 项（2）目所述的细微偏差，可要求投标人对细微偏差进行澄清。</w:t>
      </w:r>
    </w:p>
    <w:p w14:paraId="18CC9B34">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4"/>
          <w:szCs w:val="24"/>
          <w:highlight w:val="none"/>
        </w:rPr>
      </w:pPr>
      <w:bookmarkStart w:id="8" w:name="_Toc24406"/>
      <w:r>
        <w:rPr>
          <w:rFonts w:hint="eastAsia" w:ascii="宋体" w:hAnsi="宋体" w:eastAsia="宋体" w:cs="宋体"/>
          <w:b/>
          <w:bCs/>
          <w:sz w:val="24"/>
          <w:szCs w:val="24"/>
          <w:highlight w:val="none"/>
        </w:rPr>
        <w:t>五、开标、评标和定标</w:t>
      </w:r>
      <w:bookmarkEnd w:id="8"/>
    </w:p>
    <w:p w14:paraId="1FCE446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.开标</w:t>
      </w:r>
    </w:p>
    <w:p w14:paraId="072A797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.1开标的时间和地点</w:t>
      </w:r>
    </w:p>
    <w:p w14:paraId="3BF04A9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.1.1招标人按</w:t>
      </w:r>
      <w:r>
        <w:rPr>
          <w:rFonts w:hint="eastAsia" w:ascii="宋体" w:hAnsi="宋体" w:eastAsia="宋体" w:cs="宋体"/>
          <w:sz w:val="21"/>
          <w:szCs w:val="21"/>
          <w:highlight w:val="none"/>
          <w:lang w:val="en-US" w:eastAsia="zh-CN"/>
        </w:rPr>
        <w:t>招标文件规定的</w:t>
      </w:r>
      <w:r>
        <w:rPr>
          <w:rFonts w:hint="eastAsia" w:ascii="宋体" w:hAnsi="宋体" w:eastAsia="宋体" w:cs="宋体"/>
          <w:sz w:val="21"/>
          <w:szCs w:val="21"/>
          <w:highlight w:val="none"/>
        </w:rPr>
        <w:t>提交投标文件的截止时间和地点开标。</w:t>
      </w:r>
    </w:p>
    <w:p w14:paraId="58D9E6E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.2参与开标的监督部门</w:t>
      </w:r>
    </w:p>
    <w:p w14:paraId="37684DD4">
      <w:pPr>
        <w:keepNext w:val="0"/>
        <w:keepLines w:val="0"/>
        <w:pageBreakBefore w:val="0"/>
        <w:widowControl w:val="0"/>
        <w:kinsoku/>
        <w:wordWrap/>
        <w:overflowPunct/>
        <w:topLinePunct w:val="0"/>
        <w:autoSpaceDE/>
        <w:autoSpaceDN/>
        <w:bidi w:val="0"/>
        <w:adjustRightInd/>
        <w:snapToGrid/>
        <w:spacing w:line="500" w:lineRule="exact"/>
        <w:ind w:right="-155" w:rightChars="-74" w:firstLine="420" w:firstLineChars="200"/>
        <w:jc w:val="left"/>
        <w:rPr>
          <w:rFonts w:hint="eastAsia" w:ascii="宋体" w:hAnsi="宋体" w:eastAsia="宋体" w:cs="宋体"/>
          <w:spacing w:val="-8"/>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.2.1参与开标的监督部门包括：</w:t>
      </w:r>
      <w:r>
        <w:rPr>
          <w:rFonts w:hint="eastAsia" w:ascii="宋体" w:hAnsi="宋体" w:eastAsia="宋体" w:cs="宋体"/>
          <w:sz w:val="21"/>
          <w:szCs w:val="21"/>
          <w:highlight w:val="none"/>
          <w:lang w:val="en-US" w:eastAsia="zh-CN"/>
        </w:rPr>
        <w:t>相关部门</w:t>
      </w:r>
      <w:r>
        <w:rPr>
          <w:rFonts w:hint="eastAsia" w:ascii="宋体" w:hAnsi="宋体" w:eastAsia="宋体" w:cs="宋体"/>
          <w:sz w:val="21"/>
          <w:szCs w:val="21"/>
          <w:highlight w:val="none"/>
        </w:rPr>
        <w:t>、招标人等。</w:t>
      </w:r>
    </w:p>
    <w:p w14:paraId="62F280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开标程序</w:t>
      </w:r>
    </w:p>
    <w:p w14:paraId="3EADFF2F">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（1）宣布开标会议纪律；</w:t>
      </w:r>
    </w:p>
    <w:p w14:paraId="78F947F8">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（2）宣布招标单位、代理机构主持人等有关人员姓名；</w:t>
      </w:r>
    </w:p>
    <w:p w14:paraId="5E24833B">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（3）公布投标截止时间前，投标单位名称等； </w:t>
      </w:r>
    </w:p>
    <w:p w14:paraId="1974F098">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（4）投标单位在投标截止时间后，规定时间内完成投标文件递交工作；</w:t>
      </w:r>
    </w:p>
    <w:p w14:paraId="235BAF2C">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（5）公布投标单位投标报价、质量目标、服务周期及其他内容，并记录在案；</w:t>
      </w:r>
    </w:p>
    <w:p w14:paraId="583A60EE">
      <w:pPr>
        <w:keepNext w:val="0"/>
        <w:keepLines w:val="0"/>
        <w:pageBreakBefore w:val="0"/>
        <w:widowControl w:val="0"/>
        <w:kinsoku/>
        <w:wordWrap/>
        <w:overflowPunct/>
        <w:topLinePunct w:val="0"/>
        <w:autoSpaceDE/>
        <w:autoSpaceDN/>
        <w:bidi w:val="0"/>
        <w:adjustRightInd/>
        <w:snapToGrid/>
        <w:spacing w:line="500" w:lineRule="exact"/>
        <w:ind w:right="-155" w:rightChars="-74" w:firstLine="630" w:firstLineChars="3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（6）开标结束。</w:t>
      </w:r>
    </w:p>
    <w:p w14:paraId="09A935A8">
      <w:pPr>
        <w:keepNext w:val="0"/>
        <w:keepLines w:val="0"/>
        <w:pageBreakBefore w:val="0"/>
        <w:widowControl w:val="0"/>
        <w:kinsoku/>
        <w:wordWrap/>
        <w:overflowPunct/>
        <w:topLinePunct w:val="0"/>
        <w:autoSpaceDE/>
        <w:autoSpaceDN/>
        <w:bidi w:val="0"/>
        <w:adjustRightInd/>
        <w:snapToGrid/>
        <w:spacing w:line="500" w:lineRule="exact"/>
        <w:ind w:right="-155" w:rightChars="-74" w:firstLine="420" w:firstLineChars="200"/>
        <w:jc w:val="left"/>
        <w:rPr>
          <w:rFonts w:hint="eastAsia" w:ascii="宋体" w:hAnsi="宋体" w:eastAsia="宋体" w:cs="宋体"/>
          <w:color w:val="auto"/>
          <w:szCs w:val="21"/>
          <w:highlight w:val="none"/>
        </w:rPr>
      </w:pPr>
      <w:r>
        <w:rPr>
          <w:rFonts w:hint="eastAsia" w:ascii="宋体" w:hAnsi="宋体" w:eastAsia="宋体" w:cs="宋体"/>
          <w:sz w:val="21"/>
          <w:szCs w:val="21"/>
          <w:highlight w:val="none"/>
          <w:lang w:val="en-US" w:eastAsia="zh-CN"/>
        </w:rPr>
        <w:t xml:space="preserve">29.4 </w:t>
      </w:r>
      <w:r>
        <w:rPr>
          <w:rFonts w:hint="eastAsia" w:ascii="宋体" w:hAnsi="宋体" w:eastAsia="宋体" w:cs="宋体"/>
          <w:color w:val="auto"/>
          <w:szCs w:val="21"/>
          <w:highlight w:val="none"/>
        </w:rPr>
        <w:t>开标异议</w:t>
      </w:r>
    </w:p>
    <w:p w14:paraId="201D094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color w:val="auto"/>
          <w:szCs w:val="21"/>
          <w:highlight w:val="none"/>
        </w:rPr>
        <w:t>投标人对开标有异议的，应当在开标过程中提出，招标人在开标过程中作出答复，并制作记录。</w:t>
      </w:r>
    </w:p>
    <w:p w14:paraId="3907F29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.无效投标文件</w:t>
      </w:r>
    </w:p>
    <w:p w14:paraId="6E3C639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.1  投标文件有下列情形之一的,其投标文件拒收:</w:t>
      </w:r>
    </w:p>
    <w:p w14:paraId="68FCB29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\o\ac(○,1)</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逾期送达的或未送达指定地点的；</w:t>
      </w:r>
    </w:p>
    <w:p w14:paraId="3CE903F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\o\ac(○,2)</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未按招标文件要求密封的；</w:t>
      </w:r>
    </w:p>
    <w:p w14:paraId="4410544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评标</w:t>
      </w:r>
    </w:p>
    <w:p w14:paraId="7DF84038">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.1评标委员会按照第</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章“评标办法”规定的方法、评审因素、标准和程序对投标文件进行评审。第</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章“评标办法”没有规定的方法、评审因素和标准，不作为评标依据。</w:t>
      </w:r>
    </w:p>
    <w:p w14:paraId="6027EE3D">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31.2</w:t>
      </w:r>
      <w:r>
        <w:rPr>
          <w:rFonts w:hint="eastAsia" w:ascii="宋体" w:hAnsi="宋体" w:eastAsia="宋体" w:cs="宋体"/>
          <w:sz w:val="21"/>
          <w:szCs w:val="21"/>
          <w:highlight w:val="none"/>
        </w:rPr>
        <w:t>评标完成后，评标委员会应向招标人提交书面评标报告和中标候选人名单。评标委员会推荐中标候选人的人数见投标人须知前附表。</w:t>
      </w:r>
    </w:p>
    <w:p w14:paraId="4F53FA25">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31.3</w:t>
      </w:r>
      <w:r>
        <w:rPr>
          <w:rFonts w:hint="eastAsia" w:ascii="宋体" w:hAnsi="宋体" w:eastAsia="宋体" w:cs="宋体"/>
          <w:sz w:val="21"/>
          <w:szCs w:val="21"/>
          <w:highlight w:val="none"/>
        </w:rPr>
        <w:t>报价合理性的判断</w:t>
      </w:r>
    </w:p>
    <w:p w14:paraId="06E0121A">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31.3.1</w:t>
      </w:r>
      <w:r>
        <w:rPr>
          <w:rFonts w:hint="eastAsia" w:ascii="宋体" w:hAnsi="宋体" w:eastAsia="宋体" w:cs="宋体"/>
          <w:sz w:val="21"/>
          <w:szCs w:val="21"/>
          <w:highlight w:val="none"/>
        </w:rPr>
        <w:t>评标委员会认为投标人的报价明显低于其他通过符合性审查投标人的报价，有可能影响或者不能诚信履约的，应当要求其在评标现场合理的时间内提供书面说明，必要时提交相关证明材料；投标人不能证明其报价合理性的，评标委员会应当将其作为无效投标处理。</w:t>
      </w:r>
    </w:p>
    <w:p w14:paraId="561530E7">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31.4</w:t>
      </w:r>
      <w:r>
        <w:rPr>
          <w:rFonts w:hint="eastAsia" w:ascii="宋体" w:hAnsi="宋体" w:eastAsia="宋体" w:cs="宋体"/>
          <w:sz w:val="21"/>
          <w:szCs w:val="21"/>
          <w:highlight w:val="none"/>
        </w:rPr>
        <w:t>评审意见分歧的处理办法</w:t>
      </w:r>
    </w:p>
    <w:p w14:paraId="3B7794C7">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（1）评标委员会应当对投标人提供的报告、证明材料及详细说明认真研究。对存在意见分歧的，可采用投票方式表决决定（按多数评委意见为准）；</w:t>
      </w:r>
    </w:p>
    <w:p w14:paraId="5489B55E">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（2）招标投标当事人对评标结果提出异议或者投诉，认为需要重新进行评标的，评标委员会成员应当按照要求重新评标。</w:t>
      </w:r>
    </w:p>
    <w:p w14:paraId="33B021EF">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31.5</w:t>
      </w:r>
      <w:r>
        <w:rPr>
          <w:rFonts w:hint="eastAsia" w:ascii="宋体" w:hAnsi="宋体" w:eastAsia="宋体" w:cs="宋体"/>
          <w:sz w:val="21"/>
          <w:szCs w:val="21"/>
          <w:highlight w:val="none"/>
        </w:rPr>
        <w:t>评标报告的签署</w:t>
      </w:r>
    </w:p>
    <w:p w14:paraId="5D791198">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5.1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1D2E329">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6评标过程的保密</w:t>
      </w:r>
    </w:p>
    <w:p w14:paraId="0B853DD8">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.6.1评标委员会成员和与评标活动有关的工作人员不得透露对投标文件的评审和比较、中标人的推荐情况以及与评标有关的其他情况。</w:t>
      </w:r>
    </w:p>
    <w:p w14:paraId="17627FE8">
      <w:pPr>
        <w:keepNext w:val="0"/>
        <w:keepLines w:val="0"/>
        <w:pageBreakBefore w:val="0"/>
        <w:widowControl w:val="0"/>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7 </w:t>
      </w:r>
      <w:r>
        <w:rPr>
          <w:rFonts w:hint="eastAsia" w:ascii="宋体" w:hAnsi="宋体" w:eastAsia="宋体" w:cs="宋体"/>
          <w:b/>
          <w:sz w:val="21"/>
          <w:szCs w:val="21"/>
          <w:highlight w:val="none"/>
        </w:rPr>
        <w:t>投标文件有下列情形之一的，应按无效标处理：</w:t>
      </w:r>
    </w:p>
    <w:p w14:paraId="5349352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①无单位盖章并无法定代表人或法定代表人授权的代理人签字或盖章的；</w:t>
      </w:r>
    </w:p>
    <w:p w14:paraId="654673D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②未按规定的格式填写，内容不全或关键字迹模糊、无法辨认的；</w:t>
      </w:r>
    </w:p>
    <w:p w14:paraId="076C372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③未按招标文件要求提交投标保证金的；</w:t>
      </w:r>
    </w:p>
    <w:p w14:paraId="4916382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④投标文件中填报的工期、质量不符合招标文件要求的；</w:t>
      </w:r>
    </w:p>
    <w:p w14:paraId="25676E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⑤因投标人原因改变或遗漏主要指标或技术要求的；</w:t>
      </w:r>
    </w:p>
    <w:p w14:paraId="338564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⑥投标报价未按招标人要求的价格及格式填写的；</w:t>
      </w:r>
    </w:p>
    <w:p w14:paraId="6993121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Style w:val="47"/>
          <w:rFonts w:hint="eastAsia" w:ascii="宋体" w:hAnsi="宋体" w:eastAsia="宋体" w:cs="宋体"/>
          <w:b w:val="0"/>
          <w:i w:val="0"/>
          <w:caps w:val="0"/>
          <w:spacing w:val="0"/>
          <w:w w:val="100"/>
          <w:kern w:val="2"/>
          <w:sz w:val="21"/>
          <w:szCs w:val="21"/>
          <w:highlight w:val="none"/>
          <w:lang w:val="en-US" w:eastAsia="zh-CN" w:bidi="ar-SA"/>
        </w:rPr>
      </w:pPr>
      <w:r>
        <w:rPr>
          <w:rStyle w:val="47"/>
          <w:rFonts w:hint="eastAsia" w:ascii="宋体" w:hAnsi="宋体" w:eastAsia="宋体" w:cs="宋体"/>
          <w:b w:val="0"/>
          <w:i w:val="0"/>
          <w:caps w:val="0"/>
          <w:spacing w:val="0"/>
          <w:w w:val="100"/>
          <w:kern w:val="2"/>
          <w:sz w:val="21"/>
          <w:szCs w:val="21"/>
          <w:highlight w:val="none"/>
          <w:lang w:val="en-US" w:eastAsia="zh-CN" w:bidi="ar-SA"/>
        </w:rPr>
        <w:t xml:space="preserve">⑦法律、法规、规章和招标文件规定的其他无效标情形。 </w:t>
      </w:r>
    </w:p>
    <w:p w14:paraId="19944CE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.定标</w:t>
      </w:r>
    </w:p>
    <w:p w14:paraId="0F19883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kern w:val="0"/>
          <w:sz w:val="21"/>
          <w:szCs w:val="21"/>
          <w:highlight w:val="none"/>
        </w:rPr>
        <w:t>.1中标候选人和中标人的确定</w:t>
      </w:r>
    </w:p>
    <w:p w14:paraId="532DFCE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Fonts w:hint="eastAsia" w:ascii="宋体" w:hAnsi="宋体" w:eastAsia="宋体" w:cs="宋体"/>
          <w:sz w:val="21"/>
          <w:szCs w:val="21"/>
          <w:highlight w:val="none"/>
          <w:lang w:val="en-US" w:eastAsia="zh-CN"/>
        </w:rPr>
        <w:t>32</w:t>
      </w:r>
      <w:r>
        <w:rPr>
          <w:rFonts w:hint="eastAsia" w:ascii="宋体" w:hAnsi="宋体" w:eastAsia="宋体" w:cs="宋体"/>
          <w:kern w:val="0"/>
          <w:sz w:val="21"/>
          <w:szCs w:val="21"/>
          <w:highlight w:val="none"/>
        </w:rPr>
        <w:t>.1.1</w:t>
      </w:r>
      <w:r>
        <w:rPr>
          <w:rStyle w:val="47"/>
          <w:rFonts w:hint="eastAsia" w:ascii="宋体" w:hAnsi="宋体" w:eastAsia="宋体" w:cs="宋体"/>
          <w:b w:val="0"/>
          <w:i w:val="0"/>
          <w:caps w:val="0"/>
          <w:spacing w:val="0"/>
          <w:w w:val="100"/>
          <w:kern w:val="2"/>
          <w:sz w:val="21"/>
          <w:szCs w:val="21"/>
          <w:highlight w:val="none"/>
          <w:lang w:val="en-US" w:eastAsia="zh-CN" w:bidi="ar-SA"/>
        </w:rPr>
        <w:t>中标候选人和中标人的确定原则及方法按本招标文件第三章评标办法中规定执行。</w:t>
      </w:r>
    </w:p>
    <w:p w14:paraId="13557E0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0" w:firstLineChars="200"/>
        <w:jc w:val="both"/>
        <w:textAlignment w:val="baseline"/>
        <w:rPr>
          <w:rStyle w:val="47"/>
          <w:rFonts w:hint="eastAsia" w:ascii="宋体" w:hAnsi="宋体" w:eastAsia="宋体" w:cs="宋体"/>
          <w:b w:val="0"/>
          <w:i w:val="0"/>
          <w:caps w:val="0"/>
          <w:spacing w:val="0"/>
          <w:w w:val="100"/>
          <w:kern w:val="2"/>
          <w:sz w:val="21"/>
          <w:szCs w:val="21"/>
          <w:highlight w:val="none"/>
          <w:lang w:val="en-US" w:eastAsia="zh-CN" w:bidi="ar-SA"/>
        </w:rPr>
      </w:pPr>
      <w:r>
        <w:rPr>
          <w:rFonts w:hint="eastAsia" w:ascii="宋体" w:hAnsi="宋体" w:eastAsia="宋体" w:cs="宋体"/>
          <w:sz w:val="21"/>
          <w:szCs w:val="21"/>
          <w:highlight w:val="none"/>
          <w:lang w:val="en-US" w:eastAsia="zh-CN"/>
        </w:rPr>
        <w:t>32</w:t>
      </w:r>
      <w:r>
        <w:rPr>
          <w:rStyle w:val="47"/>
          <w:rFonts w:hint="eastAsia" w:ascii="宋体" w:hAnsi="宋体" w:eastAsia="宋体" w:cs="宋体"/>
          <w:b w:val="0"/>
          <w:i w:val="0"/>
          <w:caps w:val="0"/>
          <w:spacing w:val="0"/>
          <w:w w:val="100"/>
          <w:kern w:val="2"/>
          <w:sz w:val="21"/>
          <w:szCs w:val="21"/>
          <w:highlight w:val="none"/>
          <w:lang w:val="en-US" w:eastAsia="zh-CN" w:bidi="ar-SA"/>
        </w:rPr>
        <w:t>.2中标公示</w:t>
      </w:r>
    </w:p>
    <w:p w14:paraId="097B235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.1中标候选人确定后，招标人应将中标候选人名单在滁州市扬子工业投资集团有限公司官网（https://czyzgtjt.com/）</w:t>
      </w:r>
      <w:r>
        <w:rPr>
          <w:rFonts w:hint="eastAsia" w:ascii="宋体" w:hAnsi="宋体" w:eastAsia="宋体" w:cs="宋体"/>
          <w:sz w:val="21"/>
          <w:szCs w:val="21"/>
          <w:highlight w:val="none"/>
          <w:lang w:val="en-US" w:eastAsia="zh-CN"/>
        </w:rPr>
        <w:t>进行公示</w:t>
      </w:r>
      <w:r>
        <w:rPr>
          <w:rFonts w:hint="eastAsia" w:ascii="宋体" w:hAnsi="宋体" w:eastAsia="宋体" w:cs="宋体"/>
          <w:sz w:val="21"/>
          <w:szCs w:val="21"/>
          <w:highlight w:val="none"/>
        </w:rPr>
        <w:t>。</w:t>
      </w:r>
    </w:p>
    <w:p w14:paraId="4344703C">
      <w:pPr>
        <w:keepNext w:val="0"/>
        <w:keepLines w:val="0"/>
        <w:pageBreakBefore w:val="0"/>
        <w:widowControl w:val="0"/>
        <w:kinsoku/>
        <w:wordWrap/>
        <w:overflowPunct/>
        <w:topLinePunct w:val="0"/>
        <w:autoSpaceDE/>
        <w:autoSpaceDN/>
        <w:bidi w:val="0"/>
        <w:adjustRightInd/>
        <w:snapToGrid/>
        <w:spacing w:before="82" w:beforeLines="30" w:after="82" w:afterLines="30" w:line="520" w:lineRule="exact"/>
        <w:jc w:val="center"/>
        <w:textAlignment w:val="auto"/>
        <w:outlineLvl w:val="1"/>
        <w:rPr>
          <w:rFonts w:hint="eastAsia" w:ascii="宋体" w:hAnsi="宋体" w:eastAsia="宋体" w:cs="宋体"/>
          <w:b/>
          <w:bCs/>
          <w:sz w:val="24"/>
          <w:szCs w:val="24"/>
          <w:highlight w:val="none"/>
        </w:rPr>
      </w:pPr>
      <w:bookmarkStart w:id="9" w:name="_Toc15521"/>
      <w:r>
        <w:rPr>
          <w:rFonts w:hint="eastAsia" w:ascii="宋体" w:hAnsi="宋体" w:eastAsia="宋体" w:cs="宋体"/>
          <w:b/>
          <w:bCs/>
          <w:sz w:val="24"/>
          <w:szCs w:val="24"/>
          <w:highlight w:val="none"/>
        </w:rPr>
        <w:t>六、合同的授予</w:t>
      </w:r>
      <w:bookmarkEnd w:id="9"/>
    </w:p>
    <w:p w14:paraId="4257907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.合同授予标准</w:t>
      </w:r>
    </w:p>
    <w:p w14:paraId="069BC55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.1本招标项目的</w:t>
      </w:r>
      <w:r>
        <w:rPr>
          <w:rFonts w:hint="eastAsia" w:ascii="宋体" w:hAnsi="宋体" w:eastAsia="宋体" w:cs="宋体"/>
          <w:sz w:val="21"/>
          <w:szCs w:val="21"/>
          <w:highlight w:val="none"/>
          <w:lang w:val="en-US" w:eastAsia="zh-CN"/>
        </w:rPr>
        <w:t>施工</w:t>
      </w:r>
      <w:r>
        <w:rPr>
          <w:rFonts w:hint="eastAsia" w:ascii="宋体" w:hAnsi="宋体" w:eastAsia="宋体" w:cs="宋体"/>
          <w:sz w:val="21"/>
          <w:szCs w:val="21"/>
          <w:highlight w:val="none"/>
        </w:rPr>
        <w:t>合同将授予按本须知第</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条规定所确定的中标人。</w:t>
      </w:r>
    </w:p>
    <w:p w14:paraId="232CBA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.合同协议书的签订</w:t>
      </w:r>
    </w:p>
    <w:p w14:paraId="58B71B5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lang w:eastAsia="zh-CN"/>
        </w:rPr>
        <w:t>中标通知书</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个日历天内</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val="en-US" w:eastAsia="zh-CN"/>
        </w:rPr>
        <w:t>与中标人</w:t>
      </w:r>
      <w:r>
        <w:rPr>
          <w:rFonts w:hint="eastAsia" w:ascii="宋体" w:hAnsi="宋体" w:eastAsia="宋体" w:cs="宋体"/>
          <w:sz w:val="21"/>
          <w:szCs w:val="21"/>
          <w:highlight w:val="none"/>
        </w:rPr>
        <w:t>将</w:t>
      </w:r>
      <w:r>
        <w:rPr>
          <w:rFonts w:hint="eastAsia" w:ascii="宋体" w:hAnsi="宋体" w:eastAsia="宋体" w:cs="宋体"/>
          <w:sz w:val="21"/>
          <w:szCs w:val="21"/>
          <w:highlight w:val="none"/>
          <w:lang w:val="en-US" w:eastAsia="zh-CN"/>
        </w:rPr>
        <w:t>按照招标</w:t>
      </w:r>
      <w:r>
        <w:rPr>
          <w:rFonts w:hint="eastAsia" w:ascii="宋体" w:hAnsi="宋体" w:eastAsia="宋体" w:cs="宋体"/>
          <w:sz w:val="21"/>
          <w:szCs w:val="21"/>
          <w:highlight w:val="none"/>
        </w:rPr>
        <w:t>文件和中标人的投标文件订立书面合同。同时，投标人应按本须知第27条规定的数额、时间向招标人交纳履约保证金。招标人和中标人不得再行订立背离合同实质性内容的其他协议。</w:t>
      </w:r>
    </w:p>
    <w:p w14:paraId="48891A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.2招标人如不按本投标须知第3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条的规定与中标人订立合同，或者招标人、中标人订立背离合同实质性内容的协议，招标人应当对投标人进行赔偿，同时依法承担相应法律责任。</w:t>
      </w:r>
    </w:p>
    <w:p w14:paraId="728C952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.3中标人如不按本投标须知第3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条的规定与招标人订立合同，则招标人将废除</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，同时依法承担相应法律责任。</w:t>
      </w:r>
    </w:p>
    <w:p w14:paraId="33D51D6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.4中标人应当按照合同约定履行义务，完成中标项目，不得将中标项目转让（转包）给他人。</w:t>
      </w:r>
    </w:p>
    <w:p w14:paraId="1DB7AF4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.履约保证金</w:t>
      </w:r>
    </w:p>
    <w:p w14:paraId="503BD95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bookmarkStart w:id="10" w:name="_Toc11475"/>
      <w:bookmarkStart w:id="11" w:name="_Toc5160_WPSOffice_Level1"/>
      <w:r>
        <w:rPr>
          <w:rFonts w:hint="eastAsia" w:ascii="宋体" w:hAnsi="宋体" w:eastAsia="宋体" w:cs="宋体"/>
          <w:sz w:val="21"/>
          <w:szCs w:val="21"/>
          <w:highlight w:val="none"/>
          <w:lang w:val="en-US" w:eastAsia="zh-CN"/>
        </w:rPr>
        <w:t>35.1</w:t>
      </w:r>
      <w:r>
        <w:rPr>
          <w:rFonts w:hint="eastAsia" w:ascii="宋体" w:hAnsi="宋体" w:eastAsia="宋体" w:cs="宋体"/>
          <w:sz w:val="21"/>
          <w:szCs w:val="21"/>
          <w:highlight w:val="none"/>
        </w:rPr>
        <w:t>在签订合同前，中标人应按投标人须知前附表规定的担保形式和合同条款及格式规定的或者事先经过招标人书面认可的履约担保格式向招标人提交履约担保。</w:t>
      </w:r>
    </w:p>
    <w:p w14:paraId="5215E3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35.2</w:t>
      </w:r>
      <w:r>
        <w:rPr>
          <w:rFonts w:hint="eastAsia" w:ascii="宋体" w:hAnsi="宋体" w:eastAsia="宋体" w:cs="宋体"/>
          <w:sz w:val="21"/>
          <w:szCs w:val="21"/>
          <w:highlight w:val="none"/>
        </w:rPr>
        <w:t>中标人不能按本章第</w:t>
      </w:r>
      <w:r>
        <w:rPr>
          <w:rFonts w:hint="eastAsia" w:ascii="宋体" w:hAnsi="宋体" w:eastAsia="宋体" w:cs="宋体"/>
          <w:sz w:val="21"/>
          <w:szCs w:val="21"/>
          <w:highlight w:val="none"/>
          <w:lang w:val="en-US" w:eastAsia="zh-CN"/>
        </w:rPr>
        <w:t>35.1</w:t>
      </w:r>
      <w:r>
        <w:rPr>
          <w:rFonts w:hint="eastAsia" w:ascii="宋体" w:hAnsi="宋体" w:eastAsia="宋体" w:cs="宋体"/>
          <w:sz w:val="21"/>
          <w:szCs w:val="21"/>
          <w:highlight w:val="none"/>
        </w:rPr>
        <w:t>项要求提交履约担保的，视为放弃中标，给招标人造成的损失应当予以赔偿。</w:t>
      </w:r>
      <w:bookmarkStart w:id="12" w:name="_Toc25456"/>
    </w:p>
    <w:p w14:paraId="5736D7BF">
      <w:pPr>
        <w:pageBreakBefore w:val="0"/>
        <w:kinsoku/>
        <w:wordWrap/>
        <w:overflowPunct/>
        <w:topLinePunct w:val="0"/>
        <w:autoSpaceDE/>
        <w:autoSpaceDN/>
        <w:bidi w:val="0"/>
        <w:spacing w:line="500" w:lineRule="exact"/>
        <w:jc w:val="center"/>
        <w:outlineLvl w:val="0"/>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rPr>
        <w:br w:type="page"/>
      </w:r>
      <w:r>
        <w:rPr>
          <w:rFonts w:hint="eastAsia" w:ascii="宋体" w:hAnsi="宋体" w:eastAsia="宋体" w:cs="宋体"/>
          <w:b/>
          <w:sz w:val="32"/>
          <w:szCs w:val="32"/>
          <w:highlight w:val="none"/>
          <w:lang w:val="en-US" w:eastAsia="zh-CN"/>
        </w:rPr>
        <w:t xml:space="preserve">第二章  </w:t>
      </w:r>
      <w:bookmarkEnd w:id="10"/>
      <w:bookmarkEnd w:id="11"/>
      <w:bookmarkEnd w:id="12"/>
      <w:r>
        <w:rPr>
          <w:rFonts w:hint="eastAsia" w:ascii="宋体" w:hAnsi="宋体" w:eastAsia="宋体" w:cs="宋体"/>
          <w:b/>
          <w:sz w:val="32"/>
          <w:szCs w:val="32"/>
          <w:highlight w:val="none"/>
          <w:lang w:val="en-US" w:eastAsia="zh-CN"/>
        </w:rPr>
        <w:t>资格审查办法</w:t>
      </w:r>
    </w:p>
    <w:p w14:paraId="1EFFB610">
      <w:pPr>
        <w:keepNext w:val="0"/>
        <w:keepLines w:val="0"/>
        <w:pageBreakBefore w:val="0"/>
        <w:widowControl w:val="0"/>
        <w:kinsoku/>
        <w:wordWrap/>
        <w:overflowPunct/>
        <w:topLinePunct w:val="0"/>
        <w:autoSpaceDE/>
        <w:autoSpaceDN/>
        <w:bidi w:val="0"/>
        <w:adjustRightInd/>
        <w:snapToGrid/>
        <w:spacing w:before="82" w:beforeLines="30" w:after="82" w:afterLines="30" w:line="500" w:lineRule="exact"/>
        <w:ind w:firstLine="3614" w:firstLineChars="1200"/>
        <w:jc w:val="both"/>
        <w:textAlignment w:val="auto"/>
        <w:rPr>
          <w:rFonts w:hint="eastAsia" w:ascii="宋体" w:hAnsi="宋体" w:eastAsia="宋体" w:cs="宋体"/>
          <w:b/>
          <w:bCs/>
          <w:color w:val="auto"/>
          <w:sz w:val="30"/>
          <w:szCs w:val="30"/>
          <w:highlight w:val="none"/>
          <w:lang w:val="en-US" w:eastAsia="zh-CN"/>
        </w:rPr>
      </w:pPr>
      <w:bookmarkStart w:id="13" w:name="_Toc13405"/>
      <w:r>
        <w:rPr>
          <w:rFonts w:hint="eastAsia" w:ascii="宋体" w:hAnsi="宋体" w:eastAsia="宋体" w:cs="宋体"/>
          <w:b/>
          <w:bCs/>
          <w:color w:val="auto"/>
          <w:sz w:val="30"/>
          <w:szCs w:val="30"/>
          <w:highlight w:val="none"/>
          <w:lang w:val="en-US" w:eastAsia="zh-CN"/>
        </w:rPr>
        <w:t>资格审查</w:t>
      </w:r>
    </w:p>
    <w:p w14:paraId="56FA3622">
      <w:pPr>
        <w:adjustRightInd w:val="0"/>
        <w:snapToGrid w:val="0"/>
        <w:spacing w:line="56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资格审查办法前附表</w:t>
      </w:r>
    </w:p>
    <w:tbl>
      <w:tblPr>
        <w:tblStyle w:val="2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29"/>
        <w:gridCol w:w="1914"/>
      </w:tblGrid>
      <w:tr w14:paraId="18F0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6B5FF50B">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129" w:type="dxa"/>
            <w:noWrap w:val="0"/>
            <w:vAlign w:val="center"/>
          </w:tcPr>
          <w:p w14:paraId="786F8B38">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14" w:type="dxa"/>
            <w:noWrap w:val="0"/>
            <w:vAlign w:val="center"/>
          </w:tcPr>
          <w:p w14:paraId="242DC409">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76C6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6610A97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794861F4">
            <w:pPr>
              <w:adjustRightInd w:val="0"/>
              <w:snapToGrid w:val="0"/>
              <w:spacing w:line="5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129" w:type="dxa"/>
            <w:noWrap w:val="0"/>
            <w:vAlign w:val="top"/>
          </w:tcPr>
          <w:p w14:paraId="7B7F59F0">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或法定代表人授权委托书和委托代理人有效身份证</w:t>
            </w:r>
            <w:r>
              <w:rPr>
                <w:rFonts w:hint="eastAsia" w:ascii="宋体" w:hAnsi="宋体" w:cs="宋体"/>
                <w:color w:val="auto"/>
                <w:szCs w:val="21"/>
                <w:highlight w:val="none"/>
                <w:lang w:eastAsia="zh-CN"/>
              </w:rPr>
              <w:t>）</w:t>
            </w:r>
          </w:p>
        </w:tc>
        <w:tc>
          <w:tcPr>
            <w:tcW w:w="1914" w:type="dxa"/>
            <w:noWrap w:val="0"/>
            <w:vAlign w:val="center"/>
          </w:tcPr>
          <w:p w14:paraId="434388B9">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检验标书</w:t>
            </w:r>
          </w:p>
        </w:tc>
      </w:tr>
      <w:tr w14:paraId="7297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6F75DB22">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7E788A96">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328C9B7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14" w:type="dxa"/>
            <w:vMerge w:val="restart"/>
            <w:noWrap w:val="0"/>
            <w:vAlign w:val="center"/>
          </w:tcPr>
          <w:p w14:paraId="3486C467">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检验标书</w:t>
            </w:r>
          </w:p>
        </w:tc>
      </w:tr>
      <w:tr w14:paraId="77DF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F9C4E35">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06ED3A5D">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348A74B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14" w:type="dxa"/>
            <w:vMerge w:val="continue"/>
            <w:noWrap w:val="0"/>
            <w:vAlign w:val="center"/>
          </w:tcPr>
          <w:p w14:paraId="283D904B">
            <w:pPr>
              <w:adjustRightInd w:val="0"/>
              <w:snapToGrid w:val="0"/>
              <w:spacing w:line="560" w:lineRule="exact"/>
              <w:jc w:val="center"/>
              <w:rPr>
                <w:rFonts w:hint="eastAsia" w:ascii="宋体" w:hAnsi="宋体" w:cs="宋体"/>
                <w:b/>
                <w:color w:val="auto"/>
                <w:szCs w:val="21"/>
                <w:highlight w:val="none"/>
              </w:rPr>
            </w:pPr>
          </w:p>
        </w:tc>
      </w:tr>
      <w:tr w14:paraId="3234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7C80E560">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326E013E">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7C81E16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14" w:type="dxa"/>
            <w:vMerge w:val="continue"/>
            <w:noWrap w:val="0"/>
            <w:vAlign w:val="center"/>
          </w:tcPr>
          <w:p w14:paraId="35D7A1E2">
            <w:pPr>
              <w:adjustRightInd w:val="0"/>
              <w:snapToGrid w:val="0"/>
              <w:spacing w:line="560" w:lineRule="exact"/>
              <w:jc w:val="center"/>
              <w:rPr>
                <w:rFonts w:hint="eastAsia" w:ascii="宋体" w:hAnsi="宋体" w:cs="宋体"/>
                <w:color w:val="auto"/>
                <w:szCs w:val="21"/>
                <w:highlight w:val="none"/>
              </w:rPr>
            </w:pPr>
          </w:p>
        </w:tc>
      </w:tr>
      <w:tr w14:paraId="140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0993A396">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5ECB84F">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3511B57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14" w:type="dxa"/>
            <w:vMerge w:val="continue"/>
            <w:noWrap w:val="0"/>
            <w:vAlign w:val="center"/>
          </w:tcPr>
          <w:p w14:paraId="214C9832">
            <w:pPr>
              <w:adjustRightInd w:val="0"/>
              <w:snapToGrid w:val="0"/>
              <w:spacing w:line="560" w:lineRule="exact"/>
              <w:jc w:val="center"/>
              <w:rPr>
                <w:rFonts w:hint="eastAsia" w:ascii="宋体" w:hAnsi="宋体" w:cs="宋体"/>
                <w:color w:val="auto"/>
                <w:szCs w:val="21"/>
                <w:highlight w:val="none"/>
              </w:rPr>
            </w:pPr>
          </w:p>
        </w:tc>
      </w:tr>
      <w:tr w14:paraId="2B4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893F8CB">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6C71DB49">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6F797F9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14" w:type="dxa"/>
            <w:vMerge w:val="continue"/>
            <w:noWrap w:val="0"/>
            <w:vAlign w:val="center"/>
          </w:tcPr>
          <w:p w14:paraId="654C4014">
            <w:pPr>
              <w:adjustRightInd w:val="0"/>
              <w:snapToGrid w:val="0"/>
              <w:spacing w:line="560" w:lineRule="exact"/>
              <w:jc w:val="center"/>
              <w:rPr>
                <w:rFonts w:hint="eastAsia" w:ascii="宋体" w:hAnsi="宋体" w:cs="宋体"/>
                <w:color w:val="auto"/>
                <w:szCs w:val="21"/>
                <w:highlight w:val="none"/>
              </w:rPr>
            </w:pPr>
          </w:p>
        </w:tc>
      </w:tr>
      <w:tr w14:paraId="79F9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3C75F074">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1454C7B0">
            <w:pPr>
              <w:adjustRightInd w:val="0"/>
              <w:snapToGrid w:val="0"/>
              <w:spacing w:line="560" w:lineRule="exact"/>
              <w:jc w:val="center"/>
              <w:rPr>
                <w:rFonts w:hint="eastAsia" w:ascii="宋体" w:hAnsi="宋体" w:cs="宋体"/>
                <w:b/>
                <w:bCs/>
                <w:color w:val="auto"/>
                <w:szCs w:val="21"/>
                <w:highlight w:val="none"/>
              </w:rPr>
            </w:pPr>
          </w:p>
        </w:tc>
        <w:tc>
          <w:tcPr>
            <w:tcW w:w="6129" w:type="dxa"/>
            <w:noWrap w:val="0"/>
            <w:vAlign w:val="top"/>
          </w:tcPr>
          <w:p w14:paraId="4D7A82D9">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和拟任项目经理（建造师）须持有社保部门出具的本单位为其缴纳的</w:t>
            </w:r>
            <w:r>
              <w:rPr>
                <w:rFonts w:hint="eastAsia" w:ascii="宋体" w:hAnsi="宋体" w:cs="宋体"/>
                <w:color w:val="auto"/>
                <w:szCs w:val="21"/>
                <w:highlight w:val="none"/>
                <w:lang w:val="en-US" w:eastAsia="zh-CN"/>
              </w:rPr>
              <w:t>选取</w:t>
            </w:r>
            <w:r>
              <w:rPr>
                <w:rFonts w:hint="eastAsia" w:ascii="宋体" w:hAnsi="宋体" w:cs="宋体"/>
                <w:color w:val="auto"/>
                <w:szCs w:val="21"/>
                <w:highlight w:val="none"/>
              </w:rPr>
              <w:t>前近三个月连续的养老保险证明（证明文件两个月内有效）（同一人担任不同公司法定代表人的，该法定代表人参加本项目投标时须提供本人在其他公司任法定代表人的营业执照及为其缴纳养老保险证明材料），</w:t>
            </w:r>
            <w:r>
              <w:rPr>
                <w:rFonts w:hint="eastAsia" w:ascii="宋体" w:hAnsi="宋体" w:cs="宋体"/>
                <w:color w:val="auto"/>
                <w:szCs w:val="21"/>
                <w:highlight w:val="none"/>
                <w:lang w:eastAsia="zh-CN"/>
              </w:rPr>
              <w:t>被选取人</w:t>
            </w:r>
            <w:r>
              <w:rPr>
                <w:rFonts w:hint="eastAsia" w:ascii="宋体" w:hAnsi="宋体" w:cs="宋体"/>
                <w:color w:val="auto"/>
                <w:szCs w:val="21"/>
                <w:highlight w:val="none"/>
              </w:rPr>
              <w:t>是事业单位的，暂未缴纳养老保险的，须由其主管部门出具证明。</w:t>
            </w:r>
          </w:p>
        </w:tc>
        <w:tc>
          <w:tcPr>
            <w:tcW w:w="1914" w:type="dxa"/>
            <w:vMerge w:val="continue"/>
            <w:noWrap w:val="0"/>
            <w:vAlign w:val="center"/>
          </w:tcPr>
          <w:p w14:paraId="411FFEB1">
            <w:pPr>
              <w:adjustRightInd w:val="0"/>
              <w:snapToGrid w:val="0"/>
              <w:spacing w:line="560" w:lineRule="exact"/>
              <w:jc w:val="center"/>
              <w:rPr>
                <w:rFonts w:hint="eastAsia" w:ascii="宋体" w:hAnsi="宋体" w:cs="宋体"/>
                <w:color w:val="auto"/>
                <w:szCs w:val="21"/>
                <w:highlight w:val="none"/>
              </w:rPr>
            </w:pPr>
          </w:p>
        </w:tc>
      </w:tr>
    </w:tbl>
    <w:p w14:paraId="308B796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bookmarkStart w:id="14" w:name="_Toc15058904"/>
      <w:bookmarkStart w:id="15" w:name="_Toc324404866"/>
      <w:bookmarkStart w:id="16" w:name="_Toc95223394"/>
      <w:bookmarkStart w:id="17" w:name="_Toc506107319"/>
      <w:bookmarkStart w:id="18" w:name="_Toc60061491"/>
      <w:r>
        <w:rPr>
          <w:rFonts w:hint="eastAsia" w:ascii="宋体" w:hAnsi="宋体" w:eastAsia="宋体" w:cs="宋体"/>
          <w:b/>
          <w:bCs/>
          <w:color w:val="auto"/>
          <w:szCs w:val="21"/>
          <w:highlight w:val="none"/>
        </w:rPr>
        <w:t>重要提示：</w:t>
      </w:r>
    </w:p>
    <w:p w14:paraId="20E6754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（1）评审委员会在评审过程中，如果由于</w:t>
      </w:r>
      <w:r>
        <w:rPr>
          <w:rFonts w:hint="eastAsia" w:ascii="宋体" w:hAnsi="宋体" w:eastAsia="宋体" w:cs="宋体"/>
          <w:b/>
          <w:bCs/>
          <w:color w:val="auto"/>
          <w:szCs w:val="21"/>
          <w:highlight w:val="none"/>
          <w:lang w:eastAsia="zh-CN"/>
        </w:rPr>
        <w:t>投标单位</w:t>
      </w:r>
      <w:r>
        <w:rPr>
          <w:rFonts w:hint="eastAsia" w:ascii="宋体" w:hAnsi="宋体" w:eastAsia="宋体" w:cs="宋体"/>
          <w:b/>
          <w:bCs/>
          <w:color w:val="auto"/>
          <w:szCs w:val="21"/>
          <w:highlight w:val="none"/>
        </w:rPr>
        <w:t>自身原因导致评审委员会无法查看</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中以上相关资料的，视为无效投标处理。即使</w:t>
      </w:r>
      <w:r>
        <w:rPr>
          <w:rFonts w:hint="eastAsia" w:ascii="宋体" w:hAnsi="宋体" w:eastAsia="宋体" w:cs="宋体"/>
          <w:b/>
          <w:bCs/>
          <w:color w:val="auto"/>
          <w:szCs w:val="21"/>
          <w:highlight w:val="none"/>
          <w:lang w:eastAsia="zh-CN"/>
        </w:rPr>
        <w:t>投标单位</w:t>
      </w:r>
      <w:r>
        <w:rPr>
          <w:rFonts w:hint="eastAsia" w:ascii="宋体" w:hAnsi="宋体" w:eastAsia="宋体" w:cs="宋体"/>
          <w:b/>
          <w:bCs/>
          <w:color w:val="auto"/>
          <w:szCs w:val="21"/>
          <w:highlight w:val="none"/>
        </w:rPr>
        <w:t>将原件携带至现场的，同样按无效投标处理。</w:t>
      </w:r>
    </w:p>
    <w:p w14:paraId="68CD82D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黑体" w:hAnsi="黑体" w:cs="黑体"/>
          <w:color w:val="auto"/>
          <w:sz w:val="21"/>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中资格审查中</w:t>
      </w:r>
      <w:r>
        <w:rPr>
          <w:rFonts w:hint="eastAsia" w:ascii="宋体" w:hAnsi="宋体" w:eastAsia="宋体" w:cs="宋体"/>
          <w:b/>
          <w:bCs/>
          <w:color w:val="auto"/>
          <w:szCs w:val="21"/>
          <w:highlight w:val="none"/>
          <w:lang w:eastAsia="zh-CN"/>
        </w:rPr>
        <w:t>涉及的投标单位</w:t>
      </w:r>
      <w:r>
        <w:rPr>
          <w:rFonts w:hint="eastAsia" w:ascii="宋体" w:hAnsi="宋体" w:eastAsia="宋体" w:cs="宋体"/>
          <w:b/>
          <w:bCs/>
          <w:color w:val="auto"/>
          <w:szCs w:val="21"/>
          <w:highlight w:val="none"/>
        </w:rPr>
        <w:t>需要提供企业的相关证书，如企业的资格证书、营业执照（或三证合一的有效证件）等可以提供公证件，公证件的效力等同于原证件。</w:t>
      </w:r>
    </w:p>
    <w:p w14:paraId="2D96447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1.审查资料</w:t>
      </w:r>
      <w:bookmarkEnd w:id="14"/>
      <w:bookmarkEnd w:id="15"/>
      <w:bookmarkEnd w:id="16"/>
      <w:bookmarkEnd w:id="17"/>
      <w:bookmarkEnd w:id="18"/>
    </w:p>
    <w:p w14:paraId="02404BF8">
      <w:pPr>
        <w:adjustRightInd w:val="0"/>
        <w:snapToGrid w:val="0"/>
        <w:spacing w:line="560" w:lineRule="exact"/>
        <w:ind w:firstLine="420" w:firstLineChars="200"/>
        <w:rPr>
          <w:rFonts w:hint="eastAsia" w:ascii="宋体" w:hAnsi="宋体" w:cs="宋体"/>
          <w:color w:val="auto"/>
          <w:szCs w:val="21"/>
          <w:highlight w:val="none"/>
        </w:rPr>
      </w:pPr>
      <w:bookmarkStart w:id="19" w:name="_Toc324404867"/>
      <w:r>
        <w:rPr>
          <w:rFonts w:hint="eastAsia" w:ascii="宋体" w:hAnsi="宋体" w:cs="宋体"/>
          <w:color w:val="auto"/>
          <w:szCs w:val="21"/>
          <w:highlight w:val="none"/>
        </w:rPr>
        <w:t>（1）法定代表人身份证明和本人有效身份证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或法定代表人授权委托书和委托代理人有效身份证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4F0482E">
      <w:pP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（2）诚信投标承诺书</w:t>
      </w:r>
      <w:r>
        <w:rPr>
          <w:rFonts w:hint="eastAsia" w:ascii="宋体" w:hAnsi="宋体" w:cs="宋体"/>
          <w:color w:val="auto"/>
          <w:szCs w:val="21"/>
          <w:highlight w:val="none"/>
          <w:lang w:eastAsia="zh-CN"/>
        </w:rPr>
        <w:t>；</w:t>
      </w:r>
    </w:p>
    <w:p w14:paraId="68F65E8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企业法人营业执照；</w:t>
      </w:r>
    </w:p>
    <w:p w14:paraId="0647A91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）企业资质证书；</w:t>
      </w:r>
    </w:p>
    <w:p w14:paraId="2E05A29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）企业安全生产许可证；</w:t>
      </w:r>
    </w:p>
    <w:p w14:paraId="28B52C3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p>
    <w:p w14:paraId="3A326758">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和项目经理（建造师）须持有社保部门出具的本单位为其缴纳的</w:t>
      </w:r>
      <w:r>
        <w:rPr>
          <w:rFonts w:hint="eastAsia" w:ascii="宋体" w:hAnsi="宋体" w:cs="宋体"/>
          <w:color w:val="auto"/>
          <w:szCs w:val="21"/>
          <w:highlight w:val="none"/>
          <w:lang w:val="en-US" w:eastAsia="zh-CN"/>
        </w:rPr>
        <w:t>选取</w:t>
      </w:r>
      <w:r>
        <w:rPr>
          <w:rFonts w:hint="eastAsia" w:ascii="宋体" w:hAnsi="宋体" w:cs="宋体"/>
          <w:color w:val="auto"/>
          <w:szCs w:val="21"/>
          <w:highlight w:val="none"/>
        </w:rPr>
        <w:t>前近三个月连续的养老保险证明（证明文件两个月内有效）（同一人担任不同公司法定代表人的，该法定代表人参加本项目</w:t>
      </w:r>
      <w:r>
        <w:rPr>
          <w:rFonts w:hint="eastAsia" w:ascii="宋体" w:hAnsi="宋体" w:cs="宋体"/>
          <w:color w:val="auto"/>
          <w:szCs w:val="21"/>
          <w:highlight w:val="none"/>
          <w:lang w:val="en-US" w:eastAsia="zh-CN"/>
        </w:rPr>
        <w:t>选取</w:t>
      </w:r>
      <w:r>
        <w:rPr>
          <w:rFonts w:hint="eastAsia" w:ascii="宋体" w:hAnsi="宋体" w:cs="宋体"/>
          <w:color w:val="auto"/>
          <w:szCs w:val="21"/>
          <w:highlight w:val="none"/>
        </w:rPr>
        <w:t>时须提供本人在其他公司任法定代表人的营业执照及为其缴纳养老保险证明材料），</w:t>
      </w:r>
      <w:r>
        <w:rPr>
          <w:rFonts w:hint="eastAsia" w:ascii="宋体" w:hAnsi="宋体" w:cs="宋体"/>
          <w:color w:val="auto"/>
          <w:szCs w:val="21"/>
          <w:highlight w:val="none"/>
          <w:lang w:eastAsia="zh-CN"/>
        </w:rPr>
        <w:t>被选取人</w:t>
      </w:r>
      <w:r>
        <w:rPr>
          <w:rFonts w:hint="eastAsia" w:ascii="宋体" w:hAnsi="宋体" w:cs="宋体"/>
          <w:color w:val="auto"/>
          <w:szCs w:val="21"/>
          <w:highlight w:val="none"/>
        </w:rPr>
        <w:t>是事业单位的，暂未缴纳养老保险的，须由其主管部门出具证明；</w:t>
      </w:r>
    </w:p>
    <w:p w14:paraId="13B78F9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20" w:name="_Toc95223395"/>
      <w:bookmarkStart w:id="21" w:name="_Toc15058909"/>
      <w:bookmarkStart w:id="22" w:name="_Toc506107320"/>
      <w:bookmarkStart w:id="23" w:name="_Toc60061492"/>
      <w:r>
        <w:rPr>
          <w:rFonts w:hint="eastAsia" w:ascii="黑体" w:hAnsi="黑体" w:cs="黑体"/>
          <w:color w:val="auto"/>
          <w:sz w:val="21"/>
          <w:szCs w:val="21"/>
          <w:highlight w:val="none"/>
        </w:rPr>
        <w:t>2.审查办法</w:t>
      </w:r>
      <w:bookmarkEnd w:id="19"/>
      <w:bookmarkEnd w:id="20"/>
      <w:bookmarkEnd w:id="21"/>
      <w:bookmarkEnd w:id="22"/>
      <w:bookmarkEnd w:id="23"/>
    </w:p>
    <w:p w14:paraId="7115260F">
      <w:pPr>
        <w:adjustRightInd w:val="0"/>
        <w:snapToGrid w:val="0"/>
        <w:spacing w:line="560" w:lineRule="exact"/>
        <w:ind w:firstLine="420" w:firstLineChars="200"/>
        <w:rPr>
          <w:rFonts w:hint="eastAsia" w:ascii="宋体" w:hAnsi="宋体" w:cs="宋体"/>
          <w:color w:val="auto"/>
          <w:szCs w:val="21"/>
          <w:highlight w:val="none"/>
        </w:rPr>
      </w:pPr>
      <w:bookmarkStart w:id="24" w:name="_Toc506107321"/>
      <w:bookmarkStart w:id="25" w:name="_Toc324404868"/>
      <w:bookmarkStart w:id="26" w:name="_Toc15058910"/>
      <w:bookmarkStart w:id="27" w:name="_Toc60061493"/>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由资格审查委员会（评审委员会）按资格审查办法前附表中资格审查必要合格条件评审表要求对</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审查资料进行核验。</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有下列情形之一的，其资格审查为不合格：</w:t>
      </w:r>
    </w:p>
    <w:p w14:paraId="06BE63B8">
      <w:pPr>
        <w:adjustRightInd w:val="0"/>
        <w:snapToGrid w:val="0"/>
        <w:spacing w:line="560" w:lineRule="exact"/>
        <w:ind w:firstLine="420" w:firstLineChars="200"/>
        <w:rPr>
          <w:rFonts w:hint="eastAsia" w:ascii="宋体" w:hAnsi="宋体" w:cs="宋体"/>
          <w:color w:val="auto"/>
          <w:szCs w:val="21"/>
          <w:highlight w:val="none"/>
        </w:rPr>
      </w:pPr>
      <w:bookmarkStart w:id="28" w:name="_Toc95223396"/>
      <w:r>
        <w:rPr>
          <w:rFonts w:hint="eastAsia" w:ascii="宋体" w:hAnsi="宋体" w:cs="宋体"/>
          <w:color w:val="auto"/>
          <w:szCs w:val="21"/>
          <w:highlight w:val="none"/>
        </w:rPr>
        <w:t>（1）未递交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经审查不合格；</w:t>
      </w:r>
    </w:p>
    <w:p w14:paraId="566F8F6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没有提交联合体协议书；（本项目不采用）</w:t>
      </w:r>
    </w:p>
    <w:p w14:paraId="7ECB830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规定的其他情形。</w:t>
      </w:r>
    </w:p>
    <w:p w14:paraId="0D3292F0">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w:t>
      </w:r>
      <w:r>
        <w:rPr>
          <w:rFonts w:hint="eastAsia" w:ascii="黑体" w:hAnsi="黑体" w:cs="黑体"/>
          <w:color w:val="auto"/>
          <w:sz w:val="21"/>
          <w:szCs w:val="21"/>
          <w:highlight w:val="none"/>
          <w:lang w:eastAsia="zh-CN"/>
        </w:rPr>
        <w:t>评审委员会</w:t>
      </w:r>
      <w:r>
        <w:rPr>
          <w:rFonts w:hint="eastAsia" w:ascii="黑体" w:hAnsi="黑体" w:cs="黑体"/>
          <w:color w:val="auto"/>
          <w:sz w:val="21"/>
          <w:szCs w:val="21"/>
          <w:highlight w:val="none"/>
        </w:rPr>
        <w:t>和审查标准</w:t>
      </w:r>
      <w:bookmarkEnd w:id="24"/>
      <w:bookmarkEnd w:id="25"/>
      <w:bookmarkEnd w:id="26"/>
      <w:bookmarkEnd w:id="27"/>
      <w:bookmarkEnd w:id="28"/>
    </w:p>
    <w:p w14:paraId="71C1E855">
      <w:pPr>
        <w:adjustRightInd w:val="0"/>
        <w:snapToGrid w:val="0"/>
        <w:spacing w:line="560" w:lineRule="exact"/>
        <w:ind w:firstLine="420" w:firstLineChars="200"/>
        <w:rPr>
          <w:rFonts w:hint="eastAsia"/>
          <w:highlight w:val="none"/>
        </w:rPr>
      </w:pPr>
      <w:r>
        <w:rPr>
          <w:rFonts w:hint="eastAsia" w:ascii="宋体" w:hAnsi="宋体" w:eastAsia="宋体" w:cs="宋体"/>
          <w:color w:val="auto"/>
          <w:szCs w:val="21"/>
          <w:highlight w:val="none"/>
        </w:rPr>
        <w:t>资格审查由</w:t>
      </w:r>
      <w:r>
        <w:rPr>
          <w:rFonts w:hint="eastAsia" w:ascii="宋体" w:hAnsi="宋体" w:eastAsia="宋体" w:cs="宋体"/>
          <w:color w:val="auto"/>
          <w:szCs w:val="21"/>
          <w:highlight w:val="none"/>
          <w:lang w:eastAsia="zh-CN"/>
        </w:rPr>
        <w:t>招标单位</w:t>
      </w:r>
      <w:r>
        <w:rPr>
          <w:rFonts w:hint="eastAsia" w:ascii="宋体" w:hAnsi="宋体" w:eastAsia="宋体" w:cs="宋体"/>
          <w:color w:val="auto"/>
          <w:szCs w:val="21"/>
          <w:highlight w:val="none"/>
        </w:rPr>
        <w:t>依法组建的资格审查委员会（或评审委员会）负责。审查标准见资格审查办法前附表。</w:t>
      </w:r>
    </w:p>
    <w:p w14:paraId="4FEAD205">
      <w:pPr>
        <w:pStyle w:val="16"/>
        <w:ind w:left="0" w:leftChars="0" w:firstLine="0" w:firstLineChars="0"/>
        <w:jc w:val="center"/>
        <w:rPr>
          <w:rFonts w:hint="default"/>
          <w:highlight w:val="none"/>
          <w:lang w:val="en-US"/>
        </w:rPr>
      </w:pPr>
      <w:r>
        <w:rPr>
          <w:rFonts w:hint="eastAsia"/>
          <w:highlight w:val="none"/>
        </w:rPr>
        <w:br w:type="page"/>
      </w:r>
      <w:r>
        <w:rPr>
          <w:rFonts w:hint="eastAsia" w:ascii="宋体" w:hAnsi="宋体" w:eastAsia="宋体" w:cs="宋体"/>
          <w:b/>
          <w:kern w:val="2"/>
          <w:sz w:val="32"/>
          <w:szCs w:val="32"/>
          <w:highlight w:val="none"/>
          <w:lang w:val="en-US" w:eastAsia="zh-CN" w:bidi="ar-SA"/>
        </w:rPr>
        <w:t>第三章  评标办法</w:t>
      </w:r>
    </w:p>
    <w:p w14:paraId="64F8E4AC">
      <w:pPr>
        <w:keepNext/>
        <w:keepLines/>
        <w:pageBreakBefore w:val="0"/>
        <w:widowControl/>
        <w:numPr>
          <w:ilvl w:val="0"/>
          <w:numId w:val="0"/>
        </w:numPr>
        <w:kinsoku/>
        <w:overflowPunct/>
        <w:autoSpaceDE/>
        <w:bidi w:val="0"/>
        <w:snapToGrid/>
        <w:spacing w:line="500" w:lineRule="exact"/>
        <w:jc w:val="center"/>
        <w:outlineLvl w:val="2"/>
        <w:rPr>
          <w:rFonts w:hint="eastAsia" w:ascii="宋体" w:hAnsi="宋体"/>
          <w:b/>
          <w:bCs/>
          <w:color w:val="auto"/>
          <w:kern w:val="0"/>
          <w:sz w:val="21"/>
          <w:szCs w:val="21"/>
          <w:highlight w:val="none"/>
          <w:u w:val="none"/>
        </w:rPr>
      </w:pPr>
      <w:bookmarkStart w:id="29" w:name="_Toc13858"/>
      <w:bookmarkStart w:id="30" w:name="_Toc362983801"/>
      <w:bookmarkStart w:id="31" w:name="_Toc267320058"/>
      <w:bookmarkStart w:id="32" w:name="_Toc363135205"/>
      <w:bookmarkStart w:id="33" w:name="_Toc449028877"/>
      <w:bookmarkStart w:id="34" w:name="_Toc22387"/>
      <w:bookmarkStart w:id="35" w:name="_Toc14365"/>
      <w:r>
        <w:rPr>
          <w:rFonts w:hint="eastAsia" w:ascii="宋体" w:hAnsi="宋体"/>
          <w:b/>
          <w:bCs/>
          <w:color w:val="auto"/>
          <w:kern w:val="0"/>
          <w:sz w:val="21"/>
          <w:szCs w:val="21"/>
          <w:highlight w:val="none"/>
          <w:u w:val="none"/>
        </w:rPr>
        <w:t>一  总则</w:t>
      </w:r>
    </w:p>
    <w:p w14:paraId="0B3CC90D">
      <w:pPr>
        <w:pageBreakBefore w:val="0"/>
        <w:kinsoku/>
        <w:overflowPunct/>
        <w:autoSpaceDE/>
        <w:bidi w:val="0"/>
        <w:spacing w:line="500" w:lineRule="exact"/>
        <w:ind w:left="0" w:right="0" w:firstLine="316"/>
        <w:jc w:val="left"/>
        <w:rPr>
          <w:rFonts w:hint="default" w:ascii="宋体" w:hAnsi="宋体" w:eastAsia="宋体"/>
          <w:b/>
          <w:color w:val="auto"/>
          <w:sz w:val="21"/>
          <w:szCs w:val="21"/>
          <w:highlight w:val="none"/>
          <w:lang w:val="en-US"/>
        </w:rPr>
      </w:pPr>
      <w:r>
        <w:rPr>
          <w:rFonts w:hint="eastAsia" w:ascii="宋体" w:hAnsi="宋体" w:eastAsia="宋体"/>
          <w:b/>
          <w:color w:val="auto"/>
          <w:sz w:val="21"/>
          <w:szCs w:val="21"/>
          <w:highlight w:val="none"/>
        </w:rPr>
        <w:t xml:space="preserve">1. </w:t>
      </w:r>
      <w:r>
        <w:rPr>
          <w:rFonts w:hint="eastAsia" w:ascii="宋体" w:hAnsi="宋体"/>
          <w:b/>
          <w:color w:val="auto"/>
          <w:sz w:val="21"/>
          <w:szCs w:val="21"/>
          <w:highlight w:val="none"/>
        </w:rPr>
        <w:t>本次评标采用</w:t>
      </w:r>
      <w:r>
        <w:rPr>
          <w:rFonts w:hint="eastAsia" w:ascii="宋体" w:hAnsi="宋体"/>
          <w:b/>
          <w:color w:val="auto"/>
          <w:sz w:val="21"/>
          <w:szCs w:val="21"/>
          <w:highlight w:val="none"/>
          <w:lang w:val="en-US" w:eastAsia="zh-CN"/>
        </w:rPr>
        <w:t>经评审最低价法</w:t>
      </w:r>
    </w:p>
    <w:p w14:paraId="7854119A">
      <w:pPr>
        <w:pageBreakBefore w:val="0"/>
        <w:kinsoku/>
        <w:overflowPunct/>
        <w:autoSpaceDE/>
        <w:bidi w:val="0"/>
        <w:spacing w:line="500" w:lineRule="exact"/>
        <w:ind w:left="0" w:right="0" w:firstLine="422"/>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投标单位报价不得高于最高投标限价，否则，将按无效标处理。按照有效投标报价最低的原则，由低到高推荐有效投标报价最低的为第一中标候选人，次低的为第二中标候选人，依次类推，推荐3名中标候选人，并标明排序，但投标报价低于其成本的除外。有效报价最低的有效投标人有两名或两名以上相同时，由招标人或评标委员会主任抽签确定。</w:t>
      </w:r>
    </w:p>
    <w:p w14:paraId="75297259">
      <w:pPr>
        <w:pageBreakBefore w:val="0"/>
        <w:kinsoku/>
        <w:overflowPunct/>
        <w:autoSpaceDE/>
        <w:bidi w:val="0"/>
        <w:spacing w:line="500" w:lineRule="exact"/>
        <w:ind w:left="0" w:right="0" w:firstLine="422"/>
        <w:jc w:val="left"/>
        <w:rPr>
          <w:rFonts w:hint="eastAsia" w:ascii="宋体" w:hAnsi="宋体" w:eastAsia="宋体"/>
          <w:color w:val="auto"/>
          <w:sz w:val="21"/>
          <w:szCs w:val="21"/>
          <w:highlight w:val="none"/>
          <w:lang w:val="en-US" w:eastAsia="zh-CN"/>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rPr>
        <w:t>．评标程序</w:t>
      </w:r>
    </w:p>
    <w:p w14:paraId="045C8CAE">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w:t>
      </w:r>
      <w:r>
        <w:rPr>
          <w:rFonts w:hint="eastAsia" w:ascii="宋体" w:hAnsi="宋体"/>
          <w:color w:val="auto"/>
          <w:sz w:val="21"/>
          <w:szCs w:val="21"/>
          <w:highlight w:val="none"/>
        </w:rPr>
        <w:t>投标文件的初审</w:t>
      </w:r>
    </w:p>
    <w:p w14:paraId="5B8474F2">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2.1.1</w:t>
      </w:r>
      <w:r>
        <w:rPr>
          <w:rFonts w:hint="eastAsia" w:ascii="宋体" w:hAnsi="宋体"/>
          <w:color w:val="auto"/>
          <w:sz w:val="21"/>
          <w:szCs w:val="21"/>
          <w:highlight w:val="none"/>
        </w:rPr>
        <w:t xml:space="preserve">资格性检查。依据法律法规和招标文件的规定，对投标文件中的资格证明等进行审查，以确定投标人是否具备投标资格。 </w:t>
      </w:r>
    </w:p>
    <w:p w14:paraId="761940B1">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2.1.2</w:t>
      </w:r>
      <w:r>
        <w:rPr>
          <w:rFonts w:hint="eastAsia" w:ascii="宋体" w:hAnsi="宋体"/>
          <w:color w:val="auto"/>
          <w:sz w:val="21"/>
          <w:szCs w:val="21"/>
          <w:highlight w:val="none"/>
        </w:rPr>
        <w:t>符合性检查。依据招标文件的规定，从投标文件的有效性、完整性和对招标文件的响应程度进行审查，以确定投标人是否对招标文件的实质性要求作出响应。</w:t>
      </w:r>
    </w:p>
    <w:p w14:paraId="61190ED1">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w:t>
      </w:r>
      <w:r>
        <w:rPr>
          <w:rFonts w:hint="eastAsia" w:ascii="宋体" w:hAnsi="宋体"/>
          <w:color w:val="auto"/>
          <w:sz w:val="21"/>
          <w:szCs w:val="21"/>
          <w:highlight w:val="none"/>
        </w:rPr>
        <w:t>投标文件的澄清</w:t>
      </w:r>
    </w:p>
    <w:p w14:paraId="24D6D831">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2.2.1</w:t>
      </w:r>
      <w:r>
        <w:rPr>
          <w:rFonts w:hint="eastAsia" w:ascii="宋体" w:hAnsi="宋体"/>
          <w:color w:val="auto"/>
          <w:sz w:val="21"/>
          <w:szCs w:val="21"/>
          <w:highlight w:val="none"/>
        </w:rPr>
        <w:t>在评标过程中，评审小组认为需要，在</w:t>
      </w:r>
      <w:r>
        <w:rPr>
          <w:rFonts w:hint="eastAsia" w:ascii="宋体" w:hAnsi="宋体"/>
          <w:color w:val="auto"/>
          <w:sz w:val="21"/>
          <w:szCs w:val="21"/>
          <w:highlight w:val="none"/>
          <w:lang w:val="en-US" w:eastAsia="zh-CN"/>
        </w:rPr>
        <w:t>相关部门</w:t>
      </w:r>
      <w:r>
        <w:rPr>
          <w:rFonts w:hint="eastAsia" w:ascii="宋体" w:hAnsi="宋体"/>
          <w:color w:val="auto"/>
          <w:sz w:val="21"/>
          <w:szCs w:val="21"/>
          <w:highlight w:val="none"/>
        </w:rPr>
        <w:t xml:space="preserve">在场的情况下，可要求投标单位对投标文件中的有关问题进行澄清或提供补充说明及有关资料，投标单位应做出书面答复。书面答复中不得变更价格、服务期、自报质量标准等实质性内容。 </w:t>
      </w:r>
    </w:p>
    <w:p w14:paraId="43E3FD6E">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w:t>
      </w:r>
      <w:r>
        <w:rPr>
          <w:rFonts w:hint="eastAsia" w:ascii="宋体" w:hAnsi="宋体"/>
          <w:color w:val="auto"/>
          <w:sz w:val="21"/>
          <w:szCs w:val="21"/>
          <w:highlight w:val="none"/>
        </w:rPr>
        <w:t>比较与评价</w:t>
      </w:r>
    </w:p>
    <w:p w14:paraId="75E74AA4">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w:t>
      </w:r>
      <w:r>
        <w:rPr>
          <w:rFonts w:hint="eastAsia" w:ascii="宋体" w:hAnsi="宋体"/>
          <w:color w:val="auto"/>
          <w:sz w:val="21"/>
          <w:szCs w:val="21"/>
          <w:highlight w:val="none"/>
        </w:rPr>
        <w:t>．</w:t>
      </w:r>
      <w:r>
        <w:rPr>
          <w:rFonts w:hint="eastAsia" w:ascii="宋体" w:hAnsi="宋体" w:eastAsia="宋体"/>
          <w:color w:val="auto"/>
          <w:sz w:val="21"/>
          <w:szCs w:val="21"/>
          <w:highlight w:val="none"/>
        </w:rPr>
        <w:t>3.1</w:t>
      </w:r>
      <w:r>
        <w:rPr>
          <w:rFonts w:hint="eastAsia" w:ascii="宋体" w:hAnsi="宋体"/>
          <w:color w:val="auto"/>
          <w:sz w:val="21"/>
          <w:szCs w:val="21"/>
          <w:highlight w:val="none"/>
        </w:rPr>
        <w:t xml:space="preserve">按招标文件中规定的评标方法和标准，对资格性检查和符合性检查合格的投标文件进行商务报价评审，综合比较与评价。 </w:t>
      </w:r>
    </w:p>
    <w:p w14:paraId="311A76CE">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2.4</w:t>
      </w:r>
      <w:r>
        <w:rPr>
          <w:rFonts w:hint="eastAsia" w:ascii="宋体" w:hAnsi="宋体"/>
          <w:color w:val="auto"/>
          <w:sz w:val="21"/>
          <w:szCs w:val="21"/>
          <w:highlight w:val="none"/>
        </w:rPr>
        <w:t>推荐中标候选人名单</w:t>
      </w:r>
    </w:p>
    <w:p w14:paraId="6253839E">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2.4.1</w:t>
      </w:r>
      <w:r>
        <w:rPr>
          <w:rFonts w:hint="eastAsia" w:ascii="宋体" w:hAnsi="宋体"/>
          <w:color w:val="auto"/>
          <w:sz w:val="21"/>
          <w:szCs w:val="21"/>
          <w:highlight w:val="none"/>
        </w:rPr>
        <w:t>中标候选人数量应当根据采购需要确定，但必须按顺序排列中标候选人。</w:t>
      </w:r>
    </w:p>
    <w:p w14:paraId="6BA6FC9D">
      <w:pPr>
        <w:pageBreakBefore w:val="0"/>
        <w:kinsoku/>
        <w:overflowPunct/>
        <w:autoSpaceDE/>
        <w:bidi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2.5</w:t>
      </w:r>
      <w:r>
        <w:rPr>
          <w:rFonts w:hint="eastAsia" w:ascii="宋体" w:hAnsi="宋体"/>
          <w:color w:val="auto"/>
          <w:sz w:val="21"/>
          <w:szCs w:val="21"/>
          <w:highlight w:val="none"/>
        </w:rPr>
        <w:t>在投标文件的审查、澄清、评价和比较以及授予合同过程中，投标人对招标单位和评标委员会成员施加影响的任何行为，都将导致取消其中标资格。</w:t>
      </w:r>
    </w:p>
    <w:p w14:paraId="121BCF49">
      <w:pPr>
        <w:pageBreakBefore w:val="0"/>
        <w:numPr>
          <w:ilvl w:val="0"/>
          <w:numId w:val="0"/>
        </w:numPr>
        <w:kinsoku/>
        <w:overflowPunct/>
        <w:autoSpaceDE/>
        <w:bidi w:val="0"/>
        <w:spacing w:line="500" w:lineRule="exact"/>
        <w:jc w:val="center"/>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、投标文件的澄清和补正</w:t>
      </w:r>
    </w:p>
    <w:p w14:paraId="11EB24F1">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.1</w:t>
      </w:r>
      <w:r>
        <w:rPr>
          <w:rFonts w:hint="eastAsia" w:ascii="宋体" w:hAnsi="宋体"/>
          <w:color w:val="auto"/>
          <w:sz w:val="21"/>
          <w:szCs w:val="21"/>
          <w:highlight w:val="none"/>
        </w:rPr>
        <w:t>评审阶段，评委可能会要求有关投标人就其投标文件中含义不明确、同类问题表述不一致或者有明显文字和计算错误的内容进行澄清。投标人必须在规定时间内进行回复，如因投标人未参加开标导致开评标过程中无法澄清、说明或补正的，视同投标人放弃该权利。</w:t>
      </w:r>
    </w:p>
    <w:p w14:paraId="347AEC47">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.2</w:t>
      </w:r>
      <w:r>
        <w:rPr>
          <w:rFonts w:hint="eastAsia" w:ascii="宋体" w:hAnsi="宋体"/>
          <w:color w:val="auto"/>
          <w:sz w:val="21"/>
          <w:szCs w:val="21"/>
          <w:highlight w:val="none"/>
        </w:rPr>
        <w:t>投标人的澄清、说明或者补正应当在</w:t>
      </w:r>
      <w:r>
        <w:rPr>
          <w:rFonts w:hint="eastAsia" w:ascii="宋体" w:hAnsi="宋体"/>
          <w:color w:val="auto"/>
          <w:sz w:val="21"/>
          <w:szCs w:val="21"/>
          <w:highlight w:val="none"/>
          <w:lang w:val="en-US" w:eastAsia="zh-CN"/>
        </w:rPr>
        <w:t>现场或通过邮箱</w:t>
      </w:r>
      <w:r>
        <w:rPr>
          <w:rFonts w:hint="eastAsia" w:ascii="宋体" w:hAnsi="宋体"/>
          <w:color w:val="auto"/>
          <w:sz w:val="21"/>
          <w:szCs w:val="21"/>
          <w:highlight w:val="none"/>
        </w:rPr>
        <w:t>进行，但不得超出投标文件的范围或者改变投标文件的实质性内容。</w:t>
      </w:r>
    </w:p>
    <w:p w14:paraId="057D018F">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.3</w:t>
      </w:r>
      <w:r>
        <w:rPr>
          <w:rFonts w:hint="eastAsia" w:ascii="宋体" w:hAnsi="宋体"/>
          <w:color w:val="auto"/>
          <w:sz w:val="21"/>
          <w:szCs w:val="21"/>
          <w:highlight w:val="none"/>
        </w:rPr>
        <w:t>评委会修正错误的原则：</w:t>
      </w:r>
    </w:p>
    <w:p w14:paraId="76F70A3B">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.3.1</w:t>
      </w:r>
      <w:r>
        <w:rPr>
          <w:rFonts w:hint="eastAsia" w:ascii="宋体" w:hAnsi="宋体"/>
          <w:color w:val="auto"/>
          <w:sz w:val="21"/>
          <w:szCs w:val="21"/>
          <w:highlight w:val="none"/>
        </w:rPr>
        <w:t>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B4702F4">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.3.2</w:t>
      </w:r>
      <w:r>
        <w:rPr>
          <w:rFonts w:hint="eastAsia" w:ascii="宋体" w:hAnsi="宋体"/>
          <w:color w:val="auto"/>
          <w:sz w:val="21"/>
          <w:szCs w:val="21"/>
          <w:highlight w:val="none"/>
        </w:rPr>
        <w:t>如果单价与数量的乘积和总价不一致，以单价为准，修正总价及开标一览表；当单价小数点有明显的错位时，评委会将以总价为准，并修正其单价。</w:t>
      </w:r>
    </w:p>
    <w:p w14:paraId="19B634A7">
      <w:pPr>
        <w:pageBreakBefore w:val="0"/>
        <w:kinsoku/>
        <w:overflowPunct/>
        <w:autoSpaceDE/>
        <w:bidi w:val="0"/>
        <w:spacing w:line="500" w:lineRule="exact"/>
        <w:ind w:left="0" w:right="0" w:firstLine="403"/>
        <w:jc w:val="lef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.4</w:t>
      </w:r>
      <w:r>
        <w:rPr>
          <w:rFonts w:hint="eastAsia" w:ascii="宋体" w:hAnsi="宋体"/>
          <w:color w:val="auto"/>
          <w:sz w:val="21"/>
          <w:szCs w:val="21"/>
          <w:highlight w:val="none"/>
        </w:rPr>
        <w:t>评委会将按上述修正错误的方法调整投标文件中的投标报价，调整后的价格应对投标人具有约束力。无论投标人是接受或是拒绝调整后的价格，都应当由投标人确认。投标人拒绝对投标文件出现的错漏按上述原则进行修正、澄清、说明，评标委员会应当否决其投标。</w:t>
      </w:r>
    </w:p>
    <w:p w14:paraId="2AE9A8D9">
      <w:pPr>
        <w:pageBreakBefore w:val="0"/>
        <w:numPr>
          <w:ilvl w:val="0"/>
          <w:numId w:val="0"/>
        </w:numPr>
        <w:kinsoku/>
        <w:overflowPunct/>
        <w:autoSpaceDE/>
        <w:bidi w:val="0"/>
        <w:spacing w:line="500" w:lineRule="exact"/>
        <w:jc w:val="center"/>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、比较与评价</w:t>
      </w:r>
    </w:p>
    <w:p w14:paraId="0D2F972C">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color w:val="auto"/>
          <w:sz w:val="21"/>
          <w:szCs w:val="21"/>
          <w:highlight w:val="none"/>
        </w:rPr>
        <w:t>详细评审即按招标文件中规定的评标方法和标准，评标委员会将对通过初审的投标文件，进行综合比较与评价。</w:t>
      </w:r>
    </w:p>
    <w:p w14:paraId="623A977D">
      <w:pPr>
        <w:pageBreakBefore w:val="0"/>
        <w:kinsoku/>
        <w:overflowPunct/>
        <w:autoSpaceDE/>
        <w:bidi w:val="0"/>
        <w:spacing w:line="500" w:lineRule="exact"/>
        <w:ind w:left="0" w:right="0" w:firstLine="525"/>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评审</w:t>
      </w:r>
    </w:p>
    <w:p w14:paraId="068F06E7">
      <w:pPr>
        <w:pageBreakBefore w:val="0"/>
        <w:kinsoku/>
        <w:overflowPunct/>
        <w:autoSpaceDE/>
        <w:bidi w:val="0"/>
        <w:spacing w:line="500" w:lineRule="exact"/>
        <w:ind w:left="0" w:right="0" w:firstLine="525"/>
        <w:rPr>
          <w:rFonts w:hint="eastAsia" w:ascii="宋体" w:hAnsi="宋体"/>
          <w:color w:val="auto"/>
          <w:sz w:val="21"/>
          <w:szCs w:val="21"/>
          <w:highlight w:val="none"/>
          <w:lang w:val="en-US" w:eastAsia="zh-CN"/>
        </w:rPr>
      </w:pPr>
      <w:r>
        <w:rPr>
          <w:rFonts w:hint="eastAsia" w:ascii="宋体" w:hAnsi="宋体" w:eastAsia="宋体"/>
          <w:color w:val="auto"/>
          <w:sz w:val="21"/>
          <w:szCs w:val="21"/>
          <w:highlight w:val="none"/>
          <w:lang w:val="en-US" w:eastAsia="zh-CN"/>
        </w:rPr>
        <w:t>4.1.1评标委员会对满足招标文件实质性要求的投标文件，投标单位报价不得高于最高投标限价，否则，将按无效标处理。按照有效投标报价最低的原则，由低到高推荐有效投标报价最低的为第一中标候选人，次低的为第二中标候选人，依次类推，推荐3名中标候选人，并标明排序，但投标报价低于其成本的除外。有效报价最低的有效投标人有两名或两名以上相同时，由招标人或评标委员会主任抽签确定。</w:t>
      </w:r>
    </w:p>
    <w:p w14:paraId="06B1C6FC">
      <w:pPr>
        <w:pageBreakBefore w:val="0"/>
        <w:numPr>
          <w:ilvl w:val="0"/>
          <w:numId w:val="0"/>
        </w:numPr>
        <w:kinsoku/>
        <w:overflowPunct/>
        <w:autoSpaceDE/>
        <w:bidi w:val="0"/>
        <w:spacing w:line="500" w:lineRule="exact"/>
        <w:jc w:val="center"/>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、推荐中标候选人</w:t>
      </w:r>
    </w:p>
    <w:p w14:paraId="59429938">
      <w:pPr>
        <w:pageBreakBefore w:val="0"/>
        <w:kinsoku/>
        <w:overflowPunct/>
        <w:autoSpaceDE/>
        <w:bidi w:val="0"/>
        <w:spacing w:line="500" w:lineRule="exact"/>
        <w:ind w:right="36" w:firstLine="420" w:firstLineChars="20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r>
        <w:rPr>
          <w:rFonts w:hint="eastAsia" w:ascii="宋体" w:hAnsi="宋体"/>
          <w:color w:val="auto"/>
          <w:sz w:val="21"/>
          <w:szCs w:val="21"/>
          <w:highlight w:val="none"/>
        </w:rPr>
        <w:t>评标委员会推荐</w:t>
      </w: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lang w:val="en-US" w:eastAsia="zh-CN"/>
        </w:rPr>
        <w:t>名</w:t>
      </w:r>
      <w:r>
        <w:rPr>
          <w:rFonts w:hint="eastAsia" w:ascii="宋体" w:hAnsi="宋体"/>
          <w:color w:val="auto"/>
          <w:sz w:val="21"/>
          <w:szCs w:val="21"/>
          <w:highlight w:val="none"/>
        </w:rPr>
        <w:t xml:space="preserve">中标候选人，并标明排序。 </w:t>
      </w:r>
    </w:p>
    <w:p w14:paraId="33974F0B">
      <w:pPr>
        <w:pageBreakBefore w:val="0"/>
        <w:kinsoku/>
        <w:overflowPunct/>
        <w:autoSpaceDE/>
        <w:bidi w:val="0"/>
        <w:spacing w:line="500" w:lineRule="exact"/>
        <w:ind w:left="0" w:right="36" w:firstLine="42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r>
        <w:rPr>
          <w:rFonts w:hint="eastAsia" w:ascii="宋体" w:hAnsi="宋体"/>
          <w:color w:val="auto"/>
          <w:sz w:val="21"/>
          <w:szCs w:val="21"/>
          <w:highlight w:val="none"/>
        </w:rPr>
        <w:t>如出现</w:t>
      </w:r>
      <w:r>
        <w:rPr>
          <w:rFonts w:hint="eastAsia" w:ascii="宋体" w:hAnsi="宋体" w:eastAsia="宋体"/>
          <w:color w:val="auto"/>
          <w:sz w:val="21"/>
          <w:szCs w:val="21"/>
          <w:highlight w:val="none"/>
          <w:lang w:val="en-US" w:eastAsia="zh-CN"/>
        </w:rPr>
        <w:t>有效投标报价最低的有效投标人有两名或两名以上相同时，由招标人或评标委员会主任抽签确定。</w:t>
      </w:r>
    </w:p>
    <w:p w14:paraId="1E1D6419">
      <w:pPr>
        <w:pageBreakBefore w:val="0"/>
        <w:kinsoku/>
        <w:overflowPunct/>
        <w:autoSpaceDE/>
        <w:bidi w:val="0"/>
        <w:snapToGrid w:val="0"/>
        <w:spacing w:line="500" w:lineRule="exact"/>
        <w:ind w:left="0" w:right="0" w:firstLine="422"/>
        <w:jc w:val="left"/>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6</w:t>
      </w:r>
      <w:r>
        <w:rPr>
          <w:rFonts w:hint="eastAsia" w:ascii="宋体" w:hAnsi="宋体" w:eastAsia="宋体"/>
          <w:b/>
          <w:color w:val="auto"/>
          <w:sz w:val="21"/>
          <w:szCs w:val="21"/>
          <w:highlight w:val="none"/>
        </w:rPr>
        <w:t xml:space="preserve">. </w:t>
      </w:r>
      <w:r>
        <w:rPr>
          <w:rFonts w:hint="eastAsia" w:ascii="宋体" w:hAnsi="宋体"/>
          <w:b/>
          <w:color w:val="auto"/>
          <w:sz w:val="21"/>
          <w:szCs w:val="21"/>
          <w:highlight w:val="none"/>
        </w:rPr>
        <w:t>无效投标条款</w:t>
      </w:r>
    </w:p>
    <w:p w14:paraId="6E589043">
      <w:pPr>
        <w:pageBreakBefore w:val="0"/>
        <w:kinsoku/>
        <w:overflowPunct/>
        <w:autoSpaceDE/>
        <w:bidi w:val="0"/>
        <w:snapToGrid w:val="0"/>
        <w:spacing w:line="500" w:lineRule="exact"/>
        <w:ind w:left="0" w:right="0" w:firstLine="42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.1</w:t>
      </w:r>
      <w:r>
        <w:rPr>
          <w:rFonts w:hint="eastAsia" w:ascii="宋体" w:hAnsi="宋体"/>
          <w:color w:val="auto"/>
          <w:sz w:val="21"/>
          <w:szCs w:val="21"/>
          <w:highlight w:val="none"/>
        </w:rPr>
        <w:t>投标文件有下列情形之一的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其投标文件拒收</w:t>
      </w:r>
      <w:r>
        <w:rPr>
          <w:rFonts w:hint="eastAsia" w:ascii="宋体" w:hAnsi="宋体"/>
          <w:color w:val="auto"/>
          <w:sz w:val="21"/>
          <w:szCs w:val="21"/>
          <w:highlight w:val="none"/>
          <w:lang w:eastAsia="zh-CN"/>
        </w:rPr>
        <w:t>：</w:t>
      </w:r>
    </w:p>
    <w:p w14:paraId="5B8E296C">
      <w:pPr>
        <w:pageBreakBefore w:val="0"/>
        <w:widowControl w:val="0"/>
        <w:kinsoku/>
        <w:wordWrap/>
        <w:overflowPunct/>
        <w:topLinePunct w:val="0"/>
        <w:autoSpaceDE/>
        <w:autoSpaceDN/>
        <w:bidi w:val="0"/>
        <w:spacing w:line="520" w:lineRule="exact"/>
        <w:jc w:val="lef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 未在开标截止时间前递交有效投标文件的，投标将被拒绝。</w:t>
      </w:r>
    </w:p>
    <w:p w14:paraId="79AE87DA">
      <w:pPr>
        <w:pageBreakBefore w:val="0"/>
        <w:kinsoku/>
        <w:overflowPunct/>
        <w:autoSpaceDE/>
        <w:bidi w:val="0"/>
        <w:snapToGrid w:val="0"/>
        <w:spacing w:line="500" w:lineRule="exact"/>
        <w:ind w:left="0" w:right="0" w:firstLine="420"/>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.2</w:t>
      </w:r>
      <w:r>
        <w:rPr>
          <w:rFonts w:hint="eastAsia" w:ascii="宋体" w:hAnsi="宋体"/>
          <w:color w:val="auto"/>
          <w:sz w:val="21"/>
          <w:szCs w:val="21"/>
          <w:highlight w:val="none"/>
        </w:rPr>
        <w:t>投标人有下列情形之一的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资格审查后其投标作无效投标处理：</w:t>
      </w:r>
    </w:p>
    <w:p w14:paraId="07673AFC">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投标人为本项目提供招标代理服务的；</w:t>
      </w:r>
    </w:p>
    <w:p w14:paraId="54AC9326">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投标人与在本项目代理机构存在相互任职或工作的；</w:t>
      </w:r>
    </w:p>
    <w:p w14:paraId="1EE5B754">
      <w:pPr>
        <w:pageBreakBefore w:val="0"/>
        <w:kinsoku/>
        <w:overflowPunct/>
        <w:autoSpaceDE/>
        <w:bidi w:val="0"/>
        <w:snapToGrid w:val="0"/>
        <w:spacing w:line="500" w:lineRule="exact"/>
        <w:ind w:left="0" w:right="0" w:firstLine="42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 </w:t>
      </w:r>
      <w:r>
        <w:rPr>
          <w:rFonts w:hint="eastAsia" w:ascii="宋体" w:hAnsi="宋体"/>
          <w:color w:val="auto"/>
          <w:sz w:val="21"/>
          <w:szCs w:val="21"/>
          <w:highlight w:val="none"/>
        </w:rPr>
        <w:t>评标专家无法查看并检验投标文件中相关资料的；</w:t>
      </w:r>
    </w:p>
    <w:p w14:paraId="66C6C8E7">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被暂停营业的；</w:t>
      </w:r>
    </w:p>
    <w:p w14:paraId="17179155">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被暂停或取消投标资格的；</w:t>
      </w:r>
    </w:p>
    <w:p w14:paraId="77BE50CA">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6</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投标人单位负责人为同一人或者存在</w:t>
      </w:r>
      <w:r>
        <w:rPr>
          <w:rFonts w:hint="eastAsia" w:ascii="宋体" w:hAnsi="宋体"/>
          <w:color w:val="auto"/>
          <w:sz w:val="21"/>
          <w:szCs w:val="21"/>
          <w:highlight w:val="none"/>
          <w:lang w:val="en-US" w:eastAsia="zh-CN"/>
        </w:rPr>
        <w:t>直接</w:t>
      </w:r>
      <w:r>
        <w:rPr>
          <w:rFonts w:hint="eastAsia" w:ascii="宋体" w:hAnsi="宋体"/>
          <w:color w:val="auto"/>
          <w:sz w:val="21"/>
          <w:szCs w:val="21"/>
          <w:highlight w:val="none"/>
        </w:rPr>
        <w:t>控股、管理关系的不同单位的；</w:t>
      </w:r>
    </w:p>
    <w:p w14:paraId="324F3A6F">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7</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投标人基本资格条件和特定资格条件中有一项及以上不符合要求的；</w:t>
      </w:r>
    </w:p>
    <w:p w14:paraId="41883371">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8</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其它情形，经评标委员会委提出按无效投标处理的；</w:t>
      </w:r>
    </w:p>
    <w:p w14:paraId="3890EBB2">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r>
        <w:rPr>
          <w:rFonts w:hint="eastAsia" w:ascii="宋体" w:hAnsi="宋体" w:eastAsia="宋体"/>
          <w:color w:val="auto"/>
          <w:sz w:val="21"/>
          <w:szCs w:val="21"/>
          <w:highlight w:val="none"/>
          <w:lang w:val="en-US" w:eastAsia="zh-CN"/>
        </w:rPr>
        <w:t>9</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招标文件规定的其它无效投标情形。</w:t>
      </w:r>
    </w:p>
    <w:p w14:paraId="77BD3658">
      <w:pPr>
        <w:pageBreakBefore w:val="0"/>
        <w:kinsoku/>
        <w:overflowPunct/>
        <w:autoSpaceDE/>
        <w:bidi w:val="0"/>
        <w:snapToGrid w:val="0"/>
        <w:spacing w:line="500" w:lineRule="exact"/>
        <w:ind w:left="0" w:right="0" w:firstLine="0"/>
        <w:jc w:val="lef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.3 </w:t>
      </w:r>
      <w:r>
        <w:rPr>
          <w:rFonts w:hint="eastAsia" w:ascii="宋体" w:hAnsi="宋体"/>
          <w:color w:val="auto"/>
          <w:sz w:val="21"/>
          <w:szCs w:val="21"/>
          <w:highlight w:val="none"/>
        </w:rPr>
        <w:t>投标人有下列情形之一的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符合性审查后其投标按无效投标处理：</w:t>
      </w:r>
    </w:p>
    <w:p w14:paraId="72C1A8BC">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投标文件签字、盖章不全，经评标委员会一致认定对开评标内容有实质性影响的；</w:t>
      </w:r>
    </w:p>
    <w:p w14:paraId="0F6E2B52">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未按规定的格式填写导致实质性内容不全以及实质上不响应，或者关键字迹模糊、无法辨认；</w:t>
      </w:r>
    </w:p>
    <w:p w14:paraId="45D671AE">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同一投标人提交两个以上不同的投标文件或者投标报价，但招标文件规定提交备选方案的除外；</w:t>
      </w:r>
    </w:p>
    <w:p w14:paraId="1541729E">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投标文件没有对招标文件的实质性要求和条件作出响应</w:t>
      </w:r>
      <w:r>
        <w:rPr>
          <w:rFonts w:hint="eastAsia" w:ascii="宋体" w:hAnsi="宋体"/>
          <w:color w:val="auto"/>
          <w:sz w:val="21"/>
          <w:szCs w:val="21"/>
          <w:highlight w:val="none"/>
          <w:lang w:eastAsia="zh-CN"/>
        </w:rPr>
        <w:t>；</w:t>
      </w:r>
    </w:p>
    <w:p w14:paraId="36C4156F">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投标报价超出规定的投标限价的；</w:t>
      </w:r>
    </w:p>
    <w:p w14:paraId="3DC38E78">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不按评标委员会要求澄清、说明或补正的，或者评标委员会根据招标文件的规定对招标文件的计算错误进行修正后，投标人不接受修正的投标报价的。</w:t>
      </w:r>
    </w:p>
    <w:p w14:paraId="16DC7BA7">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其它情形，经评标委员会委提出按无效投标处理的；</w:t>
      </w:r>
    </w:p>
    <w:p w14:paraId="38BD35AD">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8</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投标文件含有</w:t>
      </w:r>
      <w:r>
        <w:rPr>
          <w:rFonts w:hint="eastAsia" w:ascii="宋体" w:hAnsi="宋体"/>
          <w:color w:val="auto"/>
          <w:sz w:val="21"/>
          <w:szCs w:val="21"/>
          <w:highlight w:val="none"/>
          <w:lang w:eastAsia="zh-CN"/>
        </w:rPr>
        <w:t>招标人</w:t>
      </w:r>
      <w:r>
        <w:rPr>
          <w:rFonts w:hint="eastAsia" w:ascii="宋体" w:hAnsi="宋体"/>
          <w:color w:val="auto"/>
          <w:sz w:val="21"/>
          <w:szCs w:val="21"/>
          <w:highlight w:val="none"/>
        </w:rPr>
        <w:t>不能接受的附加条件的；</w:t>
      </w:r>
    </w:p>
    <w:p w14:paraId="53E5E95B">
      <w:pPr>
        <w:pageBreakBefore w:val="0"/>
        <w:kinsoku/>
        <w:overflowPunct/>
        <w:autoSpaceDE/>
        <w:bidi w:val="0"/>
        <w:snapToGrid w:val="0"/>
        <w:spacing w:line="500" w:lineRule="exact"/>
        <w:ind w:left="0" w:right="0" w:firstLine="42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9</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招标文件规定的其它无效投标情形。</w:t>
      </w:r>
    </w:p>
    <w:bookmarkEnd w:id="29"/>
    <w:bookmarkEnd w:id="30"/>
    <w:bookmarkEnd w:id="31"/>
    <w:bookmarkEnd w:id="32"/>
    <w:bookmarkEnd w:id="33"/>
    <w:bookmarkEnd w:id="34"/>
    <w:bookmarkEnd w:id="35"/>
    <w:p w14:paraId="57C2D522">
      <w:pPr>
        <w:pageBreakBefore w:val="0"/>
        <w:kinsoku/>
        <w:overflowPunct/>
        <w:autoSpaceDE/>
        <w:bidi w:val="0"/>
        <w:snapToGrid w:val="0"/>
        <w:spacing w:line="500" w:lineRule="exact"/>
        <w:ind w:left="0" w:right="0" w:firstLine="4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val="en-US" w:eastAsia="zh-CN"/>
        </w:rPr>
        <w:t>第四章 合同条款</w:t>
      </w:r>
      <w:bookmarkEnd w:id="13"/>
    </w:p>
    <w:p w14:paraId="756785A7">
      <w:pPr>
        <w:adjustRightInd w:val="0"/>
        <w:snapToGrid w:val="0"/>
        <w:spacing w:line="560" w:lineRule="exact"/>
        <w:jc w:val="center"/>
        <w:rPr>
          <w:rFonts w:hint="eastAsia" w:eastAsia="仿宋_GB2312"/>
          <w:bCs/>
          <w:color w:val="auto"/>
          <w:sz w:val="32"/>
          <w:szCs w:val="32"/>
          <w:highlight w:val="none"/>
        </w:rPr>
      </w:pPr>
    </w:p>
    <w:p w14:paraId="4414C4C2">
      <w:pPr>
        <w:adjustRightInd w:val="0"/>
        <w:snapToGrid w:val="0"/>
        <w:spacing w:line="560" w:lineRule="exact"/>
        <w:jc w:val="center"/>
        <w:rPr>
          <w:rFonts w:hint="eastAsia" w:eastAsia="仿宋_GB2312"/>
          <w:bCs/>
          <w:color w:val="auto"/>
          <w:sz w:val="32"/>
          <w:szCs w:val="32"/>
          <w:highlight w:val="none"/>
        </w:rPr>
      </w:pPr>
    </w:p>
    <w:p w14:paraId="31A674CC">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02CB92E">
      <w:pPr>
        <w:adjustRightInd w:val="0"/>
        <w:snapToGrid w:val="0"/>
        <w:spacing w:line="560" w:lineRule="exact"/>
        <w:jc w:val="center"/>
        <w:rPr>
          <w:rFonts w:eastAsia="华文中宋"/>
          <w:b/>
          <w:color w:val="auto"/>
          <w:sz w:val="52"/>
          <w:szCs w:val="52"/>
          <w:highlight w:val="none"/>
        </w:rPr>
      </w:pPr>
    </w:p>
    <w:p w14:paraId="50A207FE">
      <w:pPr>
        <w:adjustRightInd w:val="0"/>
        <w:snapToGrid w:val="0"/>
        <w:jc w:val="center"/>
        <w:rPr>
          <w:rFonts w:hint="eastAsia" w:eastAsia="华文中宋"/>
          <w:b/>
          <w:color w:val="auto"/>
          <w:sz w:val="52"/>
          <w:szCs w:val="52"/>
          <w:highlight w:val="none"/>
          <w:lang w:eastAsia="zh-CN"/>
        </w:rPr>
      </w:pPr>
      <w:r>
        <w:rPr>
          <w:rFonts w:hint="eastAsia" w:ascii="宋体" w:hAnsi="宋体" w:cs="宋体"/>
          <w:b/>
          <w:color w:val="auto"/>
          <w:sz w:val="72"/>
          <w:szCs w:val="52"/>
          <w:highlight w:val="none"/>
        </w:rPr>
        <w:t xml:space="preserve"> 施工合同</w:t>
      </w:r>
      <w:bookmarkStart w:id="36" w:name="_Toc506107333"/>
      <w:bookmarkStart w:id="37" w:name="_Toc15058927"/>
      <w:bookmarkStart w:id="38" w:name="_Toc60061567"/>
    </w:p>
    <w:p w14:paraId="1CF5E989">
      <w:pPr>
        <w:adjustRightInd w:val="0"/>
        <w:snapToGrid w:val="0"/>
        <w:jc w:val="center"/>
        <w:rPr>
          <w:rFonts w:hint="eastAsia" w:eastAsia="华文中宋"/>
          <w:b/>
          <w:color w:val="auto"/>
          <w:sz w:val="52"/>
          <w:szCs w:val="52"/>
          <w:highlight w:val="none"/>
          <w:lang w:eastAsia="zh-CN"/>
        </w:rPr>
      </w:pPr>
    </w:p>
    <w:p w14:paraId="3E43E755">
      <w:pPr>
        <w:adjustRightInd w:val="0"/>
        <w:snapToGrid w:val="0"/>
        <w:spacing w:line="560" w:lineRule="exact"/>
        <w:jc w:val="center"/>
        <w:rPr>
          <w:rFonts w:eastAsia="华文中宋"/>
          <w:b/>
          <w:color w:val="auto"/>
          <w:sz w:val="52"/>
          <w:szCs w:val="52"/>
          <w:highlight w:val="none"/>
        </w:rPr>
      </w:pPr>
    </w:p>
    <w:p w14:paraId="32529E24">
      <w:pPr>
        <w:adjustRightInd w:val="0"/>
        <w:snapToGrid w:val="0"/>
        <w:spacing w:line="560" w:lineRule="exact"/>
        <w:jc w:val="center"/>
        <w:rPr>
          <w:rFonts w:eastAsia="黑体"/>
          <w:b/>
          <w:color w:val="auto"/>
          <w:sz w:val="72"/>
          <w:szCs w:val="72"/>
          <w:highlight w:val="none"/>
        </w:rPr>
      </w:pPr>
    </w:p>
    <w:p w14:paraId="647FC1DE">
      <w:pPr>
        <w:adjustRightInd w:val="0"/>
        <w:snapToGrid w:val="0"/>
        <w:spacing w:line="560" w:lineRule="exact"/>
        <w:jc w:val="center"/>
        <w:rPr>
          <w:rFonts w:hint="eastAsia" w:ascii="宋体" w:hAnsi="宋体" w:cs="宋体"/>
          <w:b/>
          <w:color w:val="auto"/>
          <w:sz w:val="54"/>
          <w:szCs w:val="72"/>
          <w:highlight w:val="none"/>
        </w:rPr>
      </w:pPr>
    </w:p>
    <w:p w14:paraId="2FBD7AA4">
      <w:pPr>
        <w:pStyle w:val="26"/>
        <w:rPr>
          <w:color w:val="auto"/>
          <w:highlight w:val="none"/>
        </w:rPr>
      </w:pPr>
    </w:p>
    <w:p w14:paraId="584BB2F8">
      <w:pPr>
        <w:adjustRightInd w:val="0"/>
        <w:snapToGrid w:val="0"/>
        <w:spacing w:line="560" w:lineRule="exact"/>
        <w:jc w:val="center"/>
        <w:rPr>
          <w:rFonts w:eastAsia="黑体"/>
          <w:b/>
          <w:color w:val="auto"/>
          <w:sz w:val="52"/>
          <w:szCs w:val="52"/>
          <w:highlight w:val="none"/>
        </w:rPr>
      </w:pPr>
    </w:p>
    <w:p w14:paraId="0C002021">
      <w:pPr>
        <w:adjustRightInd w:val="0"/>
        <w:snapToGrid w:val="0"/>
        <w:spacing w:line="560" w:lineRule="exact"/>
        <w:rPr>
          <w:b/>
          <w:color w:val="auto"/>
          <w:sz w:val="28"/>
          <w:szCs w:val="28"/>
          <w:highlight w:val="none"/>
        </w:rPr>
      </w:pPr>
    </w:p>
    <w:p w14:paraId="68BA3674">
      <w:pPr>
        <w:adjustRightInd w:val="0"/>
        <w:snapToGrid w:val="0"/>
        <w:spacing w:line="560" w:lineRule="exact"/>
        <w:rPr>
          <w:b/>
          <w:color w:val="auto"/>
          <w:sz w:val="28"/>
          <w:szCs w:val="28"/>
          <w:highlight w:val="none"/>
        </w:rPr>
      </w:pPr>
    </w:p>
    <w:p w14:paraId="151DB7F4">
      <w:pPr>
        <w:adjustRightInd w:val="0"/>
        <w:snapToGrid w:val="0"/>
        <w:spacing w:line="560" w:lineRule="exact"/>
        <w:rPr>
          <w:b/>
          <w:color w:val="auto"/>
          <w:sz w:val="28"/>
          <w:szCs w:val="28"/>
          <w:highlight w:val="none"/>
        </w:rPr>
      </w:pPr>
    </w:p>
    <w:p w14:paraId="336C8332">
      <w:pPr>
        <w:adjustRightInd w:val="0"/>
        <w:snapToGrid w:val="0"/>
        <w:spacing w:line="560" w:lineRule="exact"/>
        <w:rPr>
          <w:b/>
          <w:color w:val="auto"/>
          <w:sz w:val="28"/>
          <w:szCs w:val="28"/>
          <w:highlight w:val="none"/>
        </w:rPr>
      </w:pPr>
    </w:p>
    <w:p w14:paraId="6EC9C46A">
      <w:pPr>
        <w:adjustRightInd w:val="0"/>
        <w:snapToGrid w:val="0"/>
        <w:spacing w:line="560" w:lineRule="exact"/>
        <w:jc w:val="center"/>
        <w:rPr>
          <w:b/>
          <w:color w:val="auto"/>
          <w:sz w:val="28"/>
          <w:szCs w:val="28"/>
          <w:highlight w:val="none"/>
        </w:rPr>
      </w:pPr>
    </w:p>
    <w:p w14:paraId="32080AEC">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803F312">
                            <w:pPr>
                              <w:rPr>
                                <w:rFonts w:hint="eastAsia" w:eastAsia="宋体"/>
                                <w:color w:val="auto"/>
                                <w:sz w:val="36"/>
                                <w:szCs w:val="36"/>
                                <w:lang w:val="en-US" w:eastAsia="zh-CN"/>
                              </w:rPr>
                            </w:pPr>
                            <w:r>
                              <w:rPr>
                                <w:rFonts w:hint="eastAsia"/>
                                <w:color w:val="auto"/>
                                <w:sz w:val="36"/>
                                <w:szCs w:val="36"/>
                                <w:lang w:val="en-US" w:eastAsia="zh-CN"/>
                              </w:rPr>
                              <w:t>制定</w:t>
                            </w:r>
                          </w:p>
                        </w:txbxContent>
                      </wps:txbx>
                      <wps:bodyPr wrap="square" upright="1"/>
                    </wps:wsp>
                  </a:graphicData>
                </a:graphic>
              </wp:anchor>
            </w:drawing>
          </mc:Choice>
          <mc:Fallback>
            <w:pict>
              <v:shape id="文本框 5"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CIw2uwNAgAAGgQAAA4AAABkcnMvZTJvRG9jLnhtbK1T&#10;S5LTMBDdU8UdVNoTewJhGFecqYIQNhRQNXCAjizbqtIPtRI7F4AbsGLDnnPlHLTkkIFhkwVe2G31&#10;0+t+T63l7Wg028uAytmaX81KzqQVrlG2q/mnj5snLzjDCLYB7ays+UEiv109frQcfCXnrne6kYER&#10;icVq8DXvY/RVUaDopQGcOS8tJVsXDET6DV3RBBiI3ehiXpbPi8GFxgcnJCKtrqckPzGGSwhd2yoh&#10;107sjLRxYg1SQyRJ2CuPfJW7bVsp4vu2RRmZrjkpjflNRSjepnexWkLVBfC9EqcW4JIWHmgyoCwV&#10;PVOtIQLbBfUPlVEiOHRtnAlniklIdoRUXJUPvLnrwcushaxGfzYd/x+teLf/EJhqaBI4s2DowI/f&#10;vh6//zz++MIWyZ7BY0WoO0+4OL50Y4Ke1pEWk+qxDSZ9SQ+jPJl7OJsrx8gELV7Pn96UlBGUera4&#10;plFILMX9Zh8wvpHOsBTUPNDZZUth/xbjBP0NSbWs2yitaR0qbdlQ85vFfEH0QDPZ0ixQaDzpQttl&#10;GnRaNWlL2oGh277Sge2B5mKTn1M3f8FSvTVgP+FyKsGgMirKkKNeQvPaNiwePHln6crw1IyRDWda&#10;0g1LUUZGUPoSJFmiLTmTjJ8MTlEctyPRpHDrmgMdxkBTS/I+7yBQzZ0PquvJt3w4eTONTDb4NN5p&#10;Jv/8zyXur/T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tzKmrZAAAACgEAAA8AAAAAAAAAAQAg&#10;AAAAIgAAAGRycy9kb3ducmV2LnhtbFBLAQIUABQAAAAIAIdO4kAiMNrsDQIAABoEAAAOAAAAAAAA&#10;AAEAIAAAACgBAABkcnMvZTJvRG9jLnhtbFBLBQYAAAAABgAGAFkBAACnBQAAAAA=&#10;">
                <v:fill on="f" focussize="0,0"/>
                <v:stroke color="#FFFFFF" joinstyle="miter"/>
                <v:imagedata o:title=""/>
                <o:lock v:ext="edit" aspectratio="f"/>
                <v:textbox>
                  <w:txbxContent>
                    <w:p w14:paraId="3803F312">
                      <w:pPr>
                        <w:rPr>
                          <w:rFonts w:hint="eastAsia" w:eastAsia="宋体"/>
                          <w:color w:val="auto"/>
                          <w:sz w:val="36"/>
                          <w:szCs w:val="36"/>
                          <w:lang w:val="en-US" w:eastAsia="zh-CN"/>
                        </w:rPr>
                      </w:pPr>
                      <w:r>
                        <w:rPr>
                          <w:rFonts w:hint="eastAsia"/>
                          <w:color w:val="auto"/>
                          <w:sz w:val="36"/>
                          <w:szCs w:val="36"/>
                          <w:lang w:val="en-US" w:eastAsia="zh-CN"/>
                        </w:rPr>
                        <w:t>制定</w:t>
                      </w:r>
                    </w:p>
                  </w:txbxContent>
                </v:textbox>
              </v:shape>
            </w:pict>
          </mc:Fallback>
        </mc:AlternateContent>
      </w:r>
      <w:bookmarkEnd w:id="36"/>
      <w:bookmarkEnd w:id="37"/>
      <w:bookmarkEnd w:id="38"/>
      <w:r>
        <w:rPr>
          <w:rFonts w:hint="eastAsia"/>
          <w:b/>
          <w:color w:val="auto"/>
          <w:sz w:val="32"/>
          <w:szCs w:val="28"/>
          <w:highlight w:val="none"/>
        </w:rPr>
        <w:t>住房和城乡建设部</w:t>
      </w:r>
    </w:p>
    <w:p w14:paraId="6DF6C1C0">
      <w:pPr>
        <w:adjustRightInd w:val="0"/>
        <w:snapToGrid w:val="0"/>
        <w:spacing w:line="560" w:lineRule="exact"/>
        <w:jc w:val="center"/>
        <w:rPr>
          <w:rFonts w:hint="eastAsia" w:eastAsia="宋体"/>
          <w:b/>
          <w:color w:val="auto"/>
          <w:sz w:val="32"/>
          <w:szCs w:val="28"/>
          <w:highlight w:val="none"/>
          <w:lang w:val="en-US" w:eastAsia="zh-CN"/>
        </w:rPr>
      </w:pPr>
      <w:r>
        <w:rPr>
          <w:rFonts w:hint="eastAsia"/>
          <w:b/>
          <w:color w:val="auto"/>
          <w:sz w:val="32"/>
          <w:szCs w:val="28"/>
          <w:highlight w:val="none"/>
        </w:rPr>
        <w:t>国家工商行政管理总局</w:t>
      </w:r>
      <w:r>
        <w:rPr>
          <w:rFonts w:hint="eastAsia"/>
          <w:b/>
          <w:color w:val="auto"/>
          <w:sz w:val="32"/>
          <w:szCs w:val="28"/>
          <w:highlight w:val="none"/>
          <w:lang w:val="en-US" w:eastAsia="zh-CN"/>
        </w:rPr>
        <w:t xml:space="preserve"> </w:t>
      </w:r>
    </w:p>
    <w:p w14:paraId="5586AFFE">
      <w:pPr>
        <w:adjustRightInd w:val="0"/>
        <w:snapToGrid w:val="0"/>
        <w:spacing w:line="560" w:lineRule="exact"/>
        <w:rPr>
          <w:rFonts w:hint="eastAsia" w:ascii="仿宋_GB2312" w:eastAsia="仿宋_GB2312"/>
          <w:color w:val="auto"/>
          <w:szCs w:val="21"/>
          <w:highlight w:val="none"/>
          <w:u w:val="single"/>
        </w:rPr>
      </w:pPr>
    </w:p>
    <w:p w14:paraId="35CC20E8">
      <w:pPr>
        <w:pStyle w:val="26"/>
        <w:rPr>
          <w:rFonts w:hint="eastAsia" w:ascii="仿宋_GB2312" w:eastAsia="仿宋_GB2312"/>
          <w:color w:val="auto"/>
          <w:szCs w:val="21"/>
          <w:highlight w:val="none"/>
          <w:u w:val="single"/>
        </w:rPr>
      </w:pPr>
    </w:p>
    <w:p w14:paraId="11FC1527">
      <w:pPr>
        <w:rPr>
          <w:rFonts w:hint="eastAsia" w:ascii="仿宋_GB2312" w:eastAsia="仿宋_GB2312"/>
          <w:color w:val="auto"/>
          <w:szCs w:val="21"/>
          <w:highlight w:val="none"/>
          <w:u w:val="single"/>
        </w:rPr>
      </w:pPr>
    </w:p>
    <w:p w14:paraId="1DB0B85B">
      <w:pPr>
        <w:pStyle w:val="26"/>
        <w:rPr>
          <w:rFonts w:hint="eastAsia" w:ascii="仿宋_GB2312" w:eastAsia="仿宋_GB2312"/>
          <w:color w:val="auto"/>
          <w:szCs w:val="21"/>
          <w:highlight w:val="none"/>
          <w:u w:val="single"/>
        </w:rPr>
      </w:pPr>
    </w:p>
    <w:p w14:paraId="3669E861">
      <w:pPr>
        <w:rPr>
          <w:rFonts w:hint="eastAsia"/>
          <w:color w:val="auto"/>
          <w:highlight w:val="none"/>
        </w:rPr>
      </w:pPr>
    </w:p>
    <w:p w14:paraId="4E1DD732">
      <w:pPr>
        <w:keepNext/>
        <w:keepLines/>
        <w:spacing w:line="360" w:lineRule="auto"/>
        <w:jc w:val="center"/>
        <w:outlineLvl w:val="1"/>
        <w:rPr>
          <w:rFonts w:hint="eastAsia" w:ascii="宋体" w:hAnsi="宋体" w:cs="宋体"/>
          <w:b/>
          <w:bCs/>
          <w:color w:val="auto"/>
          <w:sz w:val="32"/>
          <w:szCs w:val="32"/>
          <w:highlight w:val="none"/>
        </w:rPr>
      </w:pPr>
      <w:bookmarkStart w:id="39" w:name="_Toc28799376"/>
      <w:bookmarkStart w:id="40" w:name="_Toc3977"/>
      <w:bookmarkStart w:id="41" w:name="_Toc95223459"/>
      <w:r>
        <w:rPr>
          <w:rFonts w:hint="eastAsia" w:ascii="宋体" w:hAnsi="宋体" w:cs="宋体"/>
          <w:b/>
          <w:bCs/>
          <w:color w:val="auto"/>
          <w:sz w:val="32"/>
          <w:szCs w:val="32"/>
          <w:highlight w:val="none"/>
        </w:rPr>
        <w:t>第一节  合同协议书</w:t>
      </w:r>
      <w:bookmarkEnd w:id="39"/>
      <w:bookmarkEnd w:id="40"/>
      <w:bookmarkEnd w:id="41"/>
    </w:p>
    <w:p w14:paraId="12C47533">
      <w:pPr>
        <w:spacing w:line="500" w:lineRule="exac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none"/>
        </w:rPr>
        <w:t>发包人（全称）：</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lang w:eastAsia="zh-CN"/>
        </w:rPr>
        <w:t xml:space="preserve"> </w:t>
      </w:r>
      <w:r>
        <w:rPr>
          <w:rFonts w:hint="eastAsia" w:ascii="宋体" w:hAnsi="宋体" w:eastAsia="宋体" w:cs="宋体"/>
          <w:b/>
          <w:color w:val="auto"/>
          <w:sz w:val="24"/>
          <w:highlight w:val="none"/>
          <w:u w:val="single"/>
        </w:rPr>
        <w:t></w:t>
      </w:r>
    </w:p>
    <w:p w14:paraId="6EF79AB8">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b/>
          <w:color w:val="auto"/>
          <w:sz w:val="24"/>
          <w:highlight w:val="none"/>
          <w:u w:val="none"/>
        </w:rPr>
        <w:t>承包人（全称）：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p>
    <w:p w14:paraId="11093838">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工程施工及有关事项协商一致，共同达成如下协议：</w:t>
      </w:r>
      <w:bookmarkStart w:id="42" w:name="_Toc351203481"/>
    </w:p>
    <w:p w14:paraId="7AB965EC">
      <w:pPr>
        <w:spacing w:line="500" w:lineRule="exact"/>
        <w:ind w:firstLine="422" w:firstLineChars="200"/>
        <w:rPr>
          <w:rFonts w:hint="eastAsia" w:ascii="宋体" w:hAnsi="宋体" w:eastAsia="宋体" w:cs="宋体"/>
          <w:color w:val="auto"/>
          <w:szCs w:val="21"/>
          <w:highlight w:val="none"/>
          <w:u w:val="none"/>
        </w:rPr>
      </w:pPr>
      <w:r>
        <w:rPr>
          <w:rFonts w:hint="eastAsia" w:ascii="宋体" w:hAnsi="宋体" w:eastAsia="宋体" w:cs="宋体"/>
          <w:b/>
          <w:color w:val="auto"/>
          <w:szCs w:val="21"/>
          <w:highlight w:val="none"/>
          <w:u w:val="none"/>
        </w:rPr>
        <w:t>一、工程概况</w:t>
      </w:r>
      <w:bookmarkEnd w:id="42"/>
    </w:p>
    <w:p w14:paraId="247FC8AF">
      <w:pPr>
        <w:spacing w:line="500" w:lineRule="exact"/>
        <w:ind w:firstLine="411" w:firstLineChars="196"/>
        <w:rPr>
          <w:rFonts w:hint="eastAsia" w:ascii="宋体" w:hAnsi="宋体" w:eastAsia="宋体" w:cs="宋体"/>
          <w:color w:val="auto"/>
          <w:szCs w:val="21"/>
          <w:highlight w:val="none"/>
          <w:u w:val="none"/>
        </w:rPr>
      </w:pPr>
      <w:r>
        <w:rPr>
          <w:rFonts w:hint="eastAsia" w:ascii="宋体" w:hAnsi="宋体" w:eastAsia="宋体" w:cs="宋体"/>
          <w:bCs/>
          <w:color w:val="auto"/>
          <w:szCs w:val="21"/>
          <w:highlight w:val="none"/>
          <w:u w:val="none"/>
        </w:rPr>
        <w:t>1. 工程名称</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25D6BC5C">
      <w:pPr>
        <w:spacing w:line="500" w:lineRule="exact"/>
        <w:ind w:firstLine="411" w:firstLineChars="196"/>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2. 工程地点：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0CCED988">
      <w:pPr>
        <w:spacing w:line="500" w:lineRule="exact"/>
        <w:ind w:firstLine="411" w:firstLineChars="196"/>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3. 工程立项批准文号：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 w:val="21"/>
          <w:szCs w:val="21"/>
          <w:highlight w:val="none"/>
          <w:u w:val="single"/>
          <w:shd w:val="clear" w:color="auto" w:fill="auto"/>
          <w:lang w:val="en-US" w:eastAsia="zh-CN"/>
        </w:rPr>
        <w:t xml:space="preserve">                              </w:t>
      </w:r>
      <w:r>
        <w:rPr>
          <w:rFonts w:hint="eastAsia" w:ascii="宋体" w:hAnsi="宋体" w:eastAsia="宋体" w:cs="宋体"/>
          <w:bCs/>
          <w:color w:val="auto"/>
          <w:szCs w:val="21"/>
          <w:highlight w:val="none"/>
          <w:u w:val="single"/>
        </w:rPr>
        <w:t>。</w:t>
      </w:r>
    </w:p>
    <w:p w14:paraId="31257B4E">
      <w:pPr>
        <w:spacing w:line="500" w:lineRule="exact"/>
        <w:ind w:firstLine="411" w:firstLineChars="196"/>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4. 资金来源：</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w:t>
      </w:r>
    </w:p>
    <w:p w14:paraId="4A14F590">
      <w:pPr>
        <w:spacing w:line="500" w:lineRule="exact"/>
        <w:ind w:firstLine="411" w:firstLineChars="196"/>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5. 工程内容：</w:t>
      </w:r>
      <w:r>
        <w:rPr>
          <w:rFonts w:hint="eastAsia" w:ascii="宋体" w:hAnsi="宋体" w:eastAsia="宋体" w:cs="宋体"/>
          <w:bCs/>
          <w:color w:val="auto"/>
          <w:sz w:val="21"/>
          <w:szCs w:val="21"/>
          <w:highlight w:val="none"/>
          <w:u w:val="single"/>
          <w:shd w:val="clear" w:color="auto" w:fill="auto"/>
          <w:lang w:val="en-US" w:eastAsia="zh-CN"/>
        </w:rPr>
        <w:t xml:space="preserve">                                       </w:t>
      </w:r>
      <w:r>
        <w:rPr>
          <w:rFonts w:hint="eastAsia" w:ascii="宋体" w:hAnsi="宋体" w:eastAsia="宋体" w:cs="宋体"/>
          <w:bCs/>
          <w:color w:val="auto"/>
          <w:szCs w:val="21"/>
          <w:highlight w:val="none"/>
          <w:u w:val="single"/>
        </w:rPr>
        <w:t>。</w:t>
      </w:r>
    </w:p>
    <w:p w14:paraId="3290F66E">
      <w:pPr>
        <w:spacing w:line="500" w:lineRule="exact"/>
        <w:ind w:firstLine="411" w:firstLineChars="196"/>
        <w:rPr>
          <w:rFonts w:hint="eastAsia" w:ascii="宋体" w:hAnsi="宋体" w:eastAsia="宋体" w:cs="宋体"/>
          <w:color w:val="auto"/>
          <w:szCs w:val="21"/>
          <w:highlight w:val="none"/>
          <w:u w:val="none"/>
        </w:rPr>
      </w:pPr>
      <w:r>
        <w:rPr>
          <w:rFonts w:hint="eastAsia" w:ascii="宋体" w:hAnsi="宋体" w:eastAsia="宋体" w:cs="宋体"/>
          <w:bCs/>
          <w:color w:val="auto"/>
          <w:szCs w:val="21"/>
          <w:highlight w:val="none"/>
          <w:u w:val="none"/>
        </w:rPr>
        <w:t>6. 工程承包范围：</w:t>
      </w:r>
      <w:r>
        <w:rPr>
          <w:rFonts w:hint="eastAsia" w:ascii="宋体" w:hAnsi="宋体" w:eastAsia="宋体" w:cs="宋体"/>
          <w:bCs/>
          <w:color w:val="auto"/>
          <w:sz w:val="21"/>
          <w:szCs w:val="21"/>
          <w:highlight w:val="none"/>
          <w:u w:val="single"/>
          <w:shd w:val="clear" w:color="auto" w:fill="auto"/>
          <w:lang w:val="en-US" w:eastAsia="zh-CN"/>
        </w:rPr>
        <w:t xml:space="preserve">                                   </w:t>
      </w:r>
      <w:r>
        <w:rPr>
          <w:rFonts w:hint="eastAsia" w:ascii="宋体" w:hAnsi="宋体" w:eastAsia="宋体" w:cs="宋体"/>
          <w:color w:val="auto"/>
          <w:szCs w:val="21"/>
          <w:highlight w:val="none"/>
          <w:u w:val="single"/>
        </w:rPr>
        <w:t>。</w:t>
      </w:r>
    </w:p>
    <w:p w14:paraId="1B803C8F">
      <w:pPr>
        <w:spacing w:line="500" w:lineRule="exact"/>
        <w:ind w:firstLine="422" w:firstLineChars="200"/>
        <w:rPr>
          <w:rFonts w:hint="eastAsia" w:ascii="宋体" w:hAnsi="宋体" w:eastAsia="宋体" w:cs="宋体"/>
          <w:b/>
          <w:color w:val="auto"/>
          <w:szCs w:val="21"/>
          <w:highlight w:val="none"/>
          <w:u w:val="none"/>
        </w:rPr>
      </w:pPr>
      <w:bookmarkStart w:id="43" w:name="_Toc351203482"/>
      <w:r>
        <w:rPr>
          <w:rFonts w:hint="eastAsia" w:ascii="宋体" w:hAnsi="宋体" w:eastAsia="宋体" w:cs="宋体"/>
          <w:b/>
          <w:color w:val="auto"/>
          <w:szCs w:val="21"/>
          <w:highlight w:val="none"/>
          <w:u w:val="none"/>
        </w:rPr>
        <w:t>二、合同工期</w:t>
      </w:r>
      <w:bookmarkEnd w:id="43"/>
    </w:p>
    <w:p w14:paraId="57729C77">
      <w:pPr>
        <w:spacing w:line="500" w:lineRule="exact"/>
        <w:ind w:firstLine="45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计划开工日期：</w:t>
      </w:r>
      <w:r>
        <w:rPr>
          <w:rFonts w:hint="eastAsia" w:ascii="宋体" w:hAnsi="宋体" w:eastAsia="宋体" w:cs="宋体"/>
          <w:color w:val="auto"/>
          <w:szCs w:val="21"/>
          <w:highlight w:val="none"/>
          <w:u w:val="single"/>
        </w:rPr>
        <w:t xml:space="preserve">          年      月      日。</w:t>
      </w:r>
    </w:p>
    <w:p w14:paraId="39E57EAC">
      <w:pPr>
        <w:spacing w:line="500" w:lineRule="exact"/>
        <w:ind w:firstLine="45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计划竣工日期：</w:t>
      </w:r>
      <w:r>
        <w:rPr>
          <w:rFonts w:hint="eastAsia" w:ascii="宋体" w:hAnsi="宋体" w:eastAsia="宋体" w:cs="宋体"/>
          <w:color w:val="auto"/>
          <w:szCs w:val="21"/>
          <w:highlight w:val="none"/>
          <w:u w:val="single"/>
        </w:rPr>
        <w:t xml:space="preserve">          年      月      日。</w:t>
      </w:r>
    </w:p>
    <w:p w14:paraId="3B8F79EC">
      <w:pPr>
        <w:spacing w:line="500" w:lineRule="exact"/>
        <w:ind w:firstLine="45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工期总日历天数：</w:t>
      </w:r>
      <w:r>
        <w:rPr>
          <w:rFonts w:hint="eastAsia" w:ascii="宋体" w:hAnsi="宋体" w:eastAsia="宋体" w:cs="宋体"/>
          <w:color w:val="auto"/>
          <w:szCs w:val="21"/>
          <w:highlight w:val="none"/>
          <w:u w:val="single"/>
        </w:rPr>
        <w:t xml:space="preserve">       天。</w:t>
      </w:r>
      <w:r>
        <w:rPr>
          <w:rFonts w:hint="eastAsia" w:ascii="宋体" w:hAnsi="宋体" w:eastAsia="宋体" w:cs="宋体"/>
          <w:color w:val="auto"/>
          <w:szCs w:val="21"/>
          <w:highlight w:val="none"/>
          <w:u w:val="none"/>
        </w:rPr>
        <w:t>工期总日历天数与根据前述计划开竣工日期计算的工期天数不一致的，以工期总日历天数为准。</w:t>
      </w:r>
    </w:p>
    <w:p w14:paraId="7DF148DC">
      <w:pPr>
        <w:spacing w:line="500" w:lineRule="exact"/>
        <w:ind w:firstLine="422" w:firstLineChars="200"/>
        <w:rPr>
          <w:rFonts w:hint="eastAsia" w:ascii="宋体" w:hAnsi="宋体" w:eastAsia="宋体" w:cs="宋体"/>
          <w:b/>
          <w:color w:val="auto"/>
          <w:szCs w:val="21"/>
          <w:highlight w:val="none"/>
          <w:u w:val="single"/>
        </w:rPr>
      </w:pPr>
      <w:bookmarkStart w:id="44" w:name="_Toc351203483"/>
      <w:r>
        <w:rPr>
          <w:rFonts w:hint="eastAsia" w:ascii="宋体" w:hAnsi="宋体" w:eastAsia="宋体" w:cs="宋体"/>
          <w:b/>
          <w:color w:val="auto"/>
          <w:szCs w:val="21"/>
          <w:highlight w:val="none"/>
          <w:u w:val="none"/>
        </w:rPr>
        <w:t>三、质量标准</w:t>
      </w:r>
      <w:bookmarkEnd w:id="44"/>
    </w:p>
    <w:p w14:paraId="686707E7">
      <w:pPr>
        <w:spacing w:line="500" w:lineRule="exact"/>
        <w:ind w:firstLine="45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工程质量必须达到国家工程施工质量验收</w:t>
      </w:r>
      <w:r>
        <w:rPr>
          <w:rFonts w:hint="eastAsia" w:ascii="宋体" w:hAnsi="宋体" w:eastAsia="宋体" w:cs="宋体"/>
          <w:b/>
          <w:bCs/>
          <w:color w:val="auto"/>
          <w:szCs w:val="21"/>
          <w:highlight w:val="none"/>
          <w:u w:val="single"/>
        </w:rPr>
        <w:t xml:space="preserve"> 合格 </w:t>
      </w:r>
      <w:r>
        <w:rPr>
          <w:rFonts w:hint="eastAsia" w:ascii="宋体" w:hAnsi="宋体" w:eastAsia="宋体" w:cs="宋体"/>
          <w:b/>
          <w:bCs/>
          <w:color w:val="auto"/>
          <w:szCs w:val="21"/>
          <w:highlight w:val="none"/>
          <w:u w:val="none"/>
        </w:rPr>
        <w:t xml:space="preserve">标准。 </w:t>
      </w:r>
    </w:p>
    <w:p w14:paraId="13C6332E">
      <w:pPr>
        <w:spacing w:line="500" w:lineRule="exact"/>
        <w:ind w:firstLine="422" w:firstLineChars="200"/>
        <w:rPr>
          <w:rFonts w:hint="eastAsia" w:ascii="宋体" w:hAnsi="宋体" w:eastAsia="宋体" w:cs="宋体"/>
          <w:b/>
          <w:color w:val="auto"/>
          <w:szCs w:val="21"/>
          <w:highlight w:val="none"/>
          <w:u w:val="none"/>
        </w:rPr>
      </w:pPr>
      <w:bookmarkStart w:id="45" w:name="_Toc351203484"/>
      <w:r>
        <w:rPr>
          <w:rFonts w:hint="eastAsia" w:ascii="宋体" w:hAnsi="宋体" w:eastAsia="宋体" w:cs="宋体"/>
          <w:b/>
          <w:color w:val="auto"/>
          <w:szCs w:val="21"/>
          <w:highlight w:val="none"/>
          <w:u w:val="none"/>
        </w:rPr>
        <w:t>四、签约合同价与合同价格形式</w:t>
      </w:r>
      <w:bookmarkEnd w:id="45"/>
    </w:p>
    <w:p w14:paraId="0DE92B87">
      <w:pPr>
        <w:spacing w:line="500" w:lineRule="exact"/>
        <w:ind w:firstLine="420" w:firstLineChars="200"/>
        <w:rPr>
          <w:rFonts w:hint="eastAsia" w:ascii="宋体" w:hAnsi="宋体" w:eastAsia="宋体" w:cs="宋体"/>
          <w:color w:val="auto"/>
          <w:szCs w:val="21"/>
          <w:highlight w:val="none"/>
        </w:rPr>
      </w:pPr>
      <w:bookmarkStart w:id="46" w:name="_Toc351203485"/>
      <w:r>
        <w:rPr>
          <w:rFonts w:hint="eastAsia" w:ascii="宋体" w:hAnsi="宋体" w:eastAsia="宋体" w:cs="宋体"/>
          <w:color w:val="auto"/>
          <w:szCs w:val="21"/>
          <w:highlight w:val="none"/>
        </w:rPr>
        <w:t>1.签约合同价为：</w:t>
      </w:r>
    </w:p>
    <w:p w14:paraId="7AC6D45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其中含暂列金额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BDFDE7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单价合同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DC677CE">
      <w:pPr>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w:t>
      </w:r>
      <w:bookmarkEnd w:id="46"/>
      <w:r>
        <w:rPr>
          <w:rFonts w:hint="eastAsia" w:ascii="宋体" w:hAnsi="宋体" w:eastAsia="宋体" w:cs="宋体"/>
          <w:b/>
          <w:color w:val="auto"/>
          <w:szCs w:val="21"/>
          <w:highlight w:val="none"/>
        </w:rPr>
        <w:t>项目经理</w:t>
      </w:r>
    </w:p>
    <w:p w14:paraId="16B64E7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承包人项目经理：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B38B403">
      <w:pPr>
        <w:spacing w:line="500" w:lineRule="exact"/>
        <w:ind w:firstLine="422" w:firstLineChars="200"/>
        <w:rPr>
          <w:rFonts w:hint="eastAsia" w:ascii="宋体" w:hAnsi="宋体" w:eastAsia="宋体" w:cs="宋体"/>
          <w:b/>
          <w:color w:val="auto"/>
          <w:szCs w:val="21"/>
          <w:highlight w:val="none"/>
        </w:rPr>
      </w:pPr>
      <w:bookmarkStart w:id="47" w:name="_Toc351203486"/>
      <w:r>
        <w:rPr>
          <w:rFonts w:hint="eastAsia" w:ascii="宋体" w:hAnsi="宋体" w:eastAsia="宋体" w:cs="宋体"/>
          <w:b/>
          <w:color w:val="auto"/>
          <w:szCs w:val="21"/>
          <w:highlight w:val="none"/>
        </w:rPr>
        <w:t>六、合同文件构成</w:t>
      </w:r>
      <w:bookmarkEnd w:id="47"/>
    </w:p>
    <w:p w14:paraId="0E5804FA">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25D7B395">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14:paraId="76622D38">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14:paraId="2A44EE92">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2E5E14E3">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2B1A90CE">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03135123">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14:paraId="22741F6B">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14:paraId="3A1DD540">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文件及其他合同文件。</w:t>
      </w:r>
    </w:p>
    <w:p w14:paraId="58E3F85B">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4D5F5228">
      <w:pPr>
        <w:autoSpaceDE w:val="0"/>
        <w:autoSpaceDN w:val="0"/>
        <w:adjustRightIn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0239295">
      <w:pPr>
        <w:spacing w:line="500" w:lineRule="exact"/>
        <w:ind w:firstLine="422" w:firstLineChars="200"/>
        <w:rPr>
          <w:rFonts w:hint="eastAsia" w:ascii="宋体" w:hAnsi="宋体" w:eastAsia="宋体" w:cs="宋体"/>
          <w:b/>
          <w:color w:val="auto"/>
          <w:szCs w:val="21"/>
          <w:highlight w:val="none"/>
        </w:rPr>
      </w:pPr>
      <w:bookmarkStart w:id="48" w:name="_Toc351203487"/>
      <w:r>
        <w:rPr>
          <w:rFonts w:hint="eastAsia" w:ascii="宋体" w:hAnsi="宋体" w:eastAsia="宋体" w:cs="宋体"/>
          <w:b/>
          <w:color w:val="auto"/>
          <w:szCs w:val="21"/>
          <w:highlight w:val="none"/>
        </w:rPr>
        <w:t>七、承诺</w:t>
      </w:r>
      <w:bookmarkEnd w:id="48"/>
    </w:p>
    <w:p w14:paraId="70790972">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787B1AA2">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F4DD07B">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55C7007E">
      <w:pPr>
        <w:spacing w:line="500" w:lineRule="exact"/>
        <w:ind w:firstLine="422" w:firstLineChars="200"/>
        <w:rPr>
          <w:rFonts w:hint="eastAsia" w:ascii="宋体" w:hAnsi="宋体" w:eastAsia="宋体" w:cs="宋体"/>
          <w:b/>
          <w:color w:val="auto"/>
          <w:szCs w:val="21"/>
          <w:highlight w:val="none"/>
        </w:rPr>
      </w:pPr>
      <w:bookmarkStart w:id="49" w:name="_Toc351203488"/>
      <w:r>
        <w:rPr>
          <w:rFonts w:hint="eastAsia" w:ascii="宋体" w:hAnsi="宋体" w:eastAsia="宋体" w:cs="宋体"/>
          <w:b/>
          <w:color w:val="auto"/>
          <w:szCs w:val="21"/>
          <w:highlight w:val="none"/>
        </w:rPr>
        <w:t>八、词语含义</w:t>
      </w:r>
      <w:bookmarkEnd w:id="49"/>
    </w:p>
    <w:p w14:paraId="1B487FD8">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5D6035E2">
      <w:pPr>
        <w:spacing w:line="500" w:lineRule="exact"/>
        <w:ind w:firstLine="422" w:firstLineChars="200"/>
        <w:rPr>
          <w:rFonts w:hint="eastAsia" w:ascii="宋体" w:hAnsi="宋体" w:eastAsia="宋体" w:cs="宋体"/>
          <w:b/>
          <w:color w:val="auto"/>
          <w:szCs w:val="21"/>
          <w:highlight w:val="none"/>
        </w:rPr>
      </w:pPr>
      <w:bookmarkStart w:id="50" w:name="_Toc351203489"/>
      <w:r>
        <w:rPr>
          <w:rFonts w:hint="eastAsia" w:ascii="宋体" w:hAnsi="宋体" w:eastAsia="宋体" w:cs="宋体"/>
          <w:b/>
          <w:color w:val="auto"/>
          <w:szCs w:val="21"/>
          <w:highlight w:val="none"/>
        </w:rPr>
        <w:t>九、签订时间</w:t>
      </w:r>
      <w:bookmarkEnd w:id="50"/>
    </w:p>
    <w:p w14:paraId="2B62F73B">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72FEEDE3">
      <w:pPr>
        <w:spacing w:line="500" w:lineRule="exact"/>
        <w:ind w:firstLine="422" w:firstLineChars="200"/>
        <w:rPr>
          <w:rFonts w:hint="eastAsia" w:ascii="宋体" w:hAnsi="宋体" w:eastAsia="宋体" w:cs="宋体"/>
          <w:b/>
          <w:color w:val="auto"/>
          <w:szCs w:val="21"/>
          <w:highlight w:val="none"/>
        </w:rPr>
      </w:pPr>
      <w:bookmarkStart w:id="51" w:name="_Toc351203490"/>
      <w:r>
        <w:rPr>
          <w:rFonts w:hint="eastAsia" w:ascii="宋体" w:hAnsi="宋体" w:eastAsia="宋体" w:cs="宋体"/>
          <w:b/>
          <w:color w:val="auto"/>
          <w:szCs w:val="21"/>
          <w:highlight w:val="none"/>
        </w:rPr>
        <w:t>十、签订地点</w:t>
      </w:r>
      <w:bookmarkEnd w:id="51"/>
    </w:p>
    <w:p w14:paraId="0F96E6E8">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3303823D">
      <w:pPr>
        <w:spacing w:line="500" w:lineRule="exact"/>
        <w:ind w:firstLine="422" w:firstLineChars="200"/>
        <w:rPr>
          <w:rFonts w:hint="eastAsia" w:ascii="宋体" w:hAnsi="宋体" w:eastAsia="宋体" w:cs="宋体"/>
          <w:b/>
          <w:color w:val="auto"/>
          <w:szCs w:val="21"/>
          <w:highlight w:val="none"/>
        </w:rPr>
      </w:pPr>
      <w:bookmarkStart w:id="52" w:name="_Toc351203491"/>
      <w:r>
        <w:rPr>
          <w:rFonts w:hint="eastAsia" w:ascii="宋体" w:hAnsi="宋体" w:eastAsia="宋体" w:cs="宋体"/>
          <w:b/>
          <w:color w:val="auto"/>
          <w:szCs w:val="21"/>
          <w:highlight w:val="none"/>
        </w:rPr>
        <w:t>十一、补充协议</w:t>
      </w:r>
      <w:bookmarkEnd w:id="52"/>
    </w:p>
    <w:p w14:paraId="600C427A">
      <w:pPr>
        <w:spacing w:line="5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41ED76A6">
      <w:pPr>
        <w:spacing w:line="500" w:lineRule="exact"/>
        <w:ind w:firstLine="422" w:firstLineChars="200"/>
        <w:rPr>
          <w:rFonts w:hint="eastAsia" w:ascii="宋体" w:hAnsi="宋体" w:eastAsia="宋体" w:cs="宋体"/>
          <w:b/>
          <w:color w:val="auto"/>
          <w:szCs w:val="21"/>
          <w:highlight w:val="none"/>
        </w:rPr>
      </w:pPr>
      <w:bookmarkStart w:id="53" w:name="_Toc351203492"/>
      <w:r>
        <w:rPr>
          <w:rFonts w:hint="eastAsia" w:ascii="宋体" w:hAnsi="宋体" w:eastAsia="宋体" w:cs="宋体"/>
          <w:b/>
          <w:color w:val="auto"/>
          <w:szCs w:val="21"/>
          <w:highlight w:val="none"/>
        </w:rPr>
        <w:t>十二、合同生效</w:t>
      </w:r>
      <w:bookmarkEnd w:id="53"/>
    </w:p>
    <w:p w14:paraId="76E2566D">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u w:val="single"/>
        </w:rPr>
        <w:t>签字、盖章</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122F9BEB">
      <w:pPr>
        <w:spacing w:line="500" w:lineRule="exact"/>
        <w:ind w:firstLine="422" w:firstLineChars="200"/>
        <w:rPr>
          <w:rFonts w:hint="eastAsia" w:ascii="宋体" w:hAnsi="宋体" w:eastAsia="宋体" w:cs="宋体"/>
          <w:b/>
          <w:color w:val="auto"/>
          <w:szCs w:val="21"/>
          <w:highlight w:val="none"/>
        </w:rPr>
      </w:pPr>
      <w:bookmarkStart w:id="54" w:name="_Toc351203493"/>
      <w:r>
        <w:rPr>
          <w:rFonts w:hint="eastAsia" w:ascii="宋体" w:hAnsi="宋体" w:eastAsia="宋体" w:cs="宋体"/>
          <w:b/>
          <w:color w:val="auto"/>
          <w:szCs w:val="21"/>
          <w:highlight w:val="none"/>
        </w:rPr>
        <w:t>十三、合同份数</w:t>
      </w:r>
      <w:bookmarkEnd w:id="54"/>
    </w:p>
    <w:p w14:paraId="652B7B18">
      <w:pPr>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6A317D6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p>
    <w:p w14:paraId="74B16D2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0A9B483">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（签字）                   </w:t>
      </w:r>
      <w:r>
        <w:rPr>
          <w:rFonts w:hint="eastAsia" w:ascii="宋体" w:hAnsi="宋体" w:eastAsia="宋体" w:cs="宋体"/>
          <w:color w:val="auto"/>
          <w:szCs w:val="21"/>
          <w:highlight w:val="none"/>
        </w:rPr>
        <w:t xml:space="preserve">            （签字）</w:t>
      </w:r>
      <w:r>
        <w:rPr>
          <w:rFonts w:hint="eastAsia" w:ascii="宋体" w:hAnsi="宋体" w:eastAsia="宋体" w:cs="宋体"/>
          <w:color w:val="auto"/>
          <w:szCs w:val="21"/>
          <w:highlight w:val="none"/>
          <w:u w:val="single"/>
        </w:rPr>
        <w:t xml:space="preserve">                  </w:t>
      </w:r>
    </w:p>
    <w:p w14:paraId="445365D7">
      <w:pPr>
        <w:tabs>
          <w:tab w:val="left" w:pos="4410"/>
        </w:tabs>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组织机构代码：                         组织机构代码：             </w:t>
      </w:r>
    </w:p>
    <w:p w14:paraId="522FCCE2">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                                 地  址：                    </w:t>
      </w:r>
    </w:p>
    <w:p w14:paraId="189F88BB">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邮政编码：                             邮政编码：     </w:t>
      </w:r>
    </w:p>
    <w:p w14:paraId="6213D686">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法定代表人：                         法定代表人：               </w:t>
      </w:r>
    </w:p>
    <w:p w14:paraId="35590E0F">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委托代理人：                             委托代理人：                 </w:t>
      </w:r>
    </w:p>
    <w:p w14:paraId="34B69329">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电  话：                                 电  话：                     </w:t>
      </w:r>
    </w:p>
    <w:p w14:paraId="0C46D003">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传  真：                                 传  真：                     </w:t>
      </w:r>
    </w:p>
    <w:p w14:paraId="20B8BD61">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电子信箱：                               电子信箱：                   </w:t>
      </w:r>
    </w:p>
    <w:p w14:paraId="6629D99F">
      <w:pPr>
        <w:spacing w:line="5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开户银行：                               开户银行：                   </w:t>
      </w:r>
    </w:p>
    <w:p w14:paraId="4F1FDD57">
      <w:pPr>
        <w:spacing w:line="500" w:lineRule="exact"/>
        <w:ind w:firstLine="420" w:firstLineChars="200"/>
        <w:rPr>
          <w:rFonts w:hint="eastAsia" w:ascii="宋体" w:hAnsi="宋体" w:cs="宋体"/>
          <w:color w:val="auto"/>
          <w:highlight w:val="none"/>
        </w:rPr>
      </w:pPr>
      <w:r>
        <w:rPr>
          <w:rFonts w:hint="eastAsia" w:ascii="宋体" w:hAnsi="宋体" w:eastAsia="宋体" w:cs="宋体"/>
          <w:color w:val="auto"/>
          <w:szCs w:val="21"/>
          <w:highlight w:val="none"/>
          <w:u w:val="none"/>
        </w:rPr>
        <w:t xml:space="preserve">账  号：                                 账  号：  </w:t>
      </w:r>
    </w:p>
    <w:p w14:paraId="67406129">
      <w:pPr>
        <w:keepNext/>
        <w:keepLines/>
        <w:spacing w:line="360" w:lineRule="auto"/>
        <w:ind w:firstLine="0" w:firstLineChars="0"/>
        <w:jc w:val="center"/>
        <w:outlineLvl w:val="1"/>
        <w:rPr>
          <w:rFonts w:hint="eastAsia" w:ascii="宋体" w:hAnsi="宋体" w:cs="宋体"/>
          <w:snapToGrid w:val="0"/>
          <w:color w:val="auto"/>
          <w:kern w:val="0"/>
          <w:sz w:val="28"/>
          <w:highlight w:val="none"/>
        </w:rPr>
      </w:pPr>
      <w:r>
        <w:rPr>
          <w:rFonts w:hint="eastAsia" w:ascii="宋体" w:hAnsi="宋体" w:cs="宋体"/>
          <w:b/>
          <w:bCs/>
          <w:color w:val="auto"/>
          <w:sz w:val="32"/>
          <w:szCs w:val="32"/>
          <w:highlight w:val="none"/>
        </w:rPr>
        <w:br w:type="page"/>
      </w:r>
      <w:bookmarkStart w:id="55" w:name="_Toc95223460"/>
      <w:bookmarkStart w:id="56" w:name="_Toc28799377"/>
      <w:bookmarkStart w:id="57" w:name="_Toc15494"/>
      <w:r>
        <w:rPr>
          <w:rFonts w:hint="eastAsia" w:ascii="宋体" w:hAnsi="宋体" w:cs="宋体"/>
          <w:b/>
          <w:bCs/>
          <w:color w:val="auto"/>
          <w:sz w:val="32"/>
          <w:szCs w:val="32"/>
          <w:highlight w:val="none"/>
        </w:rPr>
        <w:t>第二节  通用合同条款</w:t>
      </w:r>
      <w:bookmarkEnd w:id="55"/>
      <w:bookmarkEnd w:id="56"/>
      <w:bookmarkEnd w:id="57"/>
    </w:p>
    <w:p w14:paraId="38DE44C3">
      <w:pPr>
        <w:adjustRightInd/>
        <w:snapToGrid/>
        <w:spacing w:line="440" w:lineRule="exact"/>
        <w:ind w:firstLine="420" w:firstLineChars="200"/>
        <w:rPr>
          <w:rFonts w:hint="eastAsia" w:ascii="宋体" w:hAnsi="Times New Roman" w:eastAsia="宋体" w:cs="宋体"/>
          <w:b w:val="0"/>
          <w:bCs/>
          <w:snapToGrid/>
          <w:color w:val="auto"/>
          <w:kern w:val="2"/>
          <w:sz w:val="21"/>
          <w:szCs w:val="21"/>
          <w:highlight w:val="none"/>
        </w:rPr>
      </w:pPr>
      <w:r>
        <w:rPr>
          <w:rFonts w:hint="eastAsia" w:ascii="宋体" w:hAnsi="Times New Roman" w:eastAsia="宋体" w:cs="宋体"/>
          <w:b w:val="0"/>
          <w:bCs/>
          <w:snapToGrid/>
          <w:color w:val="auto"/>
          <w:kern w:val="2"/>
          <w:sz w:val="21"/>
          <w:szCs w:val="21"/>
          <w:highlight w:val="none"/>
        </w:rPr>
        <w:t>采用《建设工程施工合同</w:t>
      </w:r>
      <w:r>
        <w:rPr>
          <w:rFonts w:hint="eastAsia" w:ascii="宋体" w:hAnsi="Times New Roman" w:eastAsia="宋体" w:cs="宋体"/>
          <w:b w:val="0"/>
          <w:bCs/>
          <w:snapToGrid/>
          <w:color w:val="auto"/>
          <w:kern w:val="2"/>
          <w:sz w:val="21"/>
          <w:szCs w:val="21"/>
          <w:highlight w:val="none"/>
          <w:lang w:eastAsia="zh-CN"/>
        </w:rPr>
        <w:t>（</w:t>
      </w:r>
      <w:r>
        <w:rPr>
          <w:rFonts w:hint="eastAsia" w:ascii="宋体" w:hAnsi="Times New Roman" w:eastAsia="宋体" w:cs="宋体"/>
          <w:b w:val="0"/>
          <w:bCs/>
          <w:snapToGrid/>
          <w:color w:val="auto"/>
          <w:kern w:val="2"/>
          <w:sz w:val="21"/>
          <w:szCs w:val="21"/>
          <w:highlight w:val="none"/>
        </w:rPr>
        <w:t>示范文本</w:t>
      </w:r>
      <w:r>
        <w:rPr>
          <w:rFonts w:hint="eastAsia" w:ascii="宋体" w:hAnsi="Times New Roman" w:eastAsia="宋体" w:cs="宋体"/>
          <w:b w:val="0"/>
          <w:bCs/>
          <w:snapToGrid/>
          <w:color w:val="auto"/>
          <w:kern w:val="2"/>
          <w:sz w:val="21"/>
          <w:szCs w:val="21"/>
          <w:highlight w:val="none"/>
          <w:lang w:eastAsia="zh-CN"/>
        </w:rPr>
        <w:t>）</w:t>
      </w:r>
      <w:r>
        <w:rPr>
          <w:rFonts w:hint="eastAsia" w:ascii="宋体" w:hAnsi="Times New Roman" w:eastAsia="宋体" w:cs="宋体"/>
          <w:b w:val="0"/>
          <w:bCs/>
          <w:snapToGrid/>
          <w:color w:val="auto"/>
          <w:kern w:val="2"/>
          <w:sz w:val="21"/>
          <w:szCs w:val="21"/>
          <w:highlight w:val="none"/>
        </w:rPr>
        <w:t>》（GF-2017-0201）中通用合同条款。上述资料由投标人自行准备。</w:t>
      </w:r>
    </w:p>
    <w:p w14:paraId="34E5DD6A">
      <w:pPr>
        <w:keepNext/>
        <w:keepLines/>
        <w:adjustRightInd/>
        <w:snapToGrid/>
        <w:spacing w:line="360" w:lineRule="auto"/>
        <w:jc w:val="center"/>
        <w:outlineLvl w:val="1"/>
        <w:rPr>
          <w:rFonts w:hint="eastAsia" w:ascii="宋体" w:hAnsi="宋体" w:eastAsia="宋体" w:cs="宋体"/>
          <w:b/>
          <w:bCs/>
          <w:color w:val="auto"/>
          <w:sz w:val="32"/>
          <w:szCs w:val="32"/>
          <w:highlight w:val="none"/>
        </w:rPr>
      </w:pPr>
      <w:bookmarkStart w:id="58" w:name="_Toc95223461"/>
      <w:bookmarkStart w:id="59" w:name="_Toc28799378"/>
      <w:bookmarkStart w:id="60" w:name="_Toc8192"/>
      <w:r>
        <w:rPr>
          <w:rFonts w:hint="eastAsia" w:ascii="宋体" w:hAnsi="宋体" w:eastAsia="宋体" w:cs="宋体"/>
          <w:b/>
          <w:bCs/>
          <w:color w:val="auto"/>
          <w:sz w:val="32"/>
          <w:szCs w:val="32"/>
          <w:highlight w:val="none"/>
        </w:rPr>
        <w:t>第三节  专用合同条款</w:t>
      </w:r>
      <w:bookmarkEnd w:id="58"/>
      <w:bookmarkEnd w:id="59"/>
      <w:bookmarkEnd w:id="60"/>
    </w:p>
    <w:p w14:paraId="6F028D0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61" w:name="_Toc95223462"/>
      <w:bookmarkStart w:id="62" w:name="_Toc351203633"/>
      <w:r>
        <w:rPr>
          <w:rFonts w:hint="eastAsia" w:ascii="宋体" w:hAnsi="宋体" w:eastAsia="宋体" w:cs="宋体"/>
          <w:bCs/>
          <w:color w:val="auto"/>
          <w:sz w:val="21"/>
          <w:szCs w:val="21"/>
          <w:highlight w:val="none"/>
        </w:rPr>
        <w:t>1</w:t>
      </w:r>
      <w:bookmarkStart w:id="63" w:name="_Toc296503156"/>
      <w:bookmarkStart w:id="64" w:name="_Toc297120456"/>
      <w:bookmarkStart w:id="65" w:name="_Toc296891196"/>
      <w:bookmarkStart w:id="66" w:name="_Toc296346657"/>
      <w:bookmarkStart w:id="67" w:name="_Toc296944495"/>
      <w:bookmarkStart w:id="68" w:name="_Toc292559361"/>
      <w:bookmarkStart w:id="69" w:name="_Toc296347155"/>
      <w:bookmarkStart w:id="70" w:name="_Toc296890984"/>
      <w:bookmarkStart w:id="71" w:name="_Toc292559866"/>
      <w:bookmarkStart w:id="72" w:name="_Toc297048342"/>
      <w:r>
        <w:rPr>
          <w:rFonts w:hint="eastAsia" w:ascii="宋体" w:hAnsi="宋体" w:eastAsia="宋体" w:cs="宋体"/>
          <w:bCs/>
          <w:color w:val="auto"/>
          <w:sz w:val="21"/>
          <w:szCs w:val="21"/>
          <w:highlight w:val="none"/>
        </w:rPr>
        <w:t>. 一般约定</w:t>
      </w:r>
      <w:bookmarkEnd w:id="61"/>
      <w:bookmarkEnd w:id="62"/>
    </w:p>
    <w:bookmarkEnd w:id="63"/>
    <w:bookmarkEnd w:id="64"/>
    <w:bookmarkEnd w:id="65"/>
    <w:bookmarkEnd w:id="66"/>
    <w:bookmarkEnd w:id="67"/>
    <w:bookmarkEnd w:id="68"/>
    <w:bookmarkEnd w:id="69"/>
    <w:bookmarkEnd w:id="70"/>
    <w:bookmarkEnd w:id="71"/>
    <w:bookmarkEnd w:id="72"/>
    <w:p w14:paraId="2CE8454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词语定义与解释</w:t>
      </w:r>
    </w:p>
    <w:p w14:paraId="60987EF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合同</w:t>
      </w:r>
    </w:p>
    <w:p w14:paraId="726074E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1.1.1.10 其他合同文件包括：</w:t>
      </w:r>
      <w:r>
        <w:rPr>
          <w:rFonts w:hint="eastAsia" w:ascii="宋体" w:hAnsi="宋体" w:eastAsia="宋体" w:cs="宋体"/>
          <w:color w:val="auto"/>
          <w:kern w:val="0"/>
          <w:szCs w:val="21"/>
          <w:highlight w:val="none"/>
          <w:u w:val="single"/>
        </w:rPr>
        <w:t>本项目</w:t>
      </w:r>
      <w:r>
        <w:rPr>
          <w:rFonts w:hint="eastAsia" w:ascii="宋体" w:hAnsi="宋体" w:eastAsia="宋体" w:cs="宋体"/>
          <w:color w:val="auto"/>
          <w:kern w:val="0"/>
          <w:szCs w:val="21"/>
          <w:highlight w:val="none"/>
          <w:u w:val="single"/>
          <w:lang w:val="en-US" w:eastAsia="zh-CN"/>
        </w:rPr>
        <w:t>选取</w:t>
      </w:r>
      <w:r>
        <w:rPr>
          <w:rFonts w:hint="eastAsia" w:ascii="宋体" w:hAnsi="宋体" w:eastAsia="宋体" w:cs="宋体"/>
          <w:color w:val="auto"/>
          <w:kern w:val="0"/>
          <w:szCs w:val="21"/>
          <w:highlight w:val="none"/>
          <w:u w:val="single"/>
        </w:rPr>
        <w:t>文件、在合同订立及履行过程中形成的与合同有关的文件均构成合同文件组成部分，若上述文件有不明确或不一致之处，以</w:t>
      </w:r>
      <w:r>
        <w:rPr>
          <w:rFonts w:hint="eastAsia" w:ascii="宋体" w:hAnsi="宋体" w:eastAsia="宋体" w:cs="宋体"/>
          <w:color w:val="auto"/>
          <w:kern w:val="0"/>
          <w:szCs w:val="21"/>
          <w:highlight w:val="none"/>
          <w:u w:val="single"/>
          <w:lang w:val="en-US" w:eastAsia="zh-CN"/>
        </w:rPr>
        <w:t>选取</w:t>
      </w:r>
      <w:r>
        <w:rPr>
          <w:rFonts w:hint="eastAsia" w:ascii="宋体" w:hAnsi="宋体" w:eastAsia="宋体" w:cs="宋体"/>
          <w:color w:val="auto"/>
          <w:kern w:val="0"/>
          <w:szCs w:val="21"/>
          <w:highlight w:val="none"/>
          <w:u w:val="single"/>
        </w:rPr>
        <w:t xml:space="preserve">文件为准 </w:t>
      </w:r>
      <w:r>
        <w:rPr>
          <w:rFonts w:hint="eastAsia" w:ascii="宋体" w:hAnsi="宋体" w:eastAsia="宋体" w:cs="宋体"/>
          <w:color w:val="auto"/>
          <w:kern w:val="0"/>
          <w:szCs w:val="21"/>
          <w:highlight w:val="none"/>
        </w:rPr>
        <w:t>；</w:t>
      </w:r>
    </w:p>
    <w:p w14:paraId="2825214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30AA220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监理人：</w:t>
      </w:r>
    </w:p>
    <w:p w14:paraId="5130A72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详见监理合同  </w:t>
      </w:r>
      <w:r>
        <w:rPr>
          <w:rFonts w:hint="eastAsia" w:ascii="宋体" w:hAnsi="宋体" w:eastAsia="宋体" w:cs="宋体"/>
          <w:color w:val="auto"/>
          <w:szCs w:val="21"/>
          <w:highlight w:val="none"/>
        </w:rPr>
        <w:t>；</w:t>
      </w:r>
    </w:p>
    <w:p w14:paraId="1854105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31B528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9E2D3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B61EA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EBB2BE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7C4400D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2679C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5BE531D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4A2D6D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F95CAE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44C9E6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6B8CA9B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见施工图纸并现场确定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01411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见施工图纸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B0FBF8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现场确定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w:t>
      </w:r>
    </w:p>
    <w:p w14:paraId="70CA31E8">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1.3 法律 </w:t>
      </w:r>
    </w:p>
    <w:p w14:paraId="1E8DB70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适用于合同的其他规范性文件：</w:t>
      </w:r>
      <w:r>
        <w:rPr>
          <w:rFonts w:hint="eastAsia" w:ascii="宋体" w:hAnsi="宋体" w:cs="宋体"/>
          <w:color w:val="000000"/>
          <w:szCs w:val="21"/>
          <w:highlight w:val="none"/>
          <w:u w:val="single"/>
        </w:rPr>
        <w:t>国家及工程所在地现行有效的法律法规和规章</w:t>
      </w:r>
      <w:r>
        <w:rPr>
          <w:rFonts w:hint="eastAsia" w:ascii="宋体" w:hAnsi="宋体" w:eastAsia="宋体" w:cs="宋体"/>
          <w:color w:val="auto"/>
          <w:szCs w:val="21"/>
          <w:highlight w:val="none"/>
        </w:rPr>
        <w:t>。</w:t>
      </w:r>
    </w:p>
    <w:p w14:paraId="56DB1AC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 标准和规范</w:t>
      </w:r>
    </w:p>
    <w:p w14:paraId="5FD451D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适用于工程的标准规范包括：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中华人民共和国建设部颁发的现行的有关标准、规范及省、市有关规定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9A390B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承包人自备国内现行适用的标准、规范  </w:t>
      </w:r>
      <w:r>
        <w:rPr>
          <w:rFonts w:hint="eastAsia" w:ascii="宋体" w:hAnsi="宋体" w:eastAsia="宋体" w:cs="宋体"/>
          <w:color w:val="auto"/>
          <w:kern w:val="0"/>
          <w:szCs w:val="21"/>
          <w:highlight w:val="none"/>
        </w:rPr>
        <w:t>；</w:t>
      </w:r>
    </w:p>
    <w:p w14:paraId="76784EF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E3816A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47C4C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发包人对工程的技术标准和功能要求的特殊要求：</w:t>
      </w:r>
      <w:r>
        <w:rPr>
          <w:rFonts w:hint="eastAsia" w:ascii="宋体" w:hAnsi="宋体" w:eastAsia="宋体" w:cs="宋体"/>
          <w:color w:val="auto"/>
          <w:szCs w:val="21"/>
          <w:highlight w:val="none"/>
          <w:u w:val="single"/>
        </w:rPr>
        <w:t xml:space="preserve">  按现行规范执行  </w:t>
      </w:r>
      <w:r>
        <w:rPr>
          <w:rFonts w:hint="eastAsia" w:ascii="宋体" w:hAnsi="宋体" w:eastAsia="宋体" w:cs="宋体"/>
          <w:color w:val="auto"/>
          <w:szCs w:val="21"/>
          <w:highlight w:val="none"/>
        </w:rPr>
        <w:t>。</w:t>
      </w:r>
    </w:p>
    <w:p w14:paraId="0A546A5F">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 合同文件的优先顺序</w:t>
      </w:r>
    </w:p>
    <w:p w14:paraId="779F70E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合同文件组成及优先顺序为：</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若上述文件有不明确或不一致之处，以</w:t>
      </w:r>
      <w:r>
        <w:rPr>
          <w:rFonts w:hint="eastAsia" w:ascii="宋体" w:hAnsi="宋体" w:eastAsia="宋体" w:cs="宋体"/>
          <w:color w:val="auto"/>
          <w:szCs w:val="21"/>
          <w:highlight w:val="none"/>
          <w:u w:val="single"/>
          <w:lang w:val="en-US" w:eastAsia="zh-CN"/>
        </w:rPr>
        <w:t>选取</w:t>
      </w:r>
      <w:r>
        <w:rPr>
          <w:rFonts w:hint="eastAsia" w:ascii="宋体" w:hAnsi="宋体" w:eastAsia="宋体" w:cs="宋体"/>
          <w:color w:val="auto"/>
          <w:szCs w:val="21"/>
          <w:highlight w:val="none"/>
          <w:u w:val="single"/>
        </w:rPr>
        <w:t>文件为准</w:t>
      </w:r>
      <w:r>
        <w:rPr>
          <w:rFonts w:hint="eastAsia" w:ascii="宋体" w:hAnsi="宋体" w:eastAsia="宋体" w:cs="宋体"/>
          <w:color w:val="auto"/>
          <w:szCs w:val="21"/>
          <w:highlight w:val="none"/>
        </w:rPr>
        <w:t>。</w:t>
      </w:r>
    </w:p>
    <w:p w14:paraId="6A30413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 图纸和承包人文件</w:t>
      </w:r>
      <w:r>
        <w:rPr>
          <w:rFonts w:hint="eastAsia" w:ascii="宋体" w:hAnsi="宋体" w:eastAsia="宋体" w:cs="宋体"/>
          <w:bCs/>
          <w:color w:val="auto"/>
          <w:szCs w:val="21"/>
          <w:highlight w:val="none"/>
        </w:rPr>
        <w:tab/>
      </w:r>
    </w:p>
    <w:p w14:paraId="0374104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图纸的提供和交底</w:t>
      </w:r>
    </w:p>
    <w:p w14:paraId="7C65B2E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开工通知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F4D89A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套，不足的由承包人自行复制，费用自理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6FFDCD9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全套施工图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0D8763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07C41D9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 xml:space="preserve"> 另行约定 </w:t>
      </w:r>
      <w:r>
        <w:rPr>
          <w:rFonts w:hint="eastAsia" w:ascii="宋体" w:hAnsi="宋体" w:eastAsia="宋体" w:cs="宋体"/>
          <w:color w:val="auto"/>
          <w:szCs w:val="21"/>
          <w:highlight w:val="none"/>
        </w:rPr>
        <w:t>；</w:t>
      </w:r>
    </w:p>
    <w:p w14:paraId="71388DE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 xml:space="preserve">  另行约定 </w:t>
      </w:r>
      <w:r>
        <w:rPr>
          <w:rFonts w:hint="eastAsia" w:ascii="宋体" w:hAnsi="宋体" w:eastAsia="宋体" w:cs="宋体"/>
          <w:color w:val="auto"/>
          <w:szCs w:val="21"/>
          <w:highlight w:val="none"/>
        </w:rPr>
        <w:t>；</w:t>
      </w:r>
    </w:p>
    <w:p w14:paraId="2343A0B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 xml:space="preserve">  另行约定 </w:t>
      </w:r>
      <w:r>
        <w:rPr>
          <w:rFonts w:hint="eastAsia" w:ascii="宋体" w:hAnsi="宋体" w:eastAsia="宋体" w:cs="宋体"/>
          <w:color w:val="auto"/>
          <w:szCs w:val="21"/>
          <w:highlight w:val="none"/>
        </w:rPr>
        <w:t>；</w:t>
      </w:r>
    </w:p>
    <w:p w14:paraId="4FDA62E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 xml:space="preserve">  另行约定  </w:t>
      </w:r>
      <w:r>
        <w:rPr>
          <w:rFonts w:hint="eastAsia" w:ascii="宋体" w:hAnsi="宋体" w:eastAsia="宋体" w:cs="宋体"/>
          <w:color w:val="auto"/>
          <w:szCs w:val="21"/>
          <w:highlight w:val="none"/>
        </w:rPr>
        <w:t>；</w:t>
      </w:r>
    </w:p>
    <w:p w14:paraId="3E883A3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另行约定 </w:t>
      </w:r>
      <w:r>
        <w:rPr>
          <w:rFonts w:hint="eastAsia" w:ascii="宋体" w:hAnsi="宋体" w:eastAsia="宋体" w:cs="宋体"/>
          <w:color w:val="auto"/>
          <w:szCs w:val="21"/>
          <w:highlight w:val="none"/>
        </w:rPr>
        <w:t>。</w:t>
      </w:r>
    </w:p>
    <w:p w14:paraId="71E8C67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图纸和承包人文件的保管</w:t>
      </w:r>
    </w:p>
    <w:p w14:paraId="2FD35A8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关于图纸和承包人文件保管的约定：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006B3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 联络</w:t>
      </w:r>
    </w:p>
    <w:p w14:paraId="14822B6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发包人和承包人应当在</w:t>
      </w:r>
      <w:r>
        <w:rPr>
          <w:rFonts w:hint="eastAsia" w:ascii="宋体" w:hAnsi="宋体" w:eastAsia="宋体" w:cs="宋体"/>
          <w:color w:val="auto"/>
          <w:szCs w:val="21"/>
          <w:highlight w:val="none"/>
          <w:u w:val="single"/>
        </w:rPr>
        <w:t>7</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0643F5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 xml:space="preserve">  发包人办公室</w:t>
      </w:r>
      <w:r>
        <w:rPr>
          <w:rFonts w:hint="eastAsia" w:ascii="宋体" w:hAnsi="宋体" w:eastAsia="宋体" w:cs="宋体"/>
          <w:color w:val="auto"/>
          <w:kern w:val="0"/>
          <w:szCs w:val="21"/>
          <w:highlight w:val="none"/>
        </w:rPr>
        <w:t>；</w:t>
      </w:r>
    </w:p>
    <w:p w14:paraId="72FF8D9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xml:space="preserve">  发包人指派的</w:t>
      </w:r>
      <w:r>
        <w:rPr>
          <w:rFonts w:hint="eastAsia" w:ascii="宋体" w:hAnsi="宋体" w:eastAsia="宋体" w:cs="宋体"/>
          <w:color w:val="auto"/>
          <w:szCs w:val="21"/>
          <w:highlight w:val="none"/>
          <w:u w:val="single"/>
          <w:lang w:val="en-US" w:eastAsia="zh-CN"/>
        </w:rPr>
        <w:t>项目经理</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w:t>
      </w:r>
    </w:p>
    <w:p w14:paraId="1DAEFB8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xml:space="preserve">  项目部   </w:t>
      </w:r>
      <w:r>
        <w:rPr>
          <w:rFonts w:hint="eastAsia" w:ascii="宋体" w:hAnsi="宋体" w:eastAsia="宋体" w:cs="宋体"/>
          <w:color w:val="auto"/>
          <w:kern w:val="0"/>
          <w:szCs w:val="21"/>
          <w:highlight w:val="none"/>
        </w:rPr>
        <w:t>；</w:t>
      </w:r>
    </w:p>
    <w:p w14:paraId="3FFF760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386A3A6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xml:space="preserve"> 监理部</w:t>
      </w:r>
      <w:r>
        <w:rPr>
          <w:rFonts w:hint="eastAsia" w:ascii="宋体" w:hAnsi="宋体" w:eastAsia="宋体" w:cs="宋体"/>
          <w:color w:val="auto"/>
          <w:kern w:val="0"/>
          <w:szCs w:val="21"/>
          <w:highlight w:val="none"/>
        </w:rPr>
        <w:t>；</w:t>
      </w:r>
    </w:p>
    <w:p w14:paraId="0D820D9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 xml:space="preserve">  总监理工程</w:t>
      </w:r>
      <w:r>
        <w:rPr>
          <w:rFonts w:hint="eastAsia" w:ascii="宋体" w:hAnsi="宋体" w:eastAsia="宋体" w:cs="宋体"/>
          <w:color w:val="auto"/>
          <w:szCs w:val="21"/>
          <w:highlight w:val="none"/>
          <w:u w:val="single"/>
          <w:lang w:val="en-US" w:eastAsia="zh-CN"/>
        </w:rPr>
        <w:t>师</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w:t>
      </w:r>
    </w:p>
    <w:p w14:paraId="4BA0644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1.10 交通运输</w:t>
      </w:r>
    </w:p>
    <w:p w14:paraId="700EB1A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3" w:name="_Toc303539100"/>
      <w:bookmarkStart w:id="74" w:name="_Toc304295521"/>
      <w:bookmarkStart w:id="75" w:name="_Toc312677986"/>
      <w:bookmarkStart w:id="76" w:name="_Toc300934943"/>
      <w:bookmarkStart w:id="77" w:name="_Toc318581155"/>
      <w:r>
        <w:rPr>
          <w:rFonts w:hint="eastAsia" w:ascii="宋体" w:hAnsi="宋体" w:eastAsia="宋体" w:cs="宋体"/>
          <w:color w:val="auto"/>
          <w:szCs w:val="21"/>
          <w:highlight w:val="none"/>
        </w:rPr>
        <w:t>.10.1 出入现场的权利</w:t>
      </w:r>
    </w:p>
    <w:p w14:paraId="5EF8519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bookmarkEnd w:id="73"/>
    <w:bookmarkEnd w:id="74"/>
    <w:bookmarkEnd w:id="75"/>
    <w:bookmarkEnd w:id="76"/>
    <w:bookmarkEnd w:id="77"/>
    <w:p w14:paraId="0BA480B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8" w:name="_Toc318581156"/>
      <w:bookmarkStart w:id="79" w:name="_Toc304295522"/>
      <w:bookmarkStart w:id="80" w:name="_Toc303539101"/>
      <w:bookmarkStart w:id="81" w:name="_Toc312677987"/>
      <w:bookmarkStart w:id="82" w:name="_Toc300934944"/>
      <w:r>
        <w:rPr>
          <w:rFonts w:hint="eastAsia" w:ascii="宋体" w:hAnsi="宋体" w:eastAsia="宋体" w:cs="宋体"/>
          <w:color w:val="auto"/>
          <w:szCs w:val="21"/>
          <w:highlight w:val="none"/>
        </w:rPr>
        <w:t>.10.3 场内交通</w:t>
      </w:r>
    </w:p>
    <w:p w14:paraId="79233C9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 xml:space="preserve">场内交通设施和道路由承包人负责建设，发包人不另支付费用，场内交通边界现场确定 </w:t>
      </w:r>
      <w:r>
        <w:rPr>
          <w:rFonts w:hint="eastAsia" w:ascii="宋体" w:hAnsi="宋体" w:eastAsia="宋体" w:cs="宋体"/>
          <w:color w:val="auto"/>
          <w:szCs w:val="21"/>
          <w:highlight w:val="none"/>
        </w:rPr>
        <w:t>。</w:t>
      </w:r>
    </w:p>
    <w:p w14:paraId="52120B7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 xml:space="preserve">承包人自行踏勘，自行解决 </w:t>
      </w:r>
      <w:r>
        <w:rPr>
          <w:rFonts w:hint="eastAsia" w:ascii="宋体" w:hAnsi="宋体" w:eastAsia="宋体" w:cs="宋体"/>
          <w:color w:val="auto"/>
          <w:szCs w:val="21"/>
          <w:highlight w:val="none"/>
        </w:rPr>
        <w:t>。</w:t>
      </w:r>
      <w:bookmarkEnd w:id="78"/>
      <w:bookmarkEnd w:id="79"/>
      <w:bookmarkEnd w:id="80"/>
      <w:bookmarkEnd w:id="81"/>
      <w:bookmarkEnd w:id="82"/>
      <w:bookmarkStart w:id="83" w:name="_Toc318581157"/>
    </w:p>
    <w:p w14:paraId="0A56F6A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 超大件和超重件的运输</w:t>
      </w:r>
    </w:p>
    <w:p w14:paraId="2AFFB55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承担。</w:t>
      </w:r>
    </w:p>
    <w:bookmarkEnd w:id="83"/>
    <w:p w14:paraId="20BF62E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 知识产权</w:t>
      </w:r>
    </w:p>
    <w:p w14:paraId="05DC6A1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BE418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 w:val="21"/>
          <w:szCs w:val="21"/>
          <w:highlight w:val="none"/>
          <w:u w:val="single"/>
        </w:rPr>
        <w:t>未经发包人同意不得复制，不得向承包人以外的人员泄漏有关图纸内容，工程竣工后，原图全部收回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41BDC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执行通用条款 </w:t>
      </w:r>
      <w:r>
        <w:rPr>
          <w:rFonts w:hint="eastAsia" w:ascii="宋体" w:hAnsi="宋体" w:eastAsia="宋体" w:cs="宋体"/>
          <w:color w:val="auto"/>
          <w:szCs w:val="21"/>
          <w:highlight w:val="none"/>
        </w:rPr>
        <w:t>。</w:t>
      </w:r>
    </w:p>
    <w:p w14:paraId="5CB7890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 xml:space="preserve">执行通用条款  </w:t>
      </w:r>
      <w:r>
        <w:rPr>
          <w:rFonts w:hint="eastAsia" w:ascii="宋体" w:hAnsi="宋体" w:eastAsia="宋体" w:cs="宋体"/>
          <w:color w:val="auto"/>
          <w:szCs w:val="21"/>
          <w:highlight w:val="none"/>
        </w:rPr>
        <w:t>。</w:t>
      </w:r>
    </w:p>
    <w:p w14:paraId="09A6C2C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执行通用条款  </w:t>
      </w:r>
      <w:r>
        <w:rPr>
          <w:rFonts w:hint="eastAsia" w:ascii="宋体" w:hAnsi="宋体" w:eastAsia="宋体" w:cs="宋体"/>
          <w:color w:val="auto"/>
          <w:szCs w:val="21"/>
          <w:highlight w:val="none"/>
        </w:rPr>
        <w:t>。</w:t>
      </w:r>
    </w:p>
    <w:p w14:paraId="64FAE7F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 工程量清单错误的修正</w:t>
      </w:r>
    </w:p>
    <w:p w14:paraId="1B87431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bCs/>
          <w:color w:val="auto"/>
          <w:szCs w:val="21"/>
          <w:highlight w:val="none"/>
        </w:rPr>
        <w:t>。</w:t>
      </w:r>
    </w:p>
    <w:p w14:paraId="45F0B65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bCs/>
          <w:color w:val="auto"/>
          <w:szCs w:val="21"/>
          <w:highlight w:val="none"/>
        </w:rPr>
        <w:t>。</w:t>
      </w:r>
    </w:p>
    <w:p w14:paraId="581D7473">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84" w:name="_Toc351203634"/>
      <w:bookmarkStart w:id="85" w:name="_Toc95223463"/>
      <w:r>
        <w:rPr>
          <w:rFonts w:hint="eastAsia" w:ascii="宋体" w:hAnsi="宋体" w:eastAsia="宋体" w:cs="宋体"/>
          <w:bCs/>
          <w:color w:val="auto"/>
          <w:sz w:val="21"/>
          <w:szCs w:val="21"/>
          <w:highlight w:val="none"/>
        </w:rPr>
        <w:t>2</w:t>
      </w:r>
      <w:bookmarkStart w:id="86" w:name="_Toc296891197"/>
      <w:bookmarkStart w:id="87" w:name="_Toc297120457"/>
      <w:bookmarkStart w:id="88" w:name="_Toc297048343"/>
      <w:bookmarkStart w:id="89" w:name="_Toc292559362"/>
      <w:bookmarkStart w:id="90" w:name="_Toc296347156"/>
      <w:bookmarkStart w:id="91" w:name="_Toc296346658"/>
      <w:bookmarkStart w:id="92" w:name="_Toc296944496"/>
      <w:bookmarkStart w:id="93" w:name="_Toc296503157"/>
      <w:bookmarkStart w:id="94" w:name="_Toc296890985"/>
      <w:bookmarkStart w:id="95" w:name="_Toc292559867"/>
      <w:r>
        <w:rPr>
          <w:rFonts w:hint="eastAsia" w:ascii="宋体" w:hAnsi="宋体" w:eastAsia="宋体" w:cs="宋体"/>
          <w:bCs/>
          <w:color w:val="auto"/>
          <w:sz w:val="21"/>
          <w:szCs w:val="21"/>
          <w:highlight w:val="none"/>
        </w:rPr>
        <w:t>. 发包人</w:t>
      </w:r>
      <w:bookmarkEnd w:id="84"/>
      <w:bookmarkEnd w:id="85"/>
    </w:p>
    <w:bookmarkEnd w:id="86"/>
    <w:bookmarkEnd w:id="87"/>
    <w:bookmarkEnd w:id="88"/>
    <w:bookmarkEnd w:id="89"/>
    <w:bookmarkEnd w:id="90"/>
    <w:bookmarkEnd w:id="91"/>
    <w:bookmarkEnd w:id="92"/>
    <w:bookmarkEnd w:id="93"/>
    <w:bookmarkEnd w:id="94"/>
    <w:bookmarkEnd w:id="95"/>
    <w:p w14:paraId="17E802F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 发包人代表</w:t>
      </w:r>
    </w:p>
    <w:p w14:paraId="3A5E9F5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1B5AF89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8714EB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40734A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代表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30F562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A984D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F68731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5DBB9E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 w:val="21"/>
          <w:szCs w:val="21"/>
          <w:highlight w:val="none"/>
          <w:u w:val="single"/>
        </w:rPr>
        <w:t>施工组织设计和总进度计划的审批权；工程变更、签证的确认权；发布开工令、停工令、复工令权；工程款的审查权和支付权；特殊及重要施工工艺和材料发包及指定分包权；建筑材料价格的确认权；合同的解释；等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FC561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 施工现场、施工条件和基础资料的提供</w:t>
      </w:r>
    </w:p>
    <w:p w14:paraId="4DEE9D2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78C12FF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lang w:val="en-US" w:eastAsia="zh-CN"/>
        </w:rPr>
        <w:t>开工前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DE303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61929CC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szCs w:val="21"/>
          <w:highlight w:val="none"/>
        </w:rPr>
        <w:t>。</w:t>
      </w:r>
    </w:p>
    <w:p w14:paraId="468EBC7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14:paraId="683C81F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及资金安排的期限要求：在取得施工许可证的3个月内办结工程款支付担保。施工单位在收到工程款支付担保后3日内将相关资料上传至项目所在地农民工工资支付监管平台，未按时按承诺提交工程款支付担保的工程建设项目，将视作建设资金未落实。</w:t>
      </w:r>
    </w:p>
    <w:p w14:paraId="49F364B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b w:val="0"/>
          <w:color w:val="auto"/>
          <w:szCs w:val="21"/>
          <w:highlight w:val="none"/>
        </w:rPr>
        <w:t>提供支付担保</w:t>
      </w:r>
      <w:r>
        <w:rPr>
          <w:rFonts w:hint="eastAsia" w:ascii="宋体" w:hAnsi="宋体" w:eastAsia="宋体" w:cs="宋体"/>
          <w:color w:val="auto"/>
          <w:szCs w:val="21"/>
          <w:highlight w:val="none"/>
        </w:rPr>
        <w:t>。</w:t>
      </w:r>
    </w:p>
    <w:p w14:paraId="051EC0E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支付担保的形式：工程款支付担保可以采用银行保函、保证保险、工程担保公司担保等方式。银行保函、保证保险和工程担保保单应当为不可撤销的保证。发包人应当向承包人提供签约合同价8%的工程款支付担保。</w:t>
      </w:r>
    </w:p>
    <w:p w14:paraId="2360E2E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30天，办理保函、保单延期手续。</w:t>
      </w:r>
    </w:p>
    <w:p w14:paraId="7F460A7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0C0ACA3D">
      <w:pPr>
        <w:keepNext w:val="0"/>
        <w:keepLines w:val="0"/>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在我省开展工程款支付担保业务的保证人应向有关主管部门提供担保凭证网络验证途径。</w:t>
      </w:r>
    </w:p>
    <w:p w14:paraId="1925696A">
      <w:pPr>
        <w:keepNext w:val="0"/>
        <w:keepLines w:val="0"/>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9"/>
        <w:rPr>
          <w:rFonts w:hint="eastAsia" w:ascii="宋体" w:hAnsi="宋体" w:eastAsia="宋体" w:cs="宋体"/>
          <w:bCs/>
          <w:color w:val="auto"/>
          <w:sz w:val="21"/>
          <w:szCs w:val="21"/>
          <w:highlight w:val="none"/>
        </w:rPr>
      </w:pPr>
      <w:bookmarkStart w:id="96" w:name="_Toc351203635"/>
      <w:bookmarkStart w:id="97" w:name="_Toc95223464"/>
      <w:r>
        <w:rPr>
          <w:rFonts w:hint="eastAsia" w:ascii="宋体" w:hAnsi="宋体" w:eastAsia="宋体" w:cs="宋体"/>
          <w:bCs w:val="0"/>
          <w:color w:val="auto"/>
          <w:sz w:val="21"/>
          <w:szCs w:val="21"/>
          <w:highlight w:val="none"/>
        </w:rPr>
        <w:t>3</w:t>
      </w:r>
      <w:bookmarkStart w:id="98" w:name="_Toc297048344"/>
      <w:bookmarkStart w:id="99" w:name="_Toc296503158"/>
      <w:bookmarkStart w:id="100" w:name="_Toc296891198"/>
      <w:bookmarkStart w:id="101" w:name="_Toc296346659"/>
      <w:bookmarkStart w:id="102" w:name="_Toc296347157"/>
      <w:bookmarkStart w:id="103" w:name="_Toc292559868"/>
      <w:bookmarkStart w:id="104" w:name="_Toc292559363"/>
      <w:bookmarkStart w:id="105" w:name="_Toc296944497"/>
      <w:bookmarkStart w:id="106" w:name="_Toc296890986"/>
      <w:bookmarkStart w:id="107" w:name="_Toc297120458"/>
      <w:r>
        <w:rPr>
          <w:rFonts w:hint="eastAsia" w:ascii="宋体" w:hAnsi="宋体" w:eastAsia="宋体" w:cs="宋体"/>
          <w:bCs w:val="0"/>
          <w:color w:val="auto"/>
          <w:sz w:val="21"/>
          <w:szCs w:val="21"/>
          <w:highlight w:val="none"/>
        </w:rPr>
        <w:t>. 承包</w:t>
      </w:r>
      <w:r>
        <w:rPr>
          <w:rFonts w:hint="eastAsia" w:ascii="宋体" w:hAnsi="宋体" w:eastAsia="宋体" w:cs="宋体"/>
          <w:bCs/>
          <w:color w:val="auto"/>
          <w:sz w:val="21"/>
          <w:szCs w:val="21"/>
          <w:highlight w:val="none"/>
        </w:rPr>
        <w:t>人</w:t>
      </w:r>
      <w:bookmarkEnd w:id="96"/>
      <w:bookmarkEnd w:id="97"/>
    </w:p>
    <w:bookmarkEnd w:id="98"/>
    <w:bookmarkEnd w:id="99"/>
    <w:bookmarkEnd w:id="100"/>
    <w:bookmarkEnd w:id="101"/>
    <w:bookmarkEnd w:id="102"/>
    <w:bookmarkEnd w:id="103"/>
    <w:bookmarkEnd w:id="104"/>
    <w:bookmarkEnd w:id="105"/>
    <w:bookmarkEnd w:id="106"/>
    <w:bookmarkEnd w:id="107"/>
    <w:p w14:paraId="3C800DE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 承包人的一般义务</w:t>
      </w:r>
    </w:p>
    <w:p w14:paraId="20EA2FC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按相关要求执行，包括但不限于竣工图、竣工报告、项目质检资料、结算资料等</w:t>
      </w:r>
      <w:r>
        <w:rPr>
          <w:rFonts w:hint="eastAsia" w:ascii="宋体" w:hAnsi="宋体" w:eastAsia="宋体" w:cs="宋体"/>
          <w:color w:val="auto"/>
          <w:szCs w:val="21"/>
          <w:highlight w:val="none"/>
        </w:rPr>
        <w:t>。</w:t>
      </w:r>
    </w:p>
    <w:p w14:paraId="0EE8CD4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 w:val="21"/>
          <w:szCs w:val="21"/>
          <w:highlight w:val="none"/>
          <w:u w:val="single"/>
        </w:rPr>
        <w:t>按市档案馆要求执行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p>
    <w:p w14:paraId="07E2885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承包人承担；建设工程电子档案、纸质档案等所有档案移交相关费用均由承包人承担 </w:t>
      </w:r>
      <w:r>
        <w:rPr>
          <w:rFonts w:hint="eastAsia" w:ascii="宋体" w:hAnsi="宋体" w:eastAsia="宋体" w:cs="宋体"/>
          <w:color w:val="auto"/>
          <w:szCs w:val="21"/>
          <w:highlight w:val="none"/>
        </w:rPr>
        <w:t>。</w:t>
      </w:r>
    </w:p>
    <w:p w14:paraId="502CDDA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工程竣工验收合格后</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个月内 </w:t>
      </w:r>
      <w:r>
        <w:rPr>
          <w:rFonts w:hint="eastAsia" w:ascii="宋体" w:hAnsi="宋体" w:eastAsia="宋体" w:cs="宋体"/>
          <w:color w:val="auto"/>
          <w:szCs w:val="21"/>
          <w:highlight w:val="none"/>
        </w:rPr>
        <w:t>。</w:t>
      </w:r>
    </w:p>
    <w:p w14:paraId="735F90D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 w:val="21"/>
          <w:szCs w:val="21"/>
          <w:highlight w:val="none"/>
          <w:u w:val="single"/>
        </w:rPr>
        <w:t>按市档案馆要求执行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0321E5B">
      <w:pPr>
        <w:pageBreakBefore w:val="0"/>
        <w:widowControl/>
        <w:numPr>
          <w:ilvl w:val="0"/>
          <w:numId w:val="1"/>
        </w:numPr>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承包人应履行的其他义务：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82148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 项目经理</w:t>
      </w:r>
    </w:p>
    <w:p w14:paraId="4FC5F1D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2562F57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96F1F9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DF2548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68241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609B5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0CF1C9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8EE3E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0D27C8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1E62D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C507F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 xml:space="preserve">按承包人书面授权书约定  </w:t>
      </w:r>
      <w:r>
        <w:rPr>
          <w:rFonts w:hint="eastAsia" w:ascii="宋体" w:hAnsi="宋体" w:eastAsia="宋体" w:cs="宋体"/>
          <w:color w:val="auto"/>
          <w:szCs w:val="21"/>
          <w:highlight w:val="none"/>
        </w:rPr>
        <w:t>。</w:t>
      </w:r>
    </w:p>
    <w:p w14:paraId="2CC4C2C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szCs w:val="21"/>
          <w:highlight w:val="none"/>
        </w:rPr>
        <w:t xml:space="preserve">。 </w:t>
      </w:r>
    </w:p>
    <w:p w14:paraId="38C8543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shd w:val="clear" w:color="auto" w:fill="auto"/>
        </w:rPr>
        <w:t>执行通用条款</w:t>
      </w:r>
      <w:r>
        <w:rPr>
          <w:rFonts w:hint="eastAsia" w:ascii="宋体" w:hAnsi="宋体" w:eastAsia="宋体" w:cs="宋体"/>
          <w:color w:val="auto"/>
          <w:kern w:val="0"/>
          <w:szCs w:val="21"/>
          <w:highlight w:val="none"/>
          <w:u w:val="single"/>
          <w:shd w:val="clear" w:color="auto" w:fill="auto"/>
          <w:lang w:eastAsia="zh-CN"/>
        </w:rPr>
        <w:t>，</w:t>
      </w:r>
      <w:r>
        <w:rPr>
          <w:rFonts w:hint="eastAsia" w:ascii="宋体" w:hAnsi="宋体" w:eastAsia="宋体" w:cs="宋体"/>
          <w:color w:val="auto"/>
          <w:kern w:val="0"/>
          <w:szCs w:val="21"/>
          <w:highlight w:val="none"/>
          <w:u w:val="single"/>
          <w:shd w:val="clear" w:color="auto" w:fill="auto"/>
        </w:rPr>
        <w:t>签订本合同前提供，资格审查时已提供的，不再重复提供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10B8A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承包人未能按照承诺到岗尽职的，发包人</w:t>
      </w:r>
      <w:r>
        <w:rPr>
          <w:rFonts w:hint="eastAsia" w:ascii="宋体" w:hAnsi="宋体" w:eastAsia="宋体" w:cs="宋体"/>
          <w:color w:val="auto"/>
          <w:kern w:val="0"/>
          <w:szCs w:val="21"/>
          <w:highlight w:val="none"/>
          <w:u w:val="single"/>
          <w:lang w:val="en-US" w:eastAsia="zh-CN"/>
        </w:rPr>
        <w:t>将处以1000元/次违约金（缴纳违约金后方可请款）</w:t>
      </w:r>
      <w:r>
        <w:rPr>
          <w:rFonts w:hint="eastAsia" w:ascii="宋体" w:hAnsi="宋体" w:eastAsia="宋体" w:cs="宋体"/>
          <w:color w:val="auto"/>
          <w:kern w:val="0"/>
          <w:szCs w:val="21"/>
          <w:highlight w:val="none"/>
          <w:u w:val="single"/>
        </w:rPr>
        <w:t>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eastAsia="宋体" w:cs="宋体"/>
          <w:color w:val="auto"/>
          <w:szCs w:val="21"/>
          <w:highlight w:val="none"/>
          <w:u w:val="single"/>
        </w:rPr>
        <w:t>。</w:t>
      </w:r>
    </w:p>
    <w:p w14:paraId="09BA3EF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shd w:val="clear" w:color="auto" w:fill="auto"/>
          <w:lang w:val="en-US"/>
        </w:rPr>
        <w:t>项目经理（建造师）变更按照《关于进一步加强建筑施工现场项目经理（建造师）变更行为管理的通知》（滁公管〔2020〕1号）规定，需经发包人以及公管、住建部门同意。技术负责人变更需经发包人同意。</w:t>
      </w:r>
      <w:r>
        <w:rPr>
          <w:rFonts w:hint="eastAsia" w:ascii="宋体" w:hAnsi="宋体" w:eastAsia="宋体" w:cs="宋体"/>
          <w:color w:val="auto"/>
          <w:szCs w:val="21"/>
          <w:highlight w:val="none"/>
          <w:u w:val="single"/>
          <w:shd w:val="clear" w:color="auto" w:fill="auto"/>
        </w:rPr>
        <w:t>变更后的项目负责人必须符合本项目</w:t>
      </w:r>
      <w:r>
        <w:rPr>
          <w:rFonts w:hint="eastAsia" w:ascii="宋体" w:hAnsi="宋体" w:eastAsia="宋体" w:cs="宋体"/>
          <w:color w:val="auto"/>
          <w:szCs w:val="21"/>
          <w:highlight w:val="none"/>
          <w:u w:val="single"/>
          <w:shd w:val="clear" w:color="auto" w:fill="auto"/>
          <w:lang w:val="en-US" w:eastAsia="zh-CN"/>
        </w:rPr>
        <w:t>选取</w:t>
      </w:r>
      <w:r>
        <w:rPr>
          <w:rFonts w:hint="eastAsia" w:ascii="宋体" w:hAnsi="宋体" w:eastAsia="宋体" w:cs="宋体"/>
          <w:color w:val="auto"/>
          <w:szCs w:val="21"/>
          <w:highlight w:val="none"/>
          <w:u w:val="single"/>
          <w:shd w:val="clear" w:color="auto" w:fill="auto"/>
        </w:rPr>
        <w:t>文件和</w:t>
      </w:r>
      <w:r>
        <w:rPr>
          <w:rFonts w:hint="eastAsia" w:ascii="宋体" w:hAnsi="宋体" w:eastAsia="宋体" w:cs="宋体"/>
          <w:color w:val="auto"/>
          <w:szCs w:val="21"/>
          <w:highlight w:val="none"/>
          <w:u w:val="single"/>
          <w:shd w:val="clear" w:color="auto" w:fill="auto"/>
          <w:lang w:val="en-US" w:eastAsia="zh-CN"/>
        </w:rPr>
        <w:t>响应</w:t>
      </w:r>
      <w:r>
        <w:rPr>
          <w:rFonts w:hint="eastAsia" w:ascii="宋体" w:hAnsi="宋体" w:eastAsia="宋体" w:cs="宋体"/>
          <w:color w:val="auto"/>
          <w:szCs w:val="21"/>
          <w:highlight w:val="none"/>
          <w:u w:val="single"/>
          <w:shd w:val="clear" w:color="auto" w:fill="auto"/>
        </w:rPr>
        <w:t>承诺配备的同等条件人员</w:t>
      </w:r>
      <w:r>
        <w:rPr>
          <w:rFonts w:hint="eastAsia" w:ascii="宋体" w:hAnsi="宋体" w:eastAsia="宋体" w:cs="宋体"/>
          <w:color w:val="auto"/>
          <w:szCs w:val="21"/>
          <w:highlight w:val="none"/>
          <w:u w:val="single"/>
        </w:rPr>
        <w:t>。</w:t>
      </w:r>
    </w:p>
    <w:p w14:paraId="4ED7B4D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承包方</w:t>
      </w:r>
      <w:r>
        <w:rPr>
          <w:rFonts w:hint="eastAsia" w:ascii="宋体" w:hAnsi="宋体" w:eastAsia="宋体" w:cs="宋体"/>
          <w:color w:val="auto"/>
          <w:szCs w:val="21"/>
          <w:highlight w:val="none"/>
          <w:u w:val="single"/>
          <w:lang w:eastAsia="zh-CN"/>
        </w:rPr>
        <w:t>项目经理</w:t>
      </w:r>
      <w:r>
        <w:rPr>
          <w:rFonts w:hint="eastAsia" w:ascii="宋体" w:hAnsi="宋体" w:eastAsia="宋体" w:cs="宋体"/>
          <w:color w:val="auto"/>
          <w:szCs w:val="21"/>
          <w:highlight w:val="none"/>
          <w:u w:val="single"/>
        </w:rPr>
        <w:t>的工作不能符合发包人、监理工程师的要</w:t>
      </w:r>
      <w:r>
        <w:rPr>
          <w:rFonts w:hint="eastAsia" w:ascii="宋体" w:hAnsi="宋体" w:eastAsia="宋体" w:cs="宋体"/>
          <w:color w:val="auto"/>
          <w:szCs w:val="21"/>
          <w:highlight w:val="none"/>
          <w:u w:val="single"/>
          <w:lang w:val="en-US" w:eastAsia="zh-CN"/>
        </w:rPr>
        <w:t>求或</w:t>
      </w:r>
      <w:r>
        <w:rPr>
          <w:rFonts w:hint="eastAsia" w:ascii="宋体" w:hAnsi="宋体" w:eastAsia="宋体" w:cs="宋体"/>
          <w:color w:val="auto"/>
          <w:szCs w:val="21"/>
          <w:highlight w:val="none"/>
          <w:u w:val="single"/>
        </w:rPr>
        <w:t>不满足岗位管理水平及技术水平等原因要求时，发包人</w:t>
      </w:r>
      <w:r>
        <w:rPr>
          <w:rFonts w:hint="eastAsia" w:ascii="宋体" w:hAnsi="宋体" w:eastAsia="宋体" w:cs="宋体"/>
          <w:color w:val="auto"/>
          <w:szCs w:val="21"/>
          <w:highlight w:val="none"/>
          <w:u w:val="single"/>
          <w:lang w:val="en-US" w:eastAsia="zh-CN"/>
        </w:rPr>
        <w:t>有权</w:t>
      </w:r>
      <w:r>
        <w:rPr>
          <w:rFonts w:hint="eastAsia" w:ascii="宋体" w:hAnsi="宋体" w:eastAsia="宋体" w:cs="宋体"/>
          <w:color w:val="auto"/>
          <w:szCs w:val="21"/>
          <w:highlight w:val="none"/>
          <w:u w:val="single"/>
        </w:rPr>
        <w:t>要求承包方更换</w:t>
      </w:r>
      <w:r>
        <w:rPr>
          <w:rFonts w:hint="eastAsia" w:ascii="宋体" w:hAnsi="宋体" w:eastAsia="宋体" w:cs="宋体"/>
          <w:color w:val="auto"/>
          <w:szCs w:val="21"/>
          <w:highlight w:val="none"/>
          <w:u w:val="single"/>
          <w:lang w:eastAsia="zh-CN"/>
        </w:rPr>
        <w:t>项目经理</w:t>
      </w:r>
      <w:r>
        <w:rPr>
          <w:rFonts w:hint="eastAsia" w:ascii="宋体" w:hAnsi="宋体" w:eastAsia="宋体" w:cs="宋体"/>
          <w:color w:val="auto"/>
          <w:szCs w:val="21"/>
          <w:highlight w:val="none"/>
          <w:u w:val="single"/>
        </w:rPr>
        <w:t>，并给以承包人15日的宽限期，以便承包人物色并更换新的项目</w:t>
      </w:r>
      <w:r>
        <w:rPr>
          <w:rFonts w:hint="eastAsia" w:ascii="宋体" w:hAnsi="宋体" w:eastAsia="宋体" w:cs="宋体"/>
          <w:color w:val="auto"/>
          <w:szCs w:val="21"/>
          <w:highlight w:val="none"/>
          <w:u w:val="single"/>
          <w:lang w:eastAsia="zh-CN"/>
        </w:rPr>
        <w:t>经理，</w:t>
      </w:r>
      <w:r>
        <w:rPr>
          <w:rFonts w:hint="eastAsia" w:ascii="宋体" w:hAnsi="宋体" w:eastAsia="宋体" w:cs="宋体"/>
          <w:color w:val="auto"/>
          <w:szCs w:val="21"/>
          <w:highlight w:val="none"/>
          <w:u w:val="single"/>
        </w:rPr>
        <w:t>更换后人员不得低于</w:t>
      </w:r>
      <w:r>
        <w:rPr>
          <w:rFonts w:hint="eastAsia" w:ascii="宋体" w:hAnsi="宋体" w:eastAsia="宋体" w:cs="宋体"/>
          <w:color w:val="auto"/>
          <w:szCs w:val="21"/>
          <w:highlight w:val="none"/>
          <w:u w:val="single"/>
          <w:lang w:val="en-US" w:eastAsia="zh-CN"/>
        </w:rPr>
        <w:t>变更前所</w:t>
      </w:r>
      <w:r>
        <w:rPr>
          <w:rFonts w:hint="eastAsia" w:ascii="宋体" w:hAnsi="宋体" w:eastAsia="宋体" w:cs="宋体"/>
          <w:color w:val="auto"/>
          <w:szCs w:val="21"/>
          <w:highlight w:val="none"/>
          <w:u w:val="single"/>
        </w:rPr>
        <w:t>报人员资质</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业绩经验等</w:t>
      </w:r>
      <w:r>
        <w:rPr>
          <w:rFonts w:hint="eastAsia" w:ascii="宋体" w:hAnsi="宋体" w:eastAsia="宋体" w:cs="宋体"/>
          <w:color w:val="auto"/>
          <w:szCs w:val="21"/>
          <w:highlight w:val="none"/>
          <w:u w:val="single"/>
        </w:rPr>
        <w:t>，并经发包人书面认可，同时发包人对承包人处以人民币</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u w:val="single"/>
        </w:rPr>
        <w:t>元违约金/人.次。承包人无正当理由拒绝</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未能更换项目</w:t>
      </w:r>
      <w:r>
        <w:rPr>
          <w:rFonts w:hint="eastAsia" w:ascii="宋体" w:hAnsi="宋体" w:eastAsia="宋体" w:cs="宋体"/>
          <w:color w:val="auto"/>
          <w:szCs w:val="21"/>
          <w:highlight w:val="none"/>
          <w:u w:val="single"/>
          <w:lang w:eastAsia="zh-CN"/>
        </w:rPr>
        <w:t>经理</w:t>
      </w:r>
      <w:r>
        <w:rPr>
          <w:rFonts w:hint="eastAsia" w:ascii="宋体" w:hAnsi="宋体" w:eastAsia="宋体" w:cs="宋体"/>
          <w:color w:val="auto"/>
          <w:szCs w:val="21"/>
          <w:highlight w:val="none"/>
          <w:u w:val="single"/>
        </w:rPr>
        <w:t>的，自承包人接到发包人更换项目</w:t>
      </w:r>
      <w:r>
        <w:rPr>
          <w:rFonts w:hint="eastAsia" w:ascii="宋体" w:hAnsi="宋体" w:eastAsia="宋体" w:cs="宋体"/>
          <w:color w:val="auto"/>
          <w:szCs w:val="21"/>
          <w:highlight w:val="none"/>
          <w:u w:val="single"/>
          <w:lang w:eastAsia="zh-CN"/>
        </w:rPr>
        <w:t>经理</w:t>
      </w:r>
      <w:r>
        <w:rPr>
          <w:rFonts w:hint="eastAsia" w:ascii="宋体" w:hAnsi="宋体" w:eastAsia="宋体" w:cs="宋体"/>
          <w:color w:val="auto"/>
          <w:szCs w:val="21"/>
          <w:highlight w:val="none"/>
          <w:u w:val="single"/>
        </w:rPr>
        <w:t>通知之第16日起，承包人向发包人支付违约金</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u w:val="single"/>
        </w:rPr>
        <w:t>元/天，直至更换符合发包人要求的项目</w:t>
      </w:r>
      <w:r>
        <w:rPr>
          <w:rFonts w:hint="eastAsia" w:ascii="宋体" w:hAnsi="宋体" w:eastAsia="宋体" w:cs="宋体"/>
          <w:color w:val="auto"/>
          <w:szCs w:val="21"/>
          <w:highlight w:val="none"/>
          <w:u w:val="single"/>
          <w:lang w:eastAsia="zh-CN"/>
        </w:rPr>
        <w:t>经理</w:t>
      </w:r>
      <w:r>
        <w:rPr>
          <w:rFonts w:hint="eastAsia" w:ascii="宋体" w:hAnsi="宋体" w:eastAsia="宋体" w:cs="宋体"/>
          <w:color w:val="auto"/>
          <w:szCs w:val="21"/>
          <w:highlight w:val="none"/>
          <w:u w:val="single"/>
        </w:rPr>
        <w:t xml:space="preserve">为止，由此增加的费用和（或）延误的工期及其它责任由承包人承担 </w:t>
      </w:r>
      <w:r>
        <w:rPr>
          <w:rFonts w:hint="eastAsia" w:ascii="宋体" w:hAnsi="宋体" w:eastAsia="宋体" w:cs="宋体"/>
          <w:color w:val="auto"/>
          <w:szCs w:val="21"/>
          <w:highlight w:val="none"/>
        </w:rPr>
        <w:t>。</w:t>
      </w:r>
    </w:p>
    <w:p w14:paraId="14E4757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 承包人人员</w:t>
      </w:r>
    </w:p>
    <w:p w14:paraId="03BF97F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color w:val="auto"/>
          <w:szCs w:val="21"/>
          <w:highlight w:val="none"/>
          <w:u w:val="single"/>
          <w:shd w:val="clear" w:color="auto" w:fill="auto"/>
          <w:lang w:val="en-US" w:eastAsia="zh-CN"/>
        </w:rPr>
        <w:t xml:space="preserve">  /  </w:t>
      </w:r>
      <w:r>
        <w:rPr>
          <w:rFonts w:hint="eastAsia" w:ascii="宋体" w:hAnsi="宋体" w:eastAsia="宋体" w:cs="宋体"/>
          <w:bCs/>
          <w:color w:val="auto"/>
          <w:spacing w:val="-7"/>
          <w:sz w:val="21"/>
          <w:szCs w:val="21"/>
          <w:highlight w:val="none"/>
          <w:u w:val="single"/>
          <w:lang w:eastAsia="zh-CN"/>
        </w:rPr>
        <w:t>。</w:t>
      </w:r>
    </w:p>
    <w:p w14:paraId="00E7416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3.3.3 承包人无正当理由拒绝撤换主要施工管理人员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指除项目经理和技术负责人外其他人员，下同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的违约责任：</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在开工时或施工过程中擅自变更主要施工管理人员的，</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有权对</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处以每人次</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u w:val="single"/>
        </w:rPr>
        <w:t>元人民币的违约金，</w:t>
      </w:r>
      <w:r>
        <w:rPr>
          <w:rFonts w:hint="eastAsia" w:ascii="宋体" w:hAnsi="宋体" w:eastAsia="宋体" w:cs="宋体"/>
          <w:color w:val="auto"/>
          <w:szCs w:val="21"/>
          <w:highlight w:val="none"/>
          <w:u w:val="single"/>
          <w:lang w:val="en-US" w:eastAsia="zh-CN"/>
        </w:rPr>
        <w:t>发生2次以上（含本数）前述情形，发包人可以</w:t>
      </w:r>
      <w:r>
        <w:rPr>
          <w:rFonts w:hint="eastAsia" w:ascii="宋体" w:hAnsi="宋体" w:eastAsia="宋体" w:cs="宋体"/>
          <w:color w:val="auto"/>
          <w:szCs w:val="21"/>
          <w:highlight w:val="none"/>
          <w:u w:val="single"/>
        </w:rPr>
        <w:t>解除合同，并追究由此带来的</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的一切</w:t>
      </w:r>
      <w:r>
        <w:rPr>
          <w:rFonts w:hint="eastAsia" w:ascii="宋体" w:hAnsi="宋体" w:eastAsia="宋体" w:cs="宋体"/>
          <w:color w:val="auto"/>
          <w:szCs w:val="21"/>
          <w:highlight w:val="none"/>
          <w:u w:val="single"/>
          <w:lang w:val="en-US" w:eastAsia="zh-CN"/>
        </w:rPr>
        <w:t>损失</w:t>
      </w:r>
      <w:r>
        <w:rPr>
          <w:rFonts w:hint="eastAsia" w:ascii="宋体" w:hAnsi="宋体" w:eastAsia="宋体" w:cs="宋体"/>
          <w:color w:val="auto"/>
          <w:szCs w:val="21"/>
          <w:highlight w:val="none"/>
          <w:u w:val="single"/>
        </w:rPr>
        <w:t>。</w:t>
      </w:r>
    </w:p>
    <w:p w14:paraId="6B61B4D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shd w:val="clear" w:color="auto" w:fill="auto"/>
        </w:rPr>
        <w:t>需离开时必须事先征得发包人和监理人同意后方可离开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D5351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 承包人擅自更换主要施工管理人员的违约责任：</w:t>
      </w:r>
      <w:r>
        <w:rPr>
          <w:rFonts w:hint="eastAsia" w:ascii="宋体" w:hAnsi="宋体" w:eastAsia="宋体" w:cs="宋体"/>
          <w:bCs/>
          <w:color w:val="auto"/>
          <w:sz w:val="21"/>
          <w:szCs w:val="21"/>
          <w:highlight w:val="none"/>
          <w:u w:val="single"/>
        </w:rPr>
        <w:t>技术负责人、项目部“五大员”等关键岗位人员变更必须经发包人批准，</w:t>
      </w:r>
      <w:r>
        <w:rPr>
          <w:rFonts w:hint="eastAsia" w:ascii="宋体" w:hAnsi="宋体" w:eastAsia="宋体" w:cs="宋体"/>
          <w:bCs/>
          <w:color w:val="auto"/>
          <w:sz w:val="21"/>
          <w:szCs w:val="21"/>
          <w:highlight w:val="none"/>
          <w:u w:val="single"/>
          <w:lang w:val="en-US" w:eastAsia="zh-CN"/>
        </w:rPr>
        <w:t>还</w:t>
      </w:r>
      <w:r>
        <w:rPr>
          <w:rFonts w:hint="eastAsia" w:ascii="宋体" w:hAnsi="宋体" w:eastAsia="宋体" w:cs="宋体"/>
          <w:bCs/>
          <w:color w:val="auto"/>
          <w:sz w:val="21"/>
          <w:szCs w:val="21"/>
          <w:highlight w:val="none"/>
          <w:u w:val="single"/>
        </w:rPr>
        <w:t>须缴纳</w:t>
      </w:r>
      <w:r>
        <w:rPr>
          <w:rFonts w:hint="eastAsia" w:ascii="宋体" w:hAnsi="宋体" w:eastAsia="宋体" w:cs="宋体"/>
          <w:bCs/>
          <w:color w:val="auto"/>
          <w:sz w:val="21"/>
          <w:szCs w:val="21"/>
          <w:highlight w:val="none"/>
          <w:u w:val="single"/>
          <w:lang w:val="en-US" w:eastAsia="zh-CN"/>
        </w:rPr>
        <w:t>500</w:t>
      </w:r>
      <w:r>
        <w:rPr>
          <w:rFonts w:hint="eastAsia" w:ascii="宋体" w:hAnsi="宋体" w:eastAsia="宋体" w:cs="宋体"/>
          <w:bCs/>
          <w:color w:val="auto"/>
          <w:sz w:val="21"/>
          <w:szCs w:val="21"/>
          <w:highlight w:val="none"/>
          <w:u w:val="single"/>
        </w:rPr>
        <w:t>元/人违约金，否则不得变更。变更后的技术负责人、项目部“五大员”等关键岗位人员必须符合本项目</w:t>
      </w:r>
      <w:r>
        <w:rPr>
          <w:rFonts w:hint="eastAsia" w:ascii="宋体" w:hAnsi="宋体" w:eastAsia="宋体" w:cs="宋体"/>
          <w:bCs/>
          <w:color w:val="auto"/>
          <w:sz w:val="21"/>
          <w:szCs w:val="21"/>
          <w:highlight w:val="none"/>
          <w:u w:val="single"/>
          <w:lang w:val="en-US" w:eastAsia="zh-CN"/>
        </w:rPr>
        <w:t>选取</w:t>
      </w:r>
      <w:r>
        <w:rPr>
          <w:rFonts w:hint="eastAsia" w:ascii="宋体" w:hAnsi="宋体" w:eastAsia="宋体" w:cs="宋体"/>
          <w:bCs/>
          <w:color w:val="auto"/>
          <w:sz w:val="21"/>
          <w:szCs w:val="21"/>
          <w:highlight w:val="none"/>
          <w:u w:val="single"/>
        </w:rPr>
        <w:t>文件和</w:t>
      </w:r>
      <w:r>
        <w:rPr>
          <w:rFonts w:hint="eastAsia" w:ascii="宋体" w:hAnsi="宋体" w:eastAsia="宋体" w:cs="宋体"/>
          <w:bCs/>
          <w:color w:val="auto"/>
          <w:sz w:val="21"/>
          <w:szCs w:val="21"/>
          <w:highlight w:val="none"/>
          <w:u w:val="single"/>
          <w:lang w:val="en-US" w:eastAsia="zh-CN"/>
        </w:rPr>
        <w:t>响应</w:t>
      </w:r>
      <w:r>
        <w:rPr>
          <w:rFonts w:hint="eastAsia" w:ascii="宋体" w:hAnsi="宋体" w:eastAsia="宋体" w:cs="宋体"/>
          <w:bCs/>
          <w:color w:val="auto"/>
          <w:sz w:val="21"/>
          <w:szCs w:val="21"/>
          <w:highlight w:val="none"/>
          <w:u w:val="single"/>
        </w:rPr>
        <w:t>承诺配备的同等条件人员</w:t>
      </w:r>
      <w:r>
        <w:rPr>
          <w:rFonts w:hint="eastAsia" w:ascii="宋体" w:hAnsi="宋体" w:eastAsia="宋体" w:cs="宋体"/>
          <w:color w:val="auto"/>
          <w:szCs w:val="21"/>
          <w:highlight w:val="none"/>
          <w:u w:val="none"/>
        </w:rPr>
        <w:t>。</w:t>
      </w:r>
    </w:p>
    <w:p w14:paraId="0701DEB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shd w:val="clear" w:color="auto" w:fill="auto"/>
        </w:rPr>
        <w:t>对未按规定在岗履责擅自离开施工现场的技术负责人处以</w:t>
      </w:r>
      <w:r>
        <w:rPr>
          <w:rFonts w:hint="eastAsia" w:ascii="宋体" w:hAnsi="宋体" w:eastAsia="宋体" w:cs="宋体"/>
          <w:color w:val="auto"/>
          <w:szCs w:val="21"/>
          <w:highlight w:val="none"/>
          <w:u w:val="single"/>
          <w:shd w:val="clear" w:color="auto" w:fill="auto"/>
          <w:lang w:val="en-US" w:eastAsia="zh-CN"/>
        </w:rPr>
        <w:t>500</w:t>
      </w:r>
      <w:r>
        <w:rPr>
          <w:rFonts w:hint="eastAsia" w:ascii="宋体" w:hAnsi="宋体" w:eastAsia="宋体" w:cs="宋体"/>
          <w:color w:val="auto"/>
          <w:szCs w:val="21"/>
          <w:highlight w:val="none"/>
          <w:u w:val="single"/>
          <w:shd w:val="clear" w:color="auto" w:fill="auto"/>
        </w:rPr>
        <w:t>元/人·天的违约金</w:t>
      </w:r>
      <w:r>
        <w:rPr>
          <w:rFonts w:hint="eastAsia" w:ascii="宋体" w:hAnsi="宋体" w:eastAsia="宋体" w:cs="宋体"/>
          <w:color w:val="auto"/>
          <w:szCs w:val="21"/>
          <w:highlight w:val="none"/>
          <w:u w:val="single"/>
          <w:shd w:val="clear" w:color="auto" w:fill="auto"/>
          <w:lang w:eastAsia="zh-CN"/>
        </w:rPr>
        <w:t>；</w:t>
      </w:r>
      <w:r>
        <w:rPr>
          <w:rFonts w:hint="eastAsia" w:ascii="宋体" w:hAnsi="宋体" w:eastAsia="宋体" w:cs="宋体"/>
          <w:color w:val="auto"/>
          <w:szCs w:val="21"/>
          <w:highlight w:val="none"/>
          <w:u w:val="single"/>
          <w:shd w:val="clear" w:color="auto" w:fill="auto"/>
        </w:rPr>
        <w:t>对项目负责人和技术负责外</w:t>
      </w:r>
      <w:r>
        <w:rPr>
          <w:rFonts w:hint="eastAsia" w:ascii="宋体" w:hAnsi="宋体" w:eastAsia="宋体" w:cs="宋体"/>
          <w:color w:val="auto"/>
          <w:szCs w:val="21"/>
          <w:highlight w:val="none"/>
          <w:u w:val="single"/>
          <w:shd w:val="clear" w:color="auto" w:fill="auto"/>
          <w:lang w:val="en-US" w:eastAsia="zh-CN"/>
        </w:rPr>
        <w:t>人</w:t>
      </w:r>
      <w:r>
        <w:rPr>
          <w:rFonts w:hint="eastAsia" w:ascii="宋体" w:hAnsi="宋体" w:eastAsia="宋体" w:cs="宋体"/>
          <w:color w:val="auto"/>
          <w:szCs w:val="21"/>
          <w:highlight w:val="none"/>
          <w:u w:val="single"/>
          <w:shd w:val="clear" w:color="auto" w:fill="auto"/>
        </w:rPr>
        <w:t>以外的其他管理人员擅自离开施工现场的，处以每人每次</w:t>
      </w:r>
      <w:r>
        <w:rPr>
          <w:rFonts w:hint="eastAsia" w:ascii="宋体" w:hAnsi="宋体" w:eastAsia="宋体" w:cs="宋体"/>
          <w:color w:val="auto"/>
          <w:szCs w:val="21"/>
          <w:highlight w:val="none"/>
          <w:u w:val="single"/>
          <w:shd w:val="clear" w:color="auto" w:fill="auto"/>
          <w:lang w:val="en-US" w:eastAsia="zh-CN"/>
        </w:rPr>
        <w:t>300</w:t>
      </w:r>
      <w:r>
        <w:rPr>
          <w:rFonts w:hint="eastAsia" w:ascii="宋体" w:hAnsi="宋体" w:eastAsia="宋体" w:cs="宋体"/>
          <w:color w:val="auto"/>
          <w:szCs w:val="21"/>
          <w:highlight w:val="none"/>
          <w:u w:val="single"/>
          <w:shd w:val="clear" w:color="auto" w:fill="auto"/>
        </w:rPr>
        <w:t>元违约金，缴纳违约金后方可请款</w:t>
      </w:r>
      <w:r>
        <w:rPr>
          <w:rFonts w:hint="eastAsia" w:ascii="宋体" w:hAnsi="宋体" w:eastAsia="宋体" w:cs="宋体"/>
          <w:color w:val="auto"/>
          <w:szCs w:val="21"/>
          <w:highlight w:val="none"/>
        </w:rPr>
        <w:t>。</w:t>
      </w:r>
    </w:p>
    <w:p w14:paraId="09B1401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bookmarkStart w:id="108" w:name="_Toc297120459"/>
      <w:bookmarkStart w:id="109" w:name="_Toc296503159"/>
      <w:bookmarkStart w:id="110" w:name="_Toc304295523"/>
      <w:bookmarkStart w:id="111" w:name="_Toc292559869"/>
      <w:bookmarkStart w:id="112" w:name="_Toc296347158"/>
      <w:bookmarkStart w:id="113" w:name="_Toc303539102"/>
      <w:bookmarkStart w:id="114" w:name="_Toc312677988"/>
      <w:bookmarkStart w:id="115" w:name="_Toc297216151"/>
      <w:bookmarkStart w:id="116" w:name="_Toc296346660"/>
      <w:bookmarkStart w:id="117" w:name="_Toc296944498"/>
      <w:bookmarkStart w:id="118" w:name="_Toc297048345"/>
      <w:bookmarkStart w:id="119" w:name="_Toc300934945"/>
      <w:bookmarkStart w:id="120" w:name="_Toc297123492"/>
      <w:bookmarkStart w:id="121" w:name="_Toc292559364"/>
      <w:bookmarkStart w:id="122" w:name="_Toc296890987"/>
      <w:bookmarkStart w:id="123" w:name="_Toc296891199"/>
      <w:r>
        <w:rPr>
          <w:rFonts w:hint="eastAsia" w:ascii="宋体" w:hAnsi="宋体" w:eastAsia="宋体" w:cs="宋体"/>
          <w:bCs/>
          <w:color w:val="auto"/>
          <w:szCs w:val="21"/>
          <w:highlight w:val="non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2D9C088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124" w:name="_Toc300934946"/>
      <w:bookmarkStart w:id="125" w:name="_Toc297216152"/>
      <w:bookmarkStart w:id="126" w:name="_Toc296891200"/>
      <w:bookmarkStart w:id="127" w:name="_Toc292559870"/>
      <w:bookmarkStart w:id="128" w:name="_Toc297120460"/>
      <w:bookmarkStart w:id="129" w:name="_Toc297048346"/>
      <w:bookmarkStart w:id="130" w:name="_Toc296944499"/>
      <w:bookmarkStart w:id="131" w:name="_Toc296503160"/>
      <w:bookmarkStart w:id="132" w:name="_Toc304295524"/>
      <w:bookmarkStart w:id="133" w:name="_Toc296890988"/>
      <w:bookmarkStart w:id="134" w:name="_Toc297123493"/>
      <w:bookmarkStart w:id="135" w:name="_Toc303539103"/>
      <w:bookmarkStart w:id="136" w:name="_Toc296347159"/>
      <w:bookmarkStart w:id="137" w:name="_Toc296346661"/>
      <w:bookmarkStart w:id="138" w:name="_Toc292559365"/>
      <w:bookmarkStart w:id="139" w:name="_Toc312677989"/>
      <w:bookmarkStart w:id="140" w:name="_Toc318581158"/>
      <w:r>
        <w:rPr>
          <w:rFonts w:hint="eastAsia" w:ascii="宋体" w:hAnsi="宋体" w:eastAsia="宋体" w:cs="宋体"/>
          <w:color w:val="auto"/>
          <w:szCs w:val="21"/>
          <w:highlight w:val="none"/>
        </w:rPr>
        <w:t>.5.1分包的一般约定</w:t>
      </w:r>
    </w:p>
    <w:p w14:paraId="30B379B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本项目</w:t>
      </w:r>
      <w:r>
        <w:rPr>
          <w:rFonts w:hint="eastAsia" w:ascii="宋体" w:hAnsi="宋体" w:eastAsia="宋体" w:cs="宋体"/>
          <w:color w:val="auto"/>
          <w:szCs w:val="21"/>
          <w:highlight w:val="none"/>
          <w:u w:val="single"/>
          <w:lang w:val="en-US" w:eastAsia="zh-CN"/>
        </w:rPr>
        <w:t>所有内容</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rPr>
        <w:t>。</w:t>
      </w:r>
    </w:p>
    <w:p w14:paraId="7321D24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1" w:name="_Toc296347160"/>
      <w:bookmarkStart w:id="142" w:name="_Toc297120461"/>
      <w:bookmarkStart w:id="143" w:name="_Toc300934947"/>
      <w:bookmarkStart w:id="144" w:name="_Toc303539104"/>
      <w:bookmarkStart w:id="145" w:name="_Toc296891201"/>
      <w:bookmarkStart w:id="146" w:name="_Toc296346662"/>
      <w:bookmarkStart w:id="147" w:name="_Toc304295525"/>
      <w:bookmarkStart w:id="148" w:name="_Toc297048347"/>
      <w:bookmarkStart w:id="149" w:name="_Toc296503161"/>
      <w:bookmarkStart w:id="150" w:name="_Toc296890989"/>
      <w:bookmarkStart w:id="151" w:name="_Toc296944500"/>
      <w:bookmarkStart w:id="152" w:name="_Toc297216153"/>
      <w:bookmarkStart w:id="153" w:name="_Toc297123494"/>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4CC3A36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154" w:name="_Toc318581159"/>
      <w:bookmarkStart w:id="155" w:name="_Toc312677990"/>
      <w:r>
        <w:rPr>
          <w:rFonts w:hint="eastAsia" w:ascii="宋体" w:hAnsi="宋体" w:eastAsia="宋体" w:cs="宋体"/>
          <w:color w:val="auto"/>
          <w:szCs w:val="21"/>
          <w:highlight w:val="none"/>
        </w:rPr>
        <w:t>.5.2 分包的确定</w:t>
      </w:r>
    </w:p>
    <w:p w14:paraId="01EB8D0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2F743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承包人不得以劳务分包的名义转包或分包工程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B7CF8E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0AE2E8D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承包人支付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54"/>
    <w:bookmarkEnd w:id="155"/>
    <w:p w14:paraId="5518D5C2">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 工程照管与成品、半成品保护</w:t>
      </w:r>
    </w:p>
    <w:p w14:paraId="267128B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szCs w:val="21"/>
          <w:highlight w:val="none"/>
          <w:u w:val="single"/>
        </w:rPr>
        <w:t>自发包人向承包人移交施工现场之日起，承包人应负责照管工程及工程相关的材料、工程设备，直到颁发工程接收证书之日止。</w:t>
      </w:r>
    </w:p>
    <w:p w14:paraId="3BC5CEB3">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 履约保证金</w:t>
      </w:r>
    </w:p>
    <w:p w14:paraId="466F7748">
      <w:pPr>
        <w:keepNext w:val="0"/>
        <w:keepLines w:val="0"/>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承包人是否提供履约保证金：</w:t>
      </w:r>
      <w:r>
        <w:rPr>
          <w:rFonts w:hint="eastAsia" w:ascii="宋体" w:hAnsi="宋体" w:cs="宋体"/>
          <w:color w:val="auto"/>
          <w:szCs w:val="21"/>
          <w:highlight w:val="none"/>
          <w:u w:val="single"/>
          <w:lang w:val="en-US" w:eastAsia="zh-CN"/>
        </w:rPr>
        <w:t>要求提供，金额为</w:t>
      </w:r>
      <w:r>
        <w:rPr>
          <w:rFonts w:hint="eastAsia" w:ascii="宋体" w:hAnsi="宋体" w:eastAsia="宋体" w:cs="宋体"/>
          <w:color w:val="auto"/>
          <w:sz w:val="21"/>
          <w:szCs w:val="21"/>
          <w:highlight w:val="none"/>
          <w:u w:val="single"/>
          <w:lang w:eastAsia="zh-CN"/>
        </w:rPr>
        <w:t xml:space="preserve">中标合同金额×2% </w:t>
      </w:r>
      <w:r>
        <w:rPr>
          <w:rFonts w:hint="eastAsia" w:ascii="宋体" w:hAnsi="宋体" w:eastAsia="宋体" w:cs="宋体"/>
          <w:color w:val="auto"/>
          <w:szCs w:val="21"/>
          <w:highlight w:val="none"/>
          <w:u w:val="single"/>
        </w:rPr>
        <w:t>。</w:t>
      </w:r>
    </w:p>
    <w:p w14:paraId="3F657B8C">
      <w:pPr>
        <w:keepNext w:val="0"/>
        <w:keepLines w:val="0"/>
        <w:pageBreakBefore w:val="0"/>
        <w:widowControl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承包人提供履约保证金的形式：</w:t>
      </w:r>
      <w:r>
        <w:rPr>
          <w:rFonts w:hint="eastAsia" w:ascii="宋体" w:hAnsi="宋体" w:eastAsia="宋体" w:cs="宋体"/>
          <w:color w:val="auto"/>
          <w:sz w:val="21"/>
          <w:szCs w:val="21"/>
          <w:highlight w:val="none"/>
          <w:u w:val="single"/>
          <w:lang w:eastAsia="zh-CN"/>
        </w:rPr>
        <w:t>支持银行转账、银行电汇、银行保函、担保机构担保、保证保险使用。</w:t>
      </w:r>
    </w:p>
    <w:p w14:paraId="43D25A61">
      <w:pPr>
        <w:keepNext w:val="0"/>
        <w:keepLines w:val="0"/>
        <w:pageBreakBefore w:val="0"/>
        <w:widowControl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履约保证金提交期限的要求：</w:t>
      </w:r>
      <w:r>
        <w:rPr>
          <w:rFonts w:hint="eastAsia" w:ascii="宋体" w:hAnsi="宋体" w:eastAsia="宋体" w:cs="宋体"/>
          <w:color w:val="auto"/>
          <w:sz w:val="21"/>
          <w:szCs w:val="21"/>
          <w:highlight w:val="none"/>
          <w:u w:val="single"/>
          <w:lang w:eastAsia="zh-CN"/>
        </w:rPr>
        <w:t>签订合同前缴纳</w:t>
      </w:r>
      <w:r>
        <w:rPr>
          <w:rFonts w:hint="eastAsia" w:ascii="宋体" w:hAnsi="宋体" w:eastAsia="宋体" w:cs="宋体"/>
          <w:color w:val="auto"/>
          <w:szCs w:val="21"/>
          <w:highlight w:val="none"/>
        </w:rPr>
        <w:t xml:space="preserve"> </w:t>
      </w:r>
    </w:p>
    <w:p w14:paraId="46630E2D">
      <w:pPr>
        <w:keepNext w:val="0"/>
        <w:keepLines w:val="0"/>
        <w:pageBreakBefore w:val="0"/>
        <w:widowControl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履约保证金退还时限：</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竣工验收合格后15日内一次性退还。</w:t>
      </w:r>
    </w:p>
    <w:p w14:paraId="22287202">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156" w:name="_Toc95223465"/>
      <w:bookmarkStart w:id="157" w:name="_Toc351203636"/>
      <w:r>
        <w:rPr>
          <w:rFonts w:hint="eastAsia" w:ascii="宋体" w:hAnsi="宋体" w:eastAsia="宋体" w:cs="宋体"/>
          <w:bCs/>
          <w:color w:val="auto"/>
          <w:sz w:val="21"/>
          <w:szCs w:val="21"/>
          <w:highlight w:val="none"/>
        </w:rPr>
        <w:t>4</w:t>
      </w:r>
      <w:bookmarkStart w:id="158" w:name="_Toc297048348"/>
      <w:bookmarkStart w:id="159" w:name="_Toc297120462"/>
      <w:bookmarkStart w:id="160" w:name="_Toc296346663"/>
      <w:bookmarkStart w:id="161" w:name="_Toc292559871"/>
      <w:bookmarkStart w:id="162" w:name="_Toc267251413"/>
      <w:bookmarkStart w:id="163" w:name="_Toc296347161"/>
      <w:bookmarkStart w:id="164" w:name="_Toc296944501"/>
      <w:bookmarkStart w:id="165" w:name="_Toc296503162"/>
      <w:bookmarkStart w:id="166" w:name="_Toc296890990"/>
      <w:bookmarkStart w:id="167" w:name="_Toc292559366"/>
      <w:bookmarkStart w:id="168" w:name="_Toc296891202"/>
      <w:r>
        <w:rPr>
          <w:rFonts w:hint="eastAsia" w:ascii="宋体" w:hAnsi="宋体" w:eastAsia="宋体" w:cs="宋体"/>
          <w:bCs/>
          <w:color w:val="auto"/>
          <w:sz w:val="21"/>
          <w:szCs w:val="21"/>
          <w:highlight w:val="none"/>
        </w:rPr>
        <w:t>. 监</w:t>
      </w:r>
      <w:bookmarkEnd w:id="158"/>
      <w:bookmarkEnd w:id="159"/>
      <w:bookmarkEnd w:id="160"/>
      <w:bookmarkEnd w:id="161"/>
      <w:bookmarkEnd w:id="162"/>
      <w:bookmarkEnd w:id="163"/>
      <w:bookmarkEnd w:id="164"/>
      <w:bookmarkEnd w:id="165"/>
      <w:bookmarkEnd w:id="166"/>
      <w:bookmarkEnd w:id="167"/>
      <w:bookmarkEnd w:id="168"/>
      <w:r>
        <w:rPr>
          <w:rFonts w:hint="eastAsia" w:ascii="宋体" w:hAnsi="宋体" w:eastAsia="宋体" w:cs="宋体"/>
          <w:bCs/>
          <w:color w:val="auto"/>
          <w:sz w:val="21"/>
          <w:szCs w:val="21"/>
          <w:highlight w:val="none"/>
        </w:rPr>
        <w:t>理人</w:t>
      </w:r>
      <w:bookmarkEnd w:id="156"/>
      <w:bookmarkEnd w:id="157"/>
    </w:p>
    <w:p w14:paraId="2F00FD9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 监理人的一般规定</w:t>
      </w:r>
    </w:p>
    <w:p w14:paraId="63CC70C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913D15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1982CE">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 监理人员</w:t>
      </w:r>
    </w:p>
    <w:p w14:paraId="496BF59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7ABE269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9BC39B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B7191C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2529F4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1BA104D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082EA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174864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6886D7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 商定或确定</w:t>
      </w:r>
    </w:p>
    <w:p w14:paraId="3253B04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bookmarkStart w:id="169"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421510B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FECC7A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C24793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C0F581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170" w:name="_Toc351203637"/>
      <w:bookmarkStart w:id="171" w:name="_Toc95223466"/>
      <w:r>
        <w:rPr>
          <w:rFonts w:hint="eastAsia" w:ascii="宋体" w:hAnsi="宋体" w:eastAsia="宋体" w:cs="宋体"/>
          <w:bCs/>
          <w:color w:val="auto"/>
          <w:sz w:val="21"/>
          <w:szCs w:val="21"/>
          <w:highlight w:val="none"/>
        </w:rPr>
        <w:t>5</w:t>
      </w:r>
      <w:bookmarkEnd w:id="169"/>
      <w:bookmarkStart w:id="172" w:name="_Toc296503163"/>
      <w:bookmarkStart w:id="173" w:name="_Toc296346664"/>
      <w:bookmarkStart w:id="174" w:name="_Toc297120463"/>
      <w:bookmarkStart w:id="175" w:name="_Toc296891203"/>
      <w:bookmarkStart w:id="176" w:name="_Toc292559872"/>
      <w:bookmarkStart w:id="177" w:name="_Toc297048349"/>
      <w:bookmarkStart w:id="178" w:name="_Toc296890991"/>
      <w:bookmarkStart w:id="179" w:name="_Toc296944502"/>
      <w:bookmarkStart w:id="180" w:name="_Toc292559367"/>
      <w:bookmarkStart w:id="181" w:name="_Toc296347162"/>
      <w:r>
        <w:rPr>
          <w:rFonts w:hint="eastAsia" w:ascii="宋体" w:hAnsi="宋体" w:eastAsia="宋体" w:cs="宋体"/>
          <w:bCs/>
          <w:color w:val="auto"/>
          <w:sz w:val="21"/>
          <w:szCs w:val="21"/>
          <w:highlight w:val="none"/>
        </w:rPr>
        <w:t>. 工程质量</w:t>
      </w:r>
      <w:bookmarkEnd w:id="170"/>
      <w:bookmarkEnd w:id="171"/>
    </w:p>
    <w:p w14:paraId="10B98A0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 质量要求</w:t>
      </w:r>
    </w:p>
    <w:p w14:paraId="158F5A5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182" w:name="_Toc300934949"/>
      <w:bookmarkStart w:id="183" w:name="_Toc304295527"/>
      <w:bookmarkStart w:id="184" w:name="_Toc318581164"/>
      <w:bookmarkStart w:id="185" w:name="_Toc303539106"/>
      <w:bookmarkStart w:id="186" w:name="_Toc312677997"/>
      <w:bookmarkStart w:id="187" w:name="_Toc297123496"/>
      <w:bookmarkStart w:id="188" w:name="_Toc297216155"/>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11616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1D4F01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 隐蔽工程检查</w:t>
      </w:r>
    </w:p>
    <w:p w14:paraId="63DBA03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color w:val="auto"/>
          <w:szCs w:val="21"/>
          <w:highlight w:val="none"/>
          <w:u w:val="single"/>
          <w:shd w:val="clear" w:color="auto" w:fill="auto"/>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CD673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14:paraId="655BBFC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1201CF4B">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189" w:name="_Toc351203638"/>
      <w:bookmarkStart w:id="190" w:name="_Toc95223467"/>
      <w:r>
        <w:rPr>
          <w:rFonts w:hint="eastAsia" w:ascii="宋体" w:hAnsi="宋体" w:eastAsia="宋体" w:cs="宋体"/>
          <w:bCs/>
          <w:color w:val="auto"/>
          <w:sz w:val="21"/>
          <w:szCs w:val="21"/>
          <w:highlight w:val="none"/>
        </w:rPr>
        <w:t>6. 安全文明施工与环境保护</w:t>
      </w:r>
      <w:bookmarkEnd w:id="189"/>
      <w:bookmarkEnd w:id="190"/>
    </w:p>
    <w:p w14:paraId="1203058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 安全文明施工</w:t>
      </w:r>
    </w:p>
    <w:p w14:paraId="6658BE9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6.1.1项目安全生产的达标目标及相应事项的约定：</w:t>
      </w:r>
      <w:r>
        <w:rPr>
          <w:rFonts w:hint="eastAsia" w:ascii="宋体" w:hAnsi="宋体" w:eastAsia="宋体" w:cs="宋体"/>
          <w:color w:val="auto"/>
          <w:szCs w:val="21"/>
          <w:highlight w:val="none"/>
          <w:u w:val="single"/>
          <w:shd w:val="clear" w:color="auto" w:fill="auto"/>
        </w:rPr>
        <w:t>承包人应严格遵守安全文明施工有关规定，注意高压电线、电缆、管线、设备、灯具等可能带来施工安全隐患的问题，并承担由此可能产生的费用。安全防护文明施工措施费已包含在合同价款中，承包人应自行承担该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A529A9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6.1.4关于治安保卫的特别约定：</w:t>
      </w:r>
      <w:r>
        <w:rPr>
          <w:rFonts w:hint="eastAsia" w:ascii="宋体" w:hAnsi="宋体" w:eastAsia="宋体" w:cs="宋体"/>
          <w:color w:val="auto"/>
          <w:szCs w:val="21"/>
          <w:highlight w:val="none"/>
          <w:u w:val="single"/>
        </w:rPr>
        <w:t xml:space="preserve">承包人应保证在整个合同履行过程中不发生民事或刑事案件，并承担施工安全保卫工作及非夜间施工照明的责任和要求：在实施和完成本工程过程中，承包人应充分关注和保障所有在场人员的安全，承包人对安全防护工作负全责（包括但不限于责任和费用），并禁止非施工人员、车辆进入现场。为保护本工程免遭损坏，或为现场附近和过往人群的安全与方便，在确有必要的时候和地方，或当监理工程师或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 </w:t>
      </w:r>
      <w:r>
        <w:rPr>
          <w:rFonts w:hint="eastAsia" w:ascii="宋体" w:hAnsi="宋体" w:eastAsia="宋体" w:cs="宋体"/>
          <w:color w:val="auto"/>
          <w:szCs w:val="21"/>
          <w:highlight w:val="none"/>
        </w:rPr>
        <w:t>。</w:t>
      </w:r>
    </w:p>
    <w:p w14:paraId="1128B59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承包人应在合同签订10个日历天内编制施工场地治安管理计划，并制定应对突发治安事件的紧急预案上报发包人。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Pr>
          <w:rFonts w:hint="eastAsia" w:ascii="宋体" w:hAnsi="宋体" w:eastAsia="宋体" w:cs="宋体"/>
          <w:color w:val="auto"/>
          <w:szCs w:val="21"/>
          <w:highlight w:val="none"/>
        </w:rPr>
        <w:t>。</w:t>
      </w:r>
    </w:p>
    <w:p w14:paraId="7D3DF88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5FDE72C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承包人必须根据滁州当地政府管理机构及发包人的要求进行安全文明施工并交纳有关费用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164E4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shd w:val="clear" w:color="auto" w:fill="auto"/>
        </w:rPr>
        <w:t>与工程款同期同比例支付。施工单位须按滁州市相关规定及监理单位、建设单位、安监站要求做好现场安全文明措施</w:t>
      </w:r>
      <w:r>
        <w:rPr>
          <w:rFonts w:hint="eastAsia" w:ascii="宋体" w:hAnsi="宋体" w:eastAsia="宋体" w:cs="宋体"/>
          <w:color w:val="auto"/>
          <w:szCs w:val="21"/>
          <w:highlight w:val="none"/>
        </w:rPr>
        <w:t>。</w:t>
      </w:r>
    </w:p>
    <w:bookmarkEnd w:id="182"/>
    <w:bookmarkEnd w:id="183"/>
    <w:bookmarkEnd w:id="184"/>
    <w:bookmarkEnd w:id="185"/>
    <w:bookmarkEnd w:id="186"/>
    <w:bookmarkEnd w:id="187"/>
    <w:bookmarkEnd w:id="188"/>
    <w:p w14:paraId="6FB24232">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191" w:name="_Toc351203639"/>
      <w:bookmarkStart w:id="192" w:name="_Toc95223468"/>
      <w:r>
        <w:rPr>
          <w:rFonts w:hint="eastAsia" w:ascii="宋体" w:hAnsi="宋体" w:eastAsia="宋体" w:cs="宋体"/>
          <w:bCs/>
          <w:color w:val="auto"/>
          <w:sz w:val="21"/>
          <w:szCs w:val="21"/>
          <w:highlight w:val="none"/>
        </w:rPr>
        <w:t>7. 工期和进度</w:t>
      </w:r>
      <w:bookmarkEnd w:id="191"/>
      <w:bookmarkEnd w:id="192"/>
    </w:p>
    <w:p w14:paraId="05EFC56B">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施工组织设计</w:t>
      </w:r>
    </w:p>
    <w:p w14:paraId="3CE8CB9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本工程需编制每月施工进度计划，经监理、发包人审批后作为进度款支付和考核进度完成的指标</w:t>
      </w:r>
      <w:r>
        <w:rPr>
          <w:rFonts w:hint="eastAsia" w:ascii="宋体" w:hAnsi="宋体" w:eastAsia="宋体" w:cs="宋体"/>
          <w:color w:val="auto"/>
          <w:szCs w:val="21"/>
          <w:highlight w:val="none"/>
        </w:rPr>
        <w:t>。</w:t>
      </w:r>
    </w:p>
    <w:p w14:paraId="331E8D7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79CC4BC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图纸会审及设计交底后一周内提供标后施工组织设计。承包人不按时送审符合要求的上述资料，造成监理人无法判断工程进展顺利与否的，发包人有权要求承包人支付1万元/次的违约金，并有权拒付相应部分工程进度款，由承包人承担相关责任 </w:t>
      </w:r>
      <w:r>
        <w:rPr>
          <w:rFonts w:hint="eastAsia" w:ascii="宋体" w:hAnsi="宋体" w:eastAsia="宋体" w:cs="宋体"/>
          <w:color w:val="auto"/>
          <w:szCs w:val="21"/>
          <w:highlight w:val="none"/>
        </w:rPr>
        <w:t>。</w:t>
      </w:r>
    </w:p>
    <w:p w14:paraId="5B08137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shd w:val="clear" w:color="auto" w:fill="auto"/>
          <w:lang w:val="en-US" w:eastAsia="zh-CN"/>
        </w:rPr>
        <w:t>发包人</w:t>
      </w:r>
      <w:r>
        <w:rPr>
          <w:rFonts w:hint="eastAsia" w:ascii="宋体" w:hAnsi="宋体" w:eastAsia="宋体" w:cs="宋体"/>
          <w:color w:val="auto"/>
          <w:szCs w:val="21"/>
          <w:highlight w:val="none"/>
          <w:u w:val="single"/>
          <w:shd w:val="clear" w:color="auto" w:fill="auto"/>
        </w:rPr>
        <w:t>代表和监理工程师应于收到承包人资料一周内予以确认，逾期不批复，可视为该施工组织设计（施工方案）和进度计划已经批准</w:t>
      </w:r>
      <w:r>
        <w:rPr>
          <w:rFonts w:hint="eastAsia" w:ascii="宋体" w:hAnsi="宋体" w:eastAsia="宋体" w:cs="宋体"/>
          <w:color w:val="auto"/>
          <w:szCs w:val="21"/>
          <w:highlight w:val="none"/>
        </w:rPr>
        <w:t>。</w:t>
      </w:r>
    </w:p>
    <w:p w14:paraId="36D7C0B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bookmarkStart w:id="193" w:name="_Toc312677479"/>
      <w:bookmarkStart w:id="194" w:name="_Toc312678005"/>
      <w:bookmarkStart w:id="195" w:name="_Toc297123514"/>
      <w:bookmarkStart w:id="196" w:name="_Toc300934966"/>
      <w:bookmarkStart w:id="197" w:name="_Toc303539123"/>
      <w:bookmarkStart w:id="198" w:name="_Toc304295541"/>
      <w:bookmarkStart w:id="199" w:name="_Toc297216173"/>
      <w:r>
        <w:rPr>
          <w:rFonts w:hint="eastAsia" w:ascii="宋体" w:hAnsi="宋体" w:eastAsia="宋体" w:cs="宋体"/>
          <w:bCs/>
          <w:color w:val="auto"/>
          <w:szCs w:val="21"/>
          <w:highlight w:val="none"/>
        </w:rPr>
        <w:t>.2 施工进度计划</w:t>
      </w:r>
    </w:p>
    <w:p w14:paraId="5D487AF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58DA5B6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代表和监理工程师应于收到承包人资料一周内予以确认，逾期不批复，可视为该施工组织设计（施工方案）已经批准。</w:t>
      </w:r>
      <w:r>
        <w:rPr>
          <w:rFonts w:hint="eastAsia" w:ascii="宋体" w:hAnsi="宋体" w:eastAsia="宋体" w:cs="宋体"/>
          <w:color w:val="auto"/>
          <w:szCs w:val="21"/>
          <w:highlight w:val="none"/>
          <w:u w:val="single"/>
          <w:lang w:eastAsia="zh-CN"/>
        </w:rPr>
        <w:t>承包人</w:t>
      </w:r>
      <w:r>
        <w:rPr>
          <w:rFonts w:hint="eastAsia" w:ascii="宋体" w:hAnsi="宋体" w:eastAsia="宋体" w:cs="宋体"/>
          <w:color w:val="auto"/>
          <w:szCs w:val="21"/>
          <w:highlight w:val="none"/>
          <w:u w:val="single"/>
        </w:rPr>
        <w:t>必须按照批准的进度计划组织施工，接受</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代表对进度的检查、监督。工程实际进展与进度计划不符时，承包人应立即修改进度计划和采取赶工措施，调整后的进度计划及相应的措施报告上报监理、</w:t>
      </w:r>
      <w:r>
        <w:rPr>
          <w:rFonts w:hint="eastAsia" w:ascii="宋体" w:hAnsi="宋体" w:eastAsia="宋体" w:cs="宋体"/>
          <w:color w:val="auto"/>
          <w:szCs w:val="21"/>
          <w:highlight w:val="none"/>
          <w:u w:val="single"/>
          <w:lang w:eastAsia="zh-CN"/>
        </w:rPr>
        <w:t>发包人</w:t>
      </w:r>
      <w:r>
        <w:rPr>
          <w:rFonts w:hint="eastAsia" w:ascii="宋体" w:hAnsi="宋体" w:eastAsia="宋体" w:cs="宋体"/>
          <w:color w:val="auto"/>
          <w:szCs w:val="21"/>
          <w:highlight w:val="none"/>
          <w:u w:val="single"/>
        </w:rPr>
        <w:t>代表批准后执行</w:t>
      </w:r>
      <w:r>
        <w:rPr>
          <w:rFonts w:hint="eastAsia" w:ascii="宋体" w:hAnsi="宋体" w:eastAsia="宋体" w:cs="宋体"/>
          <w:color w:val="auto"/>
          <w:szCs w:val="21"/>
          <w:highlight w:val="none"/>
        </w:rPr>
        <w:t>。</w:t>
      </w:r>
    </w:p>
    <w:p w14:paraId="0471CB88">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7.3 开工</w:t>
      </w:r>
    </w:p>
    <w:p w14:paraId="7FCC907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5A07586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执行通用条款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F65F6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开工前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68D19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开工前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B4215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开工通知</w:t>
      </w:r>
    </w:p>
    <w:p w14:paraId="26CA1A8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天内发出开工通知的，承包人有权提出价格调整要求，或者解除合同。</w:t>
      </w:r>
    </w:p>
    <w:bookmarkEnd w:id="193"/>
    <w:bookmarkEnd w:id="194"/>
    <w:bookmarkEnd w:id="195"/>
    <w:bookmarkEnd w:id="196"/>
    <w:bookmarkEnd w:id="197"/>
    <w:bookmarkEnd w:id="198"/>
    <w:bookmarkEnd w:id="199"/>
    <w:p w14:paraId="4F5EAEA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7.4 测量放线</w:t>
      </w:r>
    </w:p>
    <w:p w14:paraId="7897CC5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shd w:val="clear" w:color="auto" w:fill="auto"/>
        </w:rPr>
        <w:t>开工前提供水准点与坐标控制点，按施工图由发包人、承包人、监理现场交验，交验后，承包人应妥善保护场内水准点与控制点，任意破坏或遗失应由承包人负责恢复的费用</w:t>
      </w:r>
      <w:r>
        <w:rPr>
          <w:rFonts w:hint="eastAsia" w:ascii="宋体" w:hAnsi="宋体" w:eastAsia="宋体" w:cs="宋体"/>
          <w:color w:val="auto"/>
          <w:szCs w:val="21"/>
          <w:highlight w:val="none"/>
        </w:rPr>
        <w:t>。</w:t>
      </w:r>
    </w:p>
    <w:p w14:paraId="2EC4471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bookmarkStart w:id="200" w:name="_Toc303539125"/>
      <w:bookmarkStart w:id="201" w:name="_Toc300934968"/>
      <w:bookmarkStart w:id="202" w:name="_Toc304295546"/>
      <w:bookmarkStart w:id="203" w:name="_Toc297216175"/>
      <w:bookmarkStart w:id="204" w:name="_Toc297123516"/>
      <w:bookmarkStart w:id="205" w:name="_Toc312677484"/>
      <w:bookmarkStart w:id="206" w:name="_Toc312678010"/>
      <w:r>
        <w:rPr>
          <w:rFonts w:hint="eastAsia" w:ascii="宋体" w:hAnsi="宋体" w:eastAsia="宋体" w:cs="宋体"/>
          <w:bCs/>
          <w:color w:val="auto"/>
          <w:szCs w:val="21"/>
          <w:highlight w:val="none"/>
        </w:rPr>
        <w:t>.5 工期延误</w:t>
      </w:r>
    </w:p>
    <w:bookmarkEnd w:id="200"/>
    <w:bookmarkEnd w:id="201"/>
    <w:bookmarkEnd w:id="202"/>
    <w:bookmarkEnd w:id="203"/>
    <w:bookmarkEnd w:id="204"/>
    <w:bookmarkEnd w:id="205"/>
    <w:bookmarkEnd w:id="206"/>
    <w:p w14:paraId="507AB60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5F4BBE9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）因发包人原因导致工期延误的其他情形：</w:t>
      </w:r>
      <w:r>
        <w:rPr>
          <w:rFonts w:hint="eastAsia" w:ascii="宋体" w:hAnsi="宋体" w:eastAsia="宋体" w:cs="宋体"/>
          <w:bCs/>
          <w:color w:val="auto"/>
          <w:szCs w:val="21"/>
          <w:highlight w:val="none"/>
          <w:u w:val="single"/>
          <w:shd w:val="clear" w:color="auto" w:fill="auto"/>
        </w:rPr>
        <w:t>由于发包人的原因和非承包人的责任停工的，工期顺延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D0DAF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07" w:name="_Toc318581169"/>
      <w:bookmarkStart w:id="208" w:name="_Toc297123518"/>
      <w:bookmarkStart w:id="209" w:name="_Toc312677486"/>
      <w:bookmarkStart w:id="210" w:name="_Toc303539127"/>
      <w:bookmarkStart w:id="211" w:name="_Toc300934970"/>
      <w:bookmarkStart w:id="212" w:name="_Toc312678012"/>
      <w:bookmarkStart w:id="213" w:name="_Toc304295548"/>
      <w:bookmarkStart w:id="214" w:name="_Toc297216177"/>
      <w:r>
        <w:rPr>
          <w:rFonts w:hint="eastAsia" w:ascii="宋体" w:hAnsi="宋体" w:eastAsia="宋体" w:cs="宋体"/>
          <w:color w:val="auto"/>
          <w:szCs w:val="21"/>
          <w:highlight w:val="none"/>
        </w:rPr>
        <w:t>.5.2 因承包人原因导致工期延误</w:t>
      </w:r>
    </w:p>
    <w:bookmarkEnd w:id="207"/>
    <w:bookmarkEnd w:id="208"/>
    <w:bookmarkEnd w:id="209"/>
    <w:bookmarkEnd w:id="210"/>
    <w:bookmarkEnd w:id="211"/>
    <w:bookmarkEnd w:id="212"/>
    <w:bookmarkEnd w:id="213"/>
    <w:bookmarkEnd w:id="214"/>
    <w:p w14:paraId="4EB75177">
      <w:pPr>
        <w:keepNext w:val="0"/>
        <w:keepLines w:val="0"/>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 w:val="21"/>
          <w:szCs w:val="21"/>
          <w:highlight w:val="none"/>
        </w:rPr>
      </w:pPr>
      <w:bookmarkStart w:id="215" w:name="_Toc312678014"/>
      <w:bookmarkStart w:id="216" w:name="_Toc318581171"/>
      <w:r>
        <w:rPr>
          <w:rFonts w:hint="eastAsia" w:ascii="宋体" w:hAnsi="宋体" w:eastAsia="宋体" w:cs="宋体"/>
          <w:color w:val="auto"/>
          <w:sz w:val="21"/>
          <w:szCs w:val="21"/>
          <w:highlight w:val="none"/>
        </w:rPr>
        <w:t>因</w:t>
      </w:r>
      <w:bookmarkStart w:id="217" w:name="_Toc312677487"/>
      <w:bookmarkStart w:id="218" w:name="_Toc312678013"/>
      <w:r>
        <w:rPr>
          <w:rFonts w:hint="eastAsia" w:ascii="宋体" w:hAnsi="宋体" w:eastAsia="宋体" w:cs="宋体"/>
          <w:color w:val="auto"/>
          <w:sz w:val="21"/>
          <w:szCs w:val="21"/>
          <w:highlight w:val="none"/>
        </w:rPr>
        <w:t>承包人原因造成工期延误，逾期竣工违约金的计算方法为：</w:t>
      </w:r>
      <w:bookmarkEnd w:id="217"/>
      <w:bookmarkEnd w:id="218"/>
      <w:r>
        <w:rPr>
          <w:rFonts w:hint="eastAsia" w:ascii="宋体" w:hAnsi="宋体" w:eastAsia="宋体" w:cs="宋体"/>
          <w:color w:val="auto"/>
          <w:sz w:val="21"/>
          <w:szCs w:val="21"/>
          <w:highlight w:val="none"/>
        </w:rPr>
        <w:t>发包人根据工期延误的严重程度采用以下方法处理:</w:t>
      </w:r>
    </w:p>
    <w:p w14:paraId="386F51D3">
      <w:pPr>
        <w:keepNext w:val="0"/>
        <w:keepLines w:val="0"/>
        <w:pageBreakBefore w:val="0"/>
        <w:widowControl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 xml:space="preserve">（1）督促承包人采取有效的赶工措施（费用自理）。                     </w:t>
      </w:r>
    </w:p>
    <w:p w14:paraId="379A36F8">
      <w:pPr>
        <w:pStyle w:val="26"/>
        <w:keepNext w:val="0"/>
        <w:keepLines w:val="0"/>
        <w:pageBreakBefore w:val="0"/>
        <w:widowControl w:val="0"/>
        <w:kinsoku/>
        <w:wordWrap/>
        <w:overflowPunct/>
        <w:topLinePunct w:val="0"/>
        <w:autoSpaceDE/>
        <w:autoSpaceDN/>
        <w:bidi w:val="0"/>
        <w:spacing w:after="0" w:afterLines="0" w:line="500" w:lineRule="exact"/>
        <w:ind w:left="-202" w:leftChars="-96" w:right="-500" w:rightChars="-238" w:firstLine="420" w:firstLineChars="20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2</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因承包人原因造成工期延误，逾期竣工违约金的计算方法为：</w:t>
      </w:r>
      <w:r>
        <w:rPr>
          <w:rFonts w:hint="eastAsia" w:ascii="宋体" w:hAnsi="宋体" w:eastAsia="宋体" w:cs="宋体"/>
          <w:bCs/>
          <w:color w:val="auto"/>
          <w:sz w:val="21"/>
          <w:szCs w:val="21"/>
          <w:highlight w:val="none"/>
          <w:u w:val="single"/>
          <w:shd w:val="clear" w:color="auto" w:fill="auto"/>
        </w:rPr>
        <w:t>施工总工期每延迟一天</w:t>
      </w:r>
      <w:r>
        <w:rPr>
          <w:rFonts w:hint="eastAsia" w:ascii="宋体" w:hAnsi="宋体" w:eastAsia="宋体" w:cs="宋体"/>
          <w:bCs/>
          <w:color w:val="auto"/>
          <w:sz w:val="21"/>
          <w:szCs w:val="21"/>
          <w:highlight w:val="none"/>
          <w:u w:val="single"/>
          <w:shd w:val="clear" w:color="auto" w:fill="auto"/>
          <w:lang w:eastAsia="zh-CN"/>
        </w:rPr>
        <w:t>，</w:t>
      </w:r>
      <w:r>
        <w:rPr>
          <w:rFonts w:hint="eastAsia" w:ascii="宋体" w:hAnsi="宋体" w:eastAsia="宋体" w:cs="宋体"/>
          <w:bCs/>
          <w:color w:val="auto"/>
          <w:sz w:val="21"/>
          <w:szCs w:val="21"/>
          <w:highlight w:val="none"/>
          <w:u w:val="single"/>
          <w:shd w:val="clear" w:color="auto" w:fill="auto"/>
        </w:rPr>
        <w:t>支付违约金</w:t>
      </w:r>
      <w:r>
        <w:rPr>
          <w:rFonts w:hint="eastAsia" w:ascii="宋体" w:hAnsi="宋体" w:eastAsia="宋体" w:cs="宋体"/>
          <w:bCs/>
          <w:color w:val="auto"/>
          <w:sz w:val="21"/>
          <w:szCs w:val="21"/>
          <w:highlight w:val="none"/>
          <w:u w:val="single"/>
          <w:shd w:val="clear" w:color="auto" w:fill="auto"/>
          <w:lang w:val="en-US" w:eastAsia="zh-CN"/>
        </w:rPr>
        <w:t>500</w:t>
      </w:r>
      <w:r>
        <w:rPr>
          <w:rFonts w:hint="eastAsia" w:ascii="宋体" w:hAnsi="宋体" w:eastAsia="宋体" w:cs="宋体"/>
          <w:bCs/>
          <w:color w:val="auto"/>
          <w:sz w:val="21"/>
          <w:szCs w:val="21"/>
          <w:highlight w:val="none"/>
          <w:u w:val="single"/>
          <w:shd w:val="clear" w:color="auto" w:fill="auto"/>
        </w:rPr>
        <w:t>元</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lang w:val="en-US" w:eastAsia="zh-CN"/>
        </w:rPr>
        <w:t>。</w:t>
      </w:r>
    </w:p>
    <w:p w14:paraId="660FF96D">
      <w:pPr>
        <w:keepNext w:val="0"/>
        <w:keepLines w:val="0"/>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shd w:val="clear" w:color="auto" w:fill="auto"/>
        </w:rPr>
        <w:t>因承包人原因造成工期延误，逾期竣工违约金的上限：</w:t>
      </w:r>
      <w:r>
        <w:rPr>
          <w:rFonts w:hint="eastAsia" w:ascii="宋体" w:hAnsi="宋体" w:eastAsia="宋体" w:cs="宋体"/>
          <w:color w:val="auto"/>
          <w:sz w:val="21"/>
          <w:szCs w:val="21"/>
          <w:highlight w:val="none"/>
          <w:u w:val="single"/>
          <w:shd w:val="clear" w:color="auto" w:fill="auto"/>
        </w:rPr>
        <w:t xml:space="preserve"> 全额履约保证金 </w:t>
      </w:r>
      <w:r>
        <w:rPr>
          <w:rFonts w:hint="eastAsia" w:ascii="宋体" w:hAnsi="宋体" w:eastAsia="宋体" w:cs="宋体"/>
          <w:color w:val="auto"/>
          <w:sz w:val="21"/>
          <w:szCs w:val="21"/>
          <w:highlight w:val="none"/>
        </w:rPr>
        <w:t>。</w:t>
      </w:r>
    </w:p>
    <w:bookmarkEnd w:id="215"/>
    <w:bookmarkEnd w:id="216"/>
    <w:p w14:paraId="22984C7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bookmarkStart w:id="219" w:name="_Toc304295549"/>
      <w:bookmarkStart w:id="220" w:name="_Toc312678015"/>
      <w:bookmarkStart w:id="221" w:name="_Toc297123519"/>
      <w:bookmarkStart w:id="222" w:name="_Toc297216178"/>
      <w:bookmarkStart w:id="223" w:name="_Toc300934971"/>
      <w:bookmarkStart w:id="224" w:name="_Toc303539128"/>
      <w:r>
        <w:rPr>
          <w:rFonts w:hint="eastAsia" w:ascii="宋体" w:hAnsi="宋体" w:eastAsia="宋体" w:cs="宋体"/>
          <w:bCs/>
          <w:color w:val="auto"/>
          <w:szCs w:val="21"/>
          <w:highlight w:val="none"/>
        </w:rPr>
        <w:t>.6 不</w:t>
      </w:r>
      <w:bookmarkEnd w:id="219"/>
      <w:bookmarkEnd w:id="220"/>
      <w:bookmarkEnd w:id="221"/>
      <w:bookmarkEnd w:id="222"/>
      <w:bookmarkEnd w:id="223"/>
      <w:bookmarkEnd w:id="224"/>
      <w:r>
        <w:rPr>
          <w:rFonts w:hint="eastAsia" w:ascii="宋体" w:hAnsi="宋体" w:eastAsia="宋体" w:cs="宋体"/>
          <w:bCs/>
          <w:color w:val="auto"/>
          <w:szCs w:val="21"/>
          <w:highlight w:val="none"/>
        </w:rPr>
        <w:t>利物质条件</w:t>
      </w:r>
    </w:p>
    <w:p w14:paraId="216522D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bookmarkStart w:id="225" w:name="_Toc297123520"/>
      <w:bookmarkStart w:id="226" w:name="_Toc297216179"/>
      <w:bookmarkStart w:id="227" w:name="_Toc300934972"/>
      <w:bookmarkStart w:id="228" w:name="_Toc304295550"/>
      <w:bookmarkStart w:id="229" w:name="_Toc303539129"/>
      <w:bookmarkStart w:id="230" w:name="_Toc318581172"/>
      <w:bookmarkStart w:id="231" w:name="_Toc312678016"/>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执行通用条款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225"/>
    <w:bookmarkEnd w:id="226"/>
    <w:bookmarkEnd w:id="227"/>
    <w:bookmarkEnd w:id="228"/>
    <w:bookmarkEnd w:id="229"/>
    <w:bookmarkEnd w:id="230"/>
    <w:bookmarkEnd w:id="231"/>
    <w:p w14:paraId="38B7753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bookmarkStart w:id="232" w:name="_Toc300934973"/>
      <w:bookmarkStart w:id="233" w:name="_Toc297123521"/>
      <w:bookmarkStart w:id="234" w:name="_Toc304295551"/>
      <w:bookmarkStart w:id="235" w:name="_Toc303539130"/>
      <w:bookmarkStart w:id="236" w:name="_Toc312678017"/>
      <w:bookmarkStart w:id="237" w:name="_Toc297216180"/>
      <w:r>
        <w:rPr>
          <w:rFonts w:hint="eastAsia" w:ascii="宋体" w:hAnsi="宋体" w:eastAsia="宋体" w:cs="宋体"/>
          <w:bCs/>
          <w:color w:val="auto"/>
          <w:szCs w:val="21"/>
          <w:highlight w:val="none"/>
        </w:rPr>
        <w:t>.7 异常恶劣的气候条件</w:t>
      </w:r>
    </w:p>
    <w:bookmarkEnd w:id="232"/>
    <w:bookmarkEnd w:id="233"/>
    <w:bookmarkEnd w:id="234"/>
    <w:bookmarkEnd w:id="235"/>
    <w:bookmarkEnd w:id="236"/>
    <w:bookmarkEnd w:id="237"/>
    <w:p w14:paraId="1C5BD1F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00ACAB8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96C33C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B8A0B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BC459A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7.9 提前竣工</w:t>
      </w:r>
    </w:p>
    <w:p w14:paraId="137FC2A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 提前竣工的奖励：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193DD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238" w:name="_Toc351203640"/>
      <w:bookmarkStart w:id="239" w:name="_Toc95223469"/>
      <w:r>
        <w:rPr>
          <w:rFonts w:hint="eastAsia" w:ascii="宋体" w:hAnsi="宋体" w:eastAsia="宋体" w:cs="宋体"/>
          <w:bCs/>
          <w:color w:val="auto"/>
          <w:sz w:val="21"/>
          <w:szCs w:val="21"/>
          <w:highlight w:val="none"/>
        </w:rPr>
        <w:t>8. 材料与设备</w:t>
      </w:r>
      <w:bookmarkEnd w:id="238"/>
      <w:bookmarkEnd w:id="239"/>
    </w:p>
    <w:bookmarkEnd w:id="172"/>
    <w:bookmarkEnd w:id="173"/>
    <w:bookmarkEnd w:id="174"/>
    <w:bookmarkEnd w:id="175"/>
    <w:bookmarkEnd w:id="176"/>
    <w:bookmarkEnd w:id="177"/>
    <w:bookmarkEnd w:id="178"/>
    <w:bookmarkEnd w:id="179"/>
    <w:bookmarkEnd w:id="180"/>
    <w:bookmarkEnd w:id="181"/>
    <w:p w14:paraId="2B38FC5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240" w:name="_Toc292559372"/>
      <w:bookmarkStart w:id="241" w:name="_Toc312678019"/>
      <w:bookmarkStart w:id="242" w:name="_Toc296503167"/>
      <w:bookmarkStart w:id="243" w:name="_Toc297123527"/>
      <w:bookmarkStart w:id="244" w:name="_Toc296944506"/>
      <w:bookmarkStart w:id="245" w:name="_Toc297048353"/>
      <w:bookmarkStart w:id="246" w:name="_Toc296347166"/>
      <w:bookmarkStart w:id="247" w:name="_Toc280868654"/>
      <w:bookmarkStart w:id="248" w:name="_Toc300934979"/>
      <w:bookmarkStart w:id="249" w:name="_Toc312677493"/>
      <w:bookmarkStart w:id="250" w:name="_Toc304295556"/>
      <w:bookmarkStart w:id="251" w:name="_Toc297216186"/>
      <w:bookmarkStart w:id="252" w:name="_Toc292559877"/>
      <w:bookmarkStart w:id="253" w:name="_Toc297120467"/>
      <w:bookmarkStart w:id="254" w:name="_Toc296346668"/>
      <w:bookmarkStart w:id="255" w:name="_Toc296891207"/>
      <w:bookmarkStart w:id="256" w:name="_Toc303539136"/>
      <w:bookmarkStart w:id="257" w:name="_Toc296890995"/>
      <w:bookmarkStart w:id="258" w:name="_Toc280868655"/>
      <w:bookmarkStart w:id="259" w:name="_Toc280868656"/>
      <w:bookmarkStart w:id="260" w:name="_Toc267251424"/>
      <w:r>
        <w:rPr>
          <w:rFonts w:hint="eastAsia" w:ascii="宋体" w:hAnsi="宋体" w:eastAsia="宋体" w:cs="宋体"/>
          <w:color w:val="auto"/>
          <w:szCs w:val="21"/>
          <w:highlight w:val="none"/>
        </w:rPr>
        <w:t>.4 材料与工程设备的保管与使用</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32BCE45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2"/>
          <w:sz w:val="21"/>
          <w:szCs w:val="21"/>
          <w:highlight w:val="none"/>
          <w:u w:val="single"/>
          <w:shd w:val="clear" w:color="auto" w:fill="auto"/>
          <w:lang w:val="en-US" w:eastAsia="zh-CN" w:bidi="ar-SA"/>
        </w:rPr>
      </w:pPr>
      <w:r>
        <w:rPr>
          <w:rFonts w:hint="eastAsia" w:ascii="宋体" w:hAnsi="宋体" w:eastAsia="宋体" w:cs="宋体"/>
          <w:color w:val="auto"/>
          <w:szCs w:val="21"/>
          <w:highlight w:val="none"/>
        </w:rPr>
        <w:t>8</w:t>
      </w:r>
      <w:bookmarkStart w:id="261" w:name="_Toc292559878"/>
      <w:bookmarkStart w:id="262" w:name="_Toc292559373"/>
      <w:bookmarkStart w:id="263" w:name="_Toc296891208"/>
      <w:bookmarkStart w:id="264" w:name="_Toc297216187"/>
      <w:bookmarkStart w:id="265" w:name="_Toc297048354"/>
      <w:bookmarkStart w:id="266" w:name="_Toc297120468"/>
      <w:bookmarkStart w:id="267" w:name="_Toc296347167"/>
      <w:bookmarkStart w:id="268" w:name="_Toc300934980"/>
      <w:bookmarkStart w:id="269" w:name="_Toc303539137"/>
      <w:bookmarkStart w:id="270" w:name="_Toc312677494"/>
      <w:bookmarkStart w:id="271" w:name="_Toc296346669"/>
      <w:bookmarkStart w:id="272" w:name="_Toc296890996"/>
      <w:bookmarkStart w:id="273" w:name="_Toc318581173"/>
      <w:bookmarkStart w:id="274" w:name="_Toc296503168"/>
      <w:bookmarkStart w:id="275" w:name="_Toc312678020"/>
      <w:bookmarkStart w:id="276" w:name="_Toc296944507"/>
      <w:bookmarkStart w:id="277" w:name="_Toc304295557"/>
      <w:bookmarkStart w:id="278" w:name="_Toc297123528"/>
      <w:r>
        <w:rPr>
          <w:rFonts w:hint="eastAsia" w:ascii="宋体" w:hAnsi="宋体" w:eastAsia="宋体" w:cs="宋体"/>
          <w:color w:val="auto"/>
          <w:szCs w:val="21"/>
          <w:highlight w:val="none"/>
        </w:rPr>
        <w:t>.4.1 发包人供应的材料设备的保管费用的承担：</w:t>
      </w:r>
      <w:r>
        <w:rPr>
          <w:rFonts w:hint="eastAsia" w:ascii="宋体" w:hAnsi="宋体" w:eastAsia="宋体" w:cs="宋体"/>
          <w:color w:val="auto"/>
          <w:szCs w:val="21"/>
          <w:highlight w:val="none"/>
          <w:u w:val="single"/>
          <w:lang w:val="en-US" w:eastAsia="zh-CN"/>
        </w:rPr>
        <w:t>无。</w:t>
      </w:r>
      <w:bookmarkEnd w:id="261"/>
      <w:bookmarkEnd w:id="262"/>
    </w:p>
    <w:p w14:paraId="2690EE7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8.6 样品</w:t>
      </w:r>
    </w:p>
    <w:p w14:paraId="693597D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 样品的报送与封存</w:t>
      </w:r>
    </w:p>
    <w:p w14:paraId="2BE54CA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按监理或发包人要求确定</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rPr>
        <w:t>。</w:t>
      </w:r>
    </w:p>
    <w:p w14:paraId="6D5FDF7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8.8 施工设备和临时设施</w:t>
      </w:r>
    </w:p>
    <w:p w14:paraId="4302FCA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5FA04F3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由承包人自行承担费用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7F4031BF">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279" w:name="_Toc95223470"/>
      <w:bookmarkStart w:id="280" w:name="_Toc351203641"/>
      <w:r>
        <w:rPr>
          <w:rFonts w:hint="eastAsia" w:ascii="宋体" w:hAnsi="宋体" w:eastAsia="宋体" w:cs="宋体"/>
          <w:bCs/>
          <w:color w:val="auto"/>
          <w:sz w:val="21"/>
          <w:szCs w:val="21"/>
          <w:highlight w:val="none"/>
        </w:rPr>
        <w:t>9</w:t>
      </w:r>
      <w:bookmarkEnd w:id="258"/>
      <w:bookmarkEnd w:id="259"/>
      <w:bookmarkEnd w:id="260"/>
      <w:bookmarkStart w:id="281" w:name="_Toc304295559"/>
      <w:bookmarkStart w:id="282" w:name="_Toc312677495"/>
      <w:bookmarkStart w:id="283" w:name="_Toc297123533"/>
      <w:bookmarkStart w:id="284" w:name="_Toc312678021"/>
      <w:bookmarkStart w:id="285" w:name="_Toc303539139"/>
      <w:bookmarkStart w:id="286" w:name="_Toc300934982"/>
      <w:bookmarkStart w:id="287" w:name="_Toc297216192"/>
      <w:bookmarkStart w:id="288" w:name="_Toc296346674"/>
      <w:bookmarkStart w:id="289" w:name="_Toc292559883"/>
      <w:bookmarkStart w:id="290" w:name="_Toc267251427"/>
      <w:bookmarkStart w:id="291" w:name="_Toc296503173"/>
      <w:bookmarkStart w:id="292" w:name="_Toc296891001"/>
      <w:bookmarkStart w:id="293" w:name="_Toc267251428"/>
      <w:bookmarkStart w:id="294" w:name="_Toc296891213"/>
      <w:bookmarkStart w:id="295" w:name="_Toc296944512"/>
      <w:bookmarkStart w:id="296" w:name="_Toc296347172"/>
      <w:bookmarkStart w:id="297" w:name="_Toc297120473"/>
      <w:bookmarkStart w:id="298" w:name="_Toc292559378"/>
      <w:bookmarkStart w:id="299" w:name="_Toc297048359"/>
      <w:r>
        <w:rPr>
          <w:rFonts w:hint="eastAsia" w:ascii="宋体" w:hAnsi="宋体" w:eastAsia="宋体" w:cs="宋体"/>
          <w:bCs/>
          <w:color w:val="auto"/>
          <w:sz w:val="21"/>
          <w:szCs w:val="21"/>
          <w:highlight w:val="none"/>
        </w:rPr>
        <w:t>. 试验与检验</w:t>
      </w:r>
      <w:bookmarkEnd w:id="279"/>
      <w:bookmarkEnd w:id="280"/>
    </w:p>
    <w:bookmarkEnd w:id="281"/>
    <w:bookmarkEnd w:id="282"/>
    <w:bookmarkEnd w:id="283"/>
    <w:bookmarkEnd w:id="284"/>
    <w:bookmarkEnd w:id="285"/>
    <w:bookmarkEnd w:id="286"/>
    <w:bookmarkEnd w:id="287"/>
    <w:p w14:paraId="72F8895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bookmarkStart w:id="300" w:name="_Toc300934983"/>
      <w:bookmarkStart w:id="301" w:name="_Toc303539140"/>
      <w:bookmarkStart w:id="302" w:name="_Toc312677496"/>
      <w:bookmarkStart w:id="303" w:name="_Toc297216193"/>
      <w:bookmarkStart w:id="304" w:name="_Toc312678022"/>
      <w:bookmarkStart w:id="305" w:name="_Toc297123534"/>
      <w:bookmarkStart w:id="306" w:name="_Toc304295560"/>
      <w:r>
        <w:rPr>
          <w:rFonts w:hint="eastAsia" w:ascii="宋体" w:hAnsi="宋体" w:eastAsia="宋体" w:cs="宋体"/>
          <w:bCs/>
          <w:color w:val="auto"/>
          <w:szCs w:val="21"/>
          <w:highlight w:val="none"/>
        </w:rPr>
        <w:t>.1 试验设备与试验人员</w:t>
      </w:r>
    </w:p>
    <w:bookmarkEnd w:id="300"/>
    <w:bookmarkEnd w:id="301"/>
    <w:bookmarkEnd w:id="302"/>
    <w:bookmarkEnd w:id="303"/>
    <w:bookmarkEnd w:id="304"/>
    <w:bookmarkEnd w:id="305"/>
    <w:bookmarkEnd w:id="306"/>
    <w:p w14:paraId="51FAEC8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307" w:name="_Toc297216194"/>
      <w:bookmarkStart w:id="308" w:name="_Toc312678023"/>
      <w:bookmarkStart w:id="309" w:name="_Toc300934984"/>
      <w:bookmarkStart w:id="310" w:name="_Toc304295561"/>
      <w:bookmarkStart w:id="311" w:name="_Toc303539141"/>
      <w:bookmarkStart w:id="312" w:name="_Toc312677497"/>
      <w:bookmarkStart w:id="313" w:name="_Toc297123535"/>
      <w:bookmarkStart w:id="314" w:name="_Toc318581174"/>
      <w:r>
        <w:rPr>
          <w:rFonts w:hint="eastAsia" w:ascii="宋体" w:hAnsi="宋体" w:eastAsia="宋体" w:cs="宋体"/>
          <w:color w:val="auto"/>
          <w:szCs w:val="21"/>
          <w:highlight w:val="none"/>
        </w:rPr>
        <w:t>.1.2 试验设备</w:t>
      </w:r>
    </w:p>
    <w:p w14:paraId="0E4FA64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施工现场需要配置的试验场所</w:t>
      </w:r>
      <w:bookmarkEnd w:id="307"/>
      <w:bookmarkEnd w:id="308"/>
      <w:bookmarkEnd w:id="309"/>
      <w:bookmarkEnd w:id="310"/>
      <w:bookmarkEnd w:id="311"/>
      <w:bookmarkEnd w:id="312"/>
      <w:bookmarkEnd w:id="313"/>
      <w:bookmarkStart w:id="315" w:name="_Toc312678024"/>
      <w:bookmarkStart w:id="316" w:name="_Toc300934985"/>
      <w:bookmarkStart w:id="317" w:name="_Toc312677498"/>
      <w:bookmarkStart w:id="318" w:name="_Toc303539142"/>
      <w:bookmarkStart w:id="319" w:name="_Toc304295562"/>
      <w:bookmarkStart w:id="320" w:name="_Toc297216195"/>
      <w:bookmarkStart w:id="321" w:name="_Toc297123536"/>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按有关规定执行，承包人自行承担费用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917B56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按有关规定执行，承包人自行承担费用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FBAB1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按有关规定执行，承包人自行承担费用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464FC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9.4 现场工艺试验 </w:t>
      </w:r>
    </w:p>
    <w:p w14:paraId="59B4A7E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按有关规定执行，承包人自行承担费用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314"/>
    <w:bookmarkEnd w:id="315"/>
    <w:bookmarkEnd w:id="316"/>
    <w:bookmarkEnd w:id="317"/>
    <w:bookmarkEnd w:id="318"/>
    <w:bookmarkEnd w:id="319"/>
    <w:bookmarkEnd w:id="320"/>
    <w:bookmarkEnd w:id="321"/>
    <w:p w14:paraId="6B90FDC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322" w:name="_Toc95223471"/>
      <w:bookmarkStart w:id="323" w:name="_Toc351203642"/>
      <w:r>
        <w:rPr>
          <w:rFonts w:hint="eastAsia" w:ascii="宋体" w:hAnsi="宋体" w:eastAsia="宋体" w:cs="宋体"/>
          <w:bCs/>
          <w:color w:val="auto"/>
          <w:sz w:val="21"/>
          <w:szCs w:val="21"/>
          <w:highlight w:val="none"/>
        </w:rPr>
        <w:t>1</w:t>
      </w:r>
      <w:bookmarkEnd w:id="288"/>
      <w:bookmarkEnd w:id="289"/>
      <w:bookmarkEnd w:id="290"/>
      <w:bookmarkEnd w:id="291"/>
      <w:bookmarkEnd w:id="292"/>
      <w:bookmarkEnd w:id="293"/>
      <w:bookmarkEnd w:id="294"/>
      <w:bookmarkEnd w:id="295"/>
      <w:bookmarkEnd w:id="296"/>
      <w:bookmarkEnd w:id="297"/>
      <w:bookmarkEnd w:id="298"/>
      <w:bookmarkEnd w:id="299"/>
      <w:bookmarkStart w:id="324" w:name="_Toc296891021"/>
      <w:bookmarkStart w:id="325" w:name="_Toc292559398"/>
      <w:bookmarkStart w:id="326" w:name="_Toc303539146"/>
      <w:bookmarkStart w:id="327" w:name="_Toc297048379"/>
      <w:bookmarkStart w:id="328" w:name="_Toc296347192"/>
      <w:bookmarkStart w:id="329" w:name="_Toc297216199"/>
      <w:bookmarkStart w:id="330" w:name="_Toc297120493"/>
      <w:bookmarkStart w:id="331" w:name="_Toc297123540"/>
      <w:bookmarkStart w:id="332" w:name="_Toc296891233"/>
      <w:bookmarkStart w:id="333" w:name="_Toc300934989"/>
      <w:bookmarkStart w:id="334" w:name="_Toc296503193"/>
      <w:bookmarkStart w:id="335" w:name="_Toc296346694"/>
      <w:bookmarkStart w:id="336" w:name="_Toc292559903"/>
      <w:bookmarkStart w:id="337" w:name="_Toc296944532"/>
      <w:bookmarkStart w:id="338" w:name="_Toc304295566"/>
      <w:bookmarkStart w:id="339" w:name="_Toc312677499"/>
      <w:bookmarkStart w:id="340" w:name="_Toc312678025"/>
      <w:bookmarkStart w:id="341" w:name="_Toc267251441"/>
      <w:bookmarkStart w:id="342" w:name="_Toc267251437"/>
      <w:bookmarkStart w:id="343" w:name="_Toc267251439"/>
      <w:bookmarkStart w:id="344" w:name="_Toc267251440"/>
      <w:bookmarkStart w:id="345" w:name="_Toc267251435"/>
      <w:bookmarkStart w:id="346" w:name="_Toc267251433"/>
      <w:bookmarkStart w:id="347" w:name="_Toc267251442"/>
      <w:r>
        <w:rPr>
          <w:rFonts w:hint="eastAsia" w:ascii="宋体" w:hAnsi="宋体" w:eastAsia="宋体" w:cs="宋体"/>
          <w:bCs/>
          <w:color w:val="auto"/>
          <w:sz w:val="21"/>
          <w:szCs w:val="21"/>
          <w:highlight w:val="none"/>
        </w:rPr>
        <w:t>0. 变更</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bookmarkEnd w:id="339"/>
    <w:bookmarkEnd w:id="340"/>
    <w:p w14:paraId="7B523C3A">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bookmarkStart w:id="348" w:name="_Toc296891022"/>
      <w:bookmarkStart w:id="349" w:name="_Toc296944533"/>
      <w:bookmarkStart w:id="350" w:name="_Toc296346695"/>
      <w:bookmarkStart w:id="351" w:name="_Toc312678026"/>
      <w:bookmarkStart w:id="352" w:name="_Toc304295567"/>
      <w:bookmarkStart w:id="353" w:name="_Toc296503194"/>
      <w:bookmarkStart w:id="354" w:name="_Toc300934990"/>
      <w:bookmarkStart w:id="355" w:name="_Toc297216200"/>
      <w:bookmarkStart w:id="356" w:name="_Toc292559904"/>
      <w:bookmarkStart w:id="357" w:name="_Toc297123541"/>
      <w:bookmarkStart w:id="358" w:name="_Toc303539147"/>
      <w:bookmarkStart w:id="359" w:name="_Toc297120494"/>
      <w:bookmarkStart w:id="360" w:name="_Toc297048380"/>
      <w:bookmarkStart w:id="361" w:name="_Toc292559399"/>
      <w:bookmarkStart w:id="362" w:name="_Toc312677500"/>
      <w:bookmarkStart w:id="363" w:name="_Toc296347193"/>
      <w:bookmarkStart w:id="364" w:name="_Toc296891234"/>
      <w:r>
        <w:rPr>
          <w:rFonts w:hint="eastAsia" w:ascii="宋体" w:hAnsi="宋体" w:eastAsia="宋体" w:cs="宋体"/>
          <w:bCs/>
          <w:color w:val="auto"/>
          <w:szCs w:val="21"/>
          <w:highlight w:val="none"/>
        </w:rPr>
        <w:t>0.1 变更的范围</w:t>
      </w:r>
    </w:p>
    <w:p w14:paraId="32B4E13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执行通用条款，符合国家、省、市相关文件规定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F14588">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10.4 变更估价</w:t>
      </w:r>
    </w:p>
    <w:p w14:paraId="20B0C8EF">
      <w:pPr>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14:paraId="1CCB1E2C">
      <w:pPr>
        <w:pageBreakBefore w:val="0"/>
        <w:widowControl w:val="0"/>
        <w:kinsoku/>
        <w:wordWrap/>
        <w:overflowPunct/>
        <w:topLinePunct w:val="0"/>
        <w:autoSpaceDE/>
        <w:autoSpaceDN/>
        <w:bidi w:val="0"/>
        <w:snapToGrid w:val="0"/>
        <w:spacing w:afterLines="0" w:line="500" w:lineRule="exact"/>
        <w:ind w:left="-202" w:leftChars="-96" w:right="-500" w:rightChars="-238" w:firstLine="420" w:firstLineChars="200"/>
        <w:jc w:val="left"/>
        <w:textAlignment w:val="auto"/>
        <w:rPr>
          <w:rFonts w:hint="eastAsia" w:ascii="宋体" w:hAnsi="宋体" w:eastAsia="宋体" w:cs="宋体"/>
          <w:bCs/>
          <w:color w:val="auto"/>
          <w:szCs w:val="21"/>
          <w:highlight w:val="none"/>
          <w:shd w:val="clear" w:color="auto" w:fill="auto"/>
        </w:rPr>
      </w:pPr>
      <w:r>
        <w:rPr>
          <w:rFonts w:hint="eastAsia" w:ascii="宋体" w:hAnsi="宋体" w:eastAsia="宋体" w:cs="宋体"/>
          <w:color w:val="auto"/>
          <w:szCs w:val="21"/>
          <w:highlight w:val="none"/>
        </w:rPr>
        <w:t>关于变更估价的约定：</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bCs/>
          <w:color w:val="auto"/>
          <w:kern w:val="0"/>
          <w:szCs w:val="21"/>
          <w:highlight w:val="none"/>
          <w:u w:val="single"/>
          <w:shd w:val="clear" w:color="auto" w:fill="auto"/>
        </w:rPr>
        <w:t>按国家、省、市相关文件规定。</w:t>
      </w:r>
    </w:p>
    <w:p w14:paraId="37402881">
      <w:pPr>
        <w:keepNext/>
        <w:keepLines/>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Start w:id="365" w:name="_Toc296503197"/>
      <w:bookmarkStart w:id="366" w:name="_Toc300934993"/>
      <w:bookmarkStart w:id="367" w:name="_Toc303539150"/>
      <w:bookmarkStart w:id="368" w:name="_Toc297216203"/>
      <w:bookmarkStart w:id="369" w:name="_Toc296891237"/>
      <w:bookmarkStart w:id="370" w:name="_Toc297123544"/>
      <w:bookmarkStart w:id="371" w:name="_Toc296891025"/>
      <w:bookmarkStart w:id="372" w:name="_Toc297048383"/>
      <w:bookmarkStart w:id="373" w:name="_Toc297120497"/>
      <w:bookmarkStart w:id="374" w:name="_Toc296346698"/>
      <w:bookmarkStart w:id="375" w:name="_Toc292559402"/>
      <w:bookmarkStart w:id="376" w:name="_Toc296347196"/>
      <w:bookmarkStart w:id="377" w:name="_Toc296944536"/>
      <w:bookmarkStart w:id="378" w:name="_Toc292559907"/>
      <w:bookmarkStart w:id="379" w:name="_Toc312677503"/>
      <w:bookmarkStart w:id="380" w:name="_Toc304295570"/>
      <w:bookmarkStart w:id="381" w:name="_Toc312678029"/>
      <w:r>
        <w:rPr>
          <w:rFonts w:hint="eastAsia" w:ascii="宋体" w:hAnsi="宋体" w:eastAsia="宋体" w:cs="宋体"/>
          <w:bCs/>
          <w:color w:val="auto"/>
          <w:szCs w:val="21"/>
          <w:highlight w:val="none"/>
        </w:rPr>
        <w:t>0.5 承</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82" w:name="_Toc292559408"/>
      <w:bookmarkStart w:id="383" w:name="_Toc296891243"/>
      <w:bookmarkStart w:id="384" w:name="_Toc296347202"/>
      <w:bookmarkStart w:id="385" w:name="_Toc300934994"/>
      <w:bookmarkStart w:id="386" w:name="_Toc303539151"/>
      <w:bookmarkStart w:id="387" w:name="_Toc292559913"/>
      <w:bookmarkStart w:id="388" w:name="_Toc296944542"/>
      <w:bookmarkStart w:id="389" w:name="_Toc297216204"/>
      <w:bookmarkStart w:id="390" w:name="_Toc296503203"/>
      <w:bookmarkStart w:id="391" w:name="_Toc297120503"/>
      <w:bookmarkStart w:id="392" w:name="_Toc297123545"/>
      <w:bookmarkStart w:id="393" w:name="_Toc297048389"/>
      <w:bookmarkStart w:id="394" w:name="_Toc296891031"/>
      <w:bookmarkStart w:id="395" w:name="_Toc296346704"/>
      <w:r>
        <w:rPr>
          <w:rFonts w:hint="eastAsia" w:ascii="宋体" w:hAnsi="宋体" w:eastAsia="宋体" w:cs="宋体"/>
          <w:bCs/>
          <w:color w:val="auto"/>
          <w:szCs w:val="21"/>
          <w:highlight w:val="none"/>
        </w:rPr>
        <w:t>包人的合理化建议</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155CEA8F">
      <w:pPr>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4C03CD">
      <w:pPr>
        <w:pageBreakBefore w:val="0"/>
        <w:widowControl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314CF3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396" w:name="_Toc300934995"/>
      <w:bookmarkStart w:id="397" w:name="_Toc304295571"/>
      <w:bookmarkStart w:id="398" w:name="_Toc292559914"/>
      <w:bookmarkStart w:id="399" w:name="_Toc297120504"/>
      <w:bookmarkStart w:id="400" w:name="_Toc297123546"/>
      <w:bookmarkStart w:id="401" w:name="_Toc296891032"/>
      <w:bookmarkStart w:id="402" w:name="_Toc296346705"/>
      <w:bookmarkStart w:id="403" w:name="_Toc303539152"/>
      <w:bookmarkStart w:id="404" w:name="_Toc296944543"/>
      <w:bookmarkStart w:id="405" w:name="_Toc318581175"/>
      <w:bookmarkStart w:id="406" w:name="_Toc297216205"/>
      <w:bookmarkStart w:id="407" w:name="_Toc296347203"/>
      <w:bookmarkStart w:id="408" w:name="_Toc312678030"/>
      <w:bookmarkStart w:id="409" w:name="_Toc292559409"/>
      <w:bookmarkStart w:id="410" w:name="_Toc312677504"/>
      <w:bookmarkStart w:id="411" w:name="_Toc296503204"/>
      <w:bookmarkStart w:id="412" w:name="_Toc297048390"/>
      <w:bookmarkStart w:id="413" w:name="_Toc296891244"/>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1176694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bookmarkStart w:id="414" w:name="_Toc297048385"/>
      <w:bookmarkStart w:id="415" w:name="_Toc312678033"/>
      <w:bookmarkStart w:id="416" w:name="_Toc296346700"/>
      <w:bookmarkStart w:id="417" w:name="_Toc304295574"/>
      <w:bookmarkStart w:id="418" w:name="_Toc292559404"/>
      <w:bookmarkStart w:id="419" w:name="_Toc296503199"/>
      <w:bookmarkStart w:id="420" w:name="_Toc300934997"/>
      <w:bookmarkStart w:id="421" w:name="_Toc297120499"/>
      <w:bookmarkStart w:id="422" w:name="_Toc312677507"/>
      <w:bookmarkStart w:id="423" w:name="_Toc296944538"/>
      <w:bookmarkStart w:id="424" w:name="_Toc292559909"/>
      <w:bookmarkStart w:id="425" w:name="_Toc296891239"/>
      <w:bookmarkStart w:id="426" w:name="_Toc296891027"/>
      <w:bookmarkStart w:id="427" w:name="_Toc303539154"/>
      <w:bookmarkStart w:id="428" w:name="_Toc296347198"/>
      <w:bookmarkStart w:id="429" w:name="_Toc297216207"/>
      <w:bookmarkStart w:id="430" w:name="_Toc297123548"/>
      <w:r>
        <w:rPr>
          <w:rFonts w:hint="eastAsia" w:ascii="宋体" w:hAnsi="宋体" w:eastAsia="宋体" w:cs="宋体"/>
          <w:bCs/>
          <w:color w:val="auto"/>
          <w:szCs w:val="21"/>
          <w:highlight w:val="none"/>
        </w:rPr>
        <w:t>0.7 暂估价</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35B082B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431" w:name="_Toc312678034"/>
      <w:bookmarkStart w:id="432" w:name="_Toc318581176"/>
      <w:bookmarkStart w:id="433" w:name="_Toc312677508"/>
      <w:r>
        <w:rPr>
          <w:rFonts w:hint="eastAsia" w:ascii="宋体" w:hAnsi="宋体" w:eastAsia="宋体" w:cs="宋体"/>
          <w:color w:val="auto"/>
          <w:kern w:val="0"/>
          <w:szCs w:val="21"/>
          <w:highlight w:val="none"/>
        </w:rPr>
        <w:t>估价材料和工程设备的明细详见附件12：《</w:t>
      </w:r>
      <w:r>
        <w:rPr>
          <w:rFonts w:hint="eastAsia" w:ascii="宋体" w:hAnsi="宋体" w:eastAsia="宋体" w:cs="宋体"/>
          <w:color w:val="auto"/>
          <w:szCs w:val="21"/>
          <w:highlight w:val="none"/>
        </w:rPr>
        <w:t>暂估价一览表》</w:t>
      </w:r>
      <w:r>
        <w:rPr>
          <w:rFonts w:hint="eastAsia" w:ascii="宋体" w:hAnsi="宋体" w:eastAsia="宋体" w:cs="宋体"/>
          <w:color w:val="auto"/>
          <w:kern w:val="0"/>
          <w:szCs w:val="21"/>
          <w:highlight w:val="none"/>
        </w:rPr>
        <w:t>。</w:t>
      </w:r>
    </w:p>
    <w:bookmarkEnd w:id="431"/>
    <w:bookmarkEnd w:id="432"/>
    <w:bookmarkEnd w:id="433"/>
    <w:p w14:paraId="20AB783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434" w:name="_Toc318581177"/>
      <w:bookmarkStart w:id="435" w:name="_Toc312678035"/>
      <w:bookmarkStart w:id="436" w:name="_Toc312677509"/>
      <w:r>
        <w:rPr>
          <w:rFonts w:hint="eastAsia" w:ascii="宋体" w:hAnsi="宋体" w:eastAsia="宋体" w:cs="宋体"/>
          <w:color w:val="auto"/>
          <w:szCs w:val="21"/>
          <w:highlight w:val="none"/>
        </w:rPr>
        <w:t>0.7.1 依法必须招标的暂估价项目</w:t>
      </w:r>
    </w:p>
    <w:bookmarkEnd w:id="434"/>
    <w:bookmarkEnd w:id="435"/>
    <w:bookmarkEnd w:id="436"/>
    <w:p w14:paraId="000200C5">
      <w:pPr>
        <w:pageBreakBefore w:val="0"/>
        <w:kinsoku/>
        <w:wordWrap/>
        <w:overflowPunct/>
        <w:topLinePunct w:val="0"/>
        <w:autoSpaceDE/>
        <w:autoSpaceDN/>
        <w:bidi w:val="0"/>
        <w:adjustRightInd w:val="0"/>
        <w:snapToGrid w:val="0"/>
        <w:spacing w:afterLines="0" w:line="500" w:lineRule="exact"/>
        <w:ind w:left="-202" w:leftChars="-96" w:right="-500" w:rightChars="-238"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对于依法必须招标的暂估价项目的确认和批准由招标人通过招标方式确定</w:t>
      </w:r>
      <w:r>
        <w:rPr>
          <w:rFonts w:hint="eastAsia" w:ascii="宋体" w:hAnsi="宋体" w:eastAsia="宋体" w:cs="宋体"/>
          <w:color w:val="auto"/>
          <w:szCs w:val="21"/>
          <w:highlight w:val="none"/>
        </w:rPr>
        <w:t>。</w:t>
      </w:r>
    </w:p>
    <w:p w14:paraId="14E0C09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4B47276D">
      <w:pPr>
        <w:pageBreakBefore w:val="0"/>
        <w:kinsoku/>
        <w:wordWrap/>
        <w:overflowPunct/>
        <w:topLinePunct w:val="0"/>
        <w:autoSpaceDE/>
        <w:autoSpaceDN/>
        <w:bidi w:val="0"/>
        <w:adjustRightInd w:val="0"/>
        <w:snapToGrid w:val="0"/>
        <w:spacing w:afterLines="0" w:line="500" w:lineRule="exact"/>
        <w:ind w:left="-202" w:leftChars="-96" w:right="-500" w:rightChars="-238"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对于依法必须招标的暂估价项目的确认和批准由招标人通过招标方式确定</w:t>
      </w:r>
      <w:r>
        <w:rPr>
          <w:rFonts w:hint="eastAsia" w:ascii="宋体" w:hAnsi="宋体" w:eastAsia="宋体" w:cs="宋体"/>
          <w:color w:val="auto"/>
          <w:szCs w:val="21"/>
          <w:highlight w:val="none"/>
        </w:rPr>
        <w:t>。</w:t>
      </w:r>
    </w:p>
    <w:p w14:paraId="54C5A3D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3D07243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执行通用条款 </w:t>
      </w:r>
      <w:r>
        <w:rPr>
          <w:rFonts w:hint="eastAsia" w:ascii="宋体" w:hAnsi="宋体" w:eastAsia="宋体" w:cs="宋体"/>
          <w:color w:val="auto"/>
          <w:szCs w:val="21"/>
          <w:highlight w:val="none"/>
        </w:rPr>
        <w:t>。</w:t>
      </w:r>
    </w:p>
    <w:p w14:paraId="63480CB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10.8 暂列金额</w:t>
      </w:r>
    </w:p>
    <w:p w14:paraId="256361F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暂列金是发包人为可能发生工程变更而暂列的金额，是</w:t>
      </w:r>
      <w:r>
        <w:rPr>
          <w:rFonts w:hint="eastAsia" w:ascii="宋体" w:hAnsi="宋体" w:eastAsia="宋体" w:cs="宋体"/>
          <w:color w:val="auto"/>
          <w:szCs w:val="21"/>
          <w:highlight w:val="none"/>
          <w:u w:val="single"/>
          <w:lang w:val="en-US" w:eastAsia="zh-CN"/>
        </w:rPr>
        <w:t>项目单位</w:t>
      </w:r>
      <w:r>
        <w:rPr>
          <w:rFonts w:hint="eastAsia" w:ascii="宋体" w:hAnsi="宋体" w:eastAsia="宋体" w:cs="宋体"/>
          <w:color w:val="auto"/>
          <w:szCs w:val="21"/>
          <w:highlight w:val="none"/>
          <w:u w:val="single"/>
        </w:rPr>
        <w:t>自行确定设立的，承包商无权使用此笔费用。此费用按实际发生经</w:t>
      </w:r>
      <w:r>
        <w:rPr>
          <w:rFonts w:hint="eastAsia" w:ascii="宋体" w:hAnsi="宋体" w:eastAsia="宋体" w:cs="宋体"/>
          <w:color w:val="auto"/>
          <w:szCs w:val="21"/>
          <w:highlight w:val="none"/>
          <w:u w:val="single"/>
          <w:lang w:val="en-US" w:eastAsia="zh-CN"/>
        </w:rPr>
        <w:t>项目单位</w:t>
      </w:r>
      <w:r>
        <w:rPr>
          <w:rFonts w:hint="eastAsia" w:ascii="宋体" w:hAnsi="宋体" w:eastAsia="宋体" w:cs="宋体"/>
          <w:color w:val="auto"/>
          <w:szCs w:val="21"/>
          <w:highlight w:val="none"/>
          <w:u w:val="single"/>
        </w:rPr>
        <w:t>签证后确定全部使用、部分使用或不使用。暂列金不计入工程款付款的基数</w:t>
      </w:r>
      <w:r>
        <w:rPr>
          <w:rFonts w:hint="eastAsia" w:ascii="宋体" w:hAnsi="宋体" w:eastAsia="宋体" w:cs="宋体"/>
          <w:color w:val="auto"/>
          <w:kern w:val="0"/>
          <w:szCs w:val="21"/>
          <w:highlight w:val="none"/>
        </w:rPr>
        <w:t>。</w:t>
      </w:r>
    </w:p>
    <w:p w14:paraId="1786B0EE">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437" w:name="_Toc351203643"/>
      <w:bookmarkStart w:id="438" w:name="_Toc95223472"/>
      <w:r>
        <w:rPr>
          <w:rFonts w:hint="eastAsia" w:ascii="宋体" w:hAnsi="宋体" w:eastAsia="宋体" w:cs="宋体"/>
          <w:bCs/>
          <w:color w:val="auto"/>
          <w:sz w:val="21"/>
          <w:szCs w:val="21"/>
          <w:highlight w:val="none"/>
        </w:rPr>
        <w:t>11. 价格调整</w:t>
      </w:r>
      <w:bookmarkEnd w:id="437"/>
      <w:bookmarkEnd w:id="438"/>
    </w:p>
    <w:p w14:paraId="29460FE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bookmarkStart w:id="439" w:name="_Toc296346702"/>
      <w:bookmarkStart w:id="440" w:name="_Toc312678039"/>
      <w:bookmarkStart w:id="441" w:name="_Toc292559406"/>
      <w:bookmarkStart w:id="442" w:name="_Toc297120501"/>
      <w:bookmarkStart w:id="443" w:name="_Toc296891029"/>
      <w:bookmarkStart w:id="444" w:name="_Toc296347200"/>
      <w:bookmarkStart w:id="445" w:name="_Toc296503201"/>
      <w:bookmarkStart w:id="446" w:name="_Toc296891241"/>
      <w:bookmarkStart w:id="447" w:name="_Toc300935000"/>
      <w:bookmarkStart w:id="448" w:name="_Toc297048387"/>
      <w:bookmarkStart w:id="449" w:name="_Toc292559911"/>
      <w:bookmarkStart w:id="450" w:name="_Toc297123550"/>
      <w:bookmarkStart w:id="451" w:name="_Toc304295577"/>
      <w:bookmarkStart w:id="452" w:name="_Toc303539157"/>
      <w:bookmarkStart w:id="453" w:name="_Toc297216209"/>
      <w:bookmarkStart w:id="454" w:name="_Toc296944540"/>
      <w:r>
        <w:rPr>
          <w:rFonts w:hint="eastAsia" w:ascii="宋体" w:hAnsi="宋体" w:eastAsia="宋体" w:cs="宋体"/>
          <w:bCs/>
          <w:color w:val="auto"/>
          <w:szCs w:val="21"/>
          <w:highlight w:val="none"/>
        </w:rPr>
        <w:t>11.1 市场价格波动引起的调整</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0471181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b/>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不</w:t>
      </w:r>
      <w:r>
        <w:rPr>
          <w:rFonts w:hint="eastAsia" w:ascii="宋体" w:hAnsi="宋体" w:eastAsia="宋体" w:cs="宋体"/>
          <w:b w:val="0"/>
          <w:bCs/>
          <w:color w:val="auto"/>
          <w:szCs w:val="21"/>
          <w:highlight w:val="none"/>
          <w:u w:val="single"/>
        </w:rPr>
        <w:t>调整</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8ADE2C9">
      <w:pPr>
        <w:pageBreakBefore w:val="0"/>
        <w:numPr>
          <w:ilvl w:val="0"/>
          <w:numId w:val="0"/>
        </w:numPr>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11.2人工费调整按省建设行政主管部门或其授权的工程造价管理机构发布的调整文件规定执行。</w:t>
      </w:r>
    </w:p>
    <w:bookmarkEnd w:id="341"/>
    <w:bookmarkEnd w:id="342"/>
    <w:bookmarkEnd w:id="343"/>
    <w:bookmarkEnd w:id="344"/>
    <w:bookmarkEnd w:id="345"/>
    <w:bookmarkEnd w:id="346"/>
    <w:p w14:paraId="77B50926">
      <w:pPr>
        <w:pageBreakBefore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bookmarkStart w:id="455" w:name="_Toc296944544"/>
      <w:bookmarkStart w:id="456" w:name="_Toc296891245"/>
      <w:bookmarkStart w:id="457" w:name="_Toc297120505"/>
      <w:bookmarkStart w:id="458" w:name="_Toc292559410"/>
      <w:bookmarkStart w:id="459" w:name="_Toc292559915"/>
      <w:bookmarkStart w:id="460" w:name="_Toc296891033"/>
      <w:bookmarkStart w:id="461" w:name="_Toc296503205"/>
      <w:bookmarkStart w:id="462" w:name="_Toc297048391"/>
      <w:bookmarkStart w:id="463" w:name="_Toc296346706"/>
      <w:bookmarkStart w:id="464" w:name="_Toc296347204"/>
      <w:bookmarkStart w:id="465" w:name="_Toc95223473"/>
      <w:bookmarkStart w:id="466" w:name="_Toc351203644"/>
      <w:bookmarkStart w:id="467" w:name="_Toc312678040"/>
      <w:bookmarkStart w:id="468" w:name="_Toc297123552"/>
      <w:bookmarkStart w:id="469" w:name="_Toc304295579"/>
      <w:bookmarkStart w:id="470" w:name="_Toc303539159"/>
      <w:bookmarkStart w:id="471" w:name="_Toc297216211"/>
      <w:bookmarkStart w:id="472" w:name="_Toc300935002"/>
      <w:r>
        <w:rPr>
          <w:rFonts w:hint="eastAsia" w:ascii="宋体" w:hAnsi="宋体" w:eastAsia="宋体" w:cs="宋体"/>
          <w:color w:val="auto"/>
          <w:szCs w:val="21"/>
          <w:highlight w:val="none"/>
        </w:rPr>
        <w:t>11.3暂估价材料价格调整</w:t>
      </w:r>
    </w:p>
    <w:p w14:paraId="7575D13E">
      <w:pPr>
        <w:pageBreakBefore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材料价格：除上述专用条款中第11.1条中约定的可调价格材料和实行暂估价的材料（详见</w:t>
      </w:r>
      <w:r>
        <w:rPr>
          <w:rFonts w:hint="eastAsia" w:ascii="宋体" w:hAnsi="宋体" w:eastAsia="宋体" w:cs="宋体"/>
          <w:color w:val="auto"/>
          <w:szCs w:val="21"/>
          <w:highlight w:val="none"/>
          <w:lang w:val="en-US" w:eastAsia="zh-CN"/>
        </w:rPr>
        <w:t>最高投标限价</w:t>
      </w:r>
      <w:r>
        <w:rPr>
          <w:rFonts w:hint="eastAsia" w:ascii="宋体" w:hAnsi="宋体" w:eastAsia="宋体" w:cs="宋体"/>
          <w:color w:val="auto"/>
          <w:szCs w:val="21"/>
          <w:highlight w:val="none"/>
        </w:rPr>
        <w:t>）外，其他材料由投标人按市场合格产品价格及</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文件的规定自行报价一次性包干，投标人在确定投标报价时应充分考虑材料价格上涨等市场风险因素，这部分材料价格今后将不作任何调整。</w:t>
      </w:r>
    </w:p>
    <w:p w14:paraId="36C4F081">
      <w:pPr>
        <w:pageBreakBefore w:val="0"/>
        <w:numPr>
          <w:ilvl w:val="0"/>
          <w:numId w:val="0"/>
        </w:numPr>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实行暂估价的主要材料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半成品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，在投标报价中按</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文件和</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答疑及工程量清单总说明给定的价格计算，不得减少报价，工程竣工结算时按二次招标价或甲乙双方认质认价的签证调整。</w:t>
      </w:r>
    </w:p>
    <w:p w14:paraId="74210279">
      <w:pPr>
        <w:pageBreakBefore w:val="0"/>
        <w:numPr>
          <w:ilvl w:val="0"/>
          <w:numId w:val="0"/>
        </w:numPr>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主要材料（半成品）</w:t>
      </w:r>
      <w:r>
        <w:rPr>
          <w:rFonts w:hint="eastAsia" w:ascii="宋体" w:hAnsi="宋体" w:eastAsia="宋体" w:cs="宋体"/>
          <w:b w:val="0"/>
          <w:color w:val="auto"/>
          <w:sz w:val="21"/>
          <w:szCs w:val="21"/>
          <w:highlight w:val="none"/>
        </w:rPr>
        <w:t>的价差调整价款决算时仅计取税金，不再计取其他任何费用。</w:t>
      </w:r>
    </w:p>
    <w:p w14:paraId="54D2F8F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12. </w:t>
      </w:r>
      <w:bookmarkEnd w:id="455"/>
      <w:bookmarkEnd w:id="456"/>
      <w:bookmarkEnd w:id="457"/>
      <w:bookmarkEnd w:id="458"/>
      <w:bookmarkEnd w:id="459"/>
      <w:bookmarkEnd w:id="460"/>
      <w:bookmarkEnd w:id="461"/>
      <w:bookmarkEnd w:id="462"/>
      <w:bookmarkEnd w:id="463"/>
      <w:bookmarkEnd w:id="464"/>
      <w:r>
        <w:rPr>
          <w:rFonts w:hint="eastAsia" w:ascii="宋体" w:hAnsi="宋体" w:eastAsia="宋体" w:cs="宋体"/>
          <w:bCs/>
          <w:color w:val="auto"/>
          <w:sz w:val="21"/>
          <w:szCs w:val="21"/>
          <w:highlight w:val="none"/>
        </w:rPr>
        <w:t>合同价格、计量与支付</w:t>
      </w:r>
      <w:bookmarkEnd w:id="465"/>
      <w:bookmarkEnd w:id="466"/>
    </w:p>
    <w:bookmarkEnd w:id="467"/>
    <w:bookmarkEnd w:id="468"/>
    <w:bookmarkEnd w:id="469"/>
    <w:bookmarkEnd w:id="470"/>
    <w:bookmarkEnd w:id="471"/>
    <w:bookmarkEnd w:id="472"/>
    <w:p w14:paraId="5374C42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bookmarkStart w:id="473" w:name="_Toc267251461"/>
      <w:bookmarkStart w:id="474" w:name="_Toc292559411"/>
      <w:bookmarkStart w:id="475" w:name="_Toc292559916"/>
      <w:bookmarkStart w:id="476" w:name="_Toc296891246"/>
      <w:bookmarkStart w:id="477" w:name="_Toc296944545"/>
      <w:bookmarkStart w:id="478" w:name="_Toc296503206"/>
      <w:bookmarkStart w:id="479" w:name="_Toc297120506"/>
      <w:bookmarkStart w:id="480" w:name="_Toc296347205"/>
      <w:bookmarkStart w:id="481" w:name="_Toc296346707"/>
      <w:bookmarkStart w:id="482" w:name="_Toc297048392"/>
      <w:bookmarkStart w:id="483" w:name="_Toc296891034"/>
      <w:bookmarkStart w:id="484" w:name="_Toc297123553"/>
      <w:bookmarkStart w:id="485" w:name="_Toc312678041"/>
      <w:bookmarkStart w:id="486" w:name="_Toc304295580"/>
      <w:bookmarkStart w:id="487" w:name="_Toc300935003"/>
      <w:bookmarkStart w:id="488" w:name="_Toc297216212"/>
      <w:bookmarkStart w:id="489" w:name="_Toc303539160"/>
      <w:r>
        <w:rPr>
          <w:rFonts w:hint="eastAsia" w:ascii="宋体" w:hAnsi="宋体" w:eastAsia="宋体" w:cs="宋体"/>
          <w:bCs/>
          <w:color w:val="auto"/>
          <w:szCs w:val="21"/>
          <w:highlight w:val="none"/>
        </w:rPr>
        <w:t>12.1 合</w:t>
      </w:r>
      <w:bookmarkEnd w:id="473"/>
      <w:bookmarkEnd w:id="474"/>
      <w:bookmarkEnd w:id="475"/>
      <w:r>
        <w:rPr>
          <w:rFonts w:hint="eastAsia" w:ascii="宋体" w:hAnsi="宋体" w:eastAsia="宋体" w:cs="宋体"/>
          <w:bCs/>
          <w:color w:val="auto"/>
          <w:szCs w:val="21"/>
          <w:highlight w:val="none"/>
        </w:rPr>
        <w:t>同价</w:t>
      </w:r>
      <w:bookmarkEnd w:id="476"/>
      <w:bookmarkEnd w:id="477"/>
      <w:bookmarkEnd w:id="478"/>
      <w:bookmarkEnd w:id="479"/>
      <w:bookmarkEnd w:id="480"/>
      <w:bookmarkEnd w:id="481"/>
      <w:bookmarkEnd w:id="482"/>
      <w:bookmarkEnd w:id="483"/>
      <w:r>
        <w:rPr>
          <w:rFonts w:hint="eastAsia" w:ascii="宋体" w:hAnsi="宋体" w:eastAsia="宋体" w:cs="宋体"/>
          <w:bCs/>
          <w:color w:val="auto"/>
          <w:szCs w:val="21"/>
          <w:highlight w:val="none"/>
        </w:rPr>
        <w:t>格形式</w:t>
      </w:r>
    </w:p>
    <w:bookmarkEnd w:id="484"/>
    <w:bookmarkEnd w:id="485"/>
    <w:bookmarkEnd w:id="486"/>
    <w:bookmarkEnd w:id="487"/>
    <w:bookmarkEnd w:id="488"/>
    <w:bookmarkEnd w:id="489"/>
    <w:p w14:paraId="52CA82F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合同。</w:t>
      </w:r>
    </w:p>
    <w:p w14:paraId="7BD2E35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隐含于</w:t>
      </w:r>
      <w:r>
        <w:rPr>
          <w:rFonts w:hint="eastAsia" w:ascii="宋体" w:hAnsi="宋体" w:eastAsia="宋体" w:cs="宋体"/>
          <w:color w:val="auto"/>
          <w:szCs w:val="21"/>
          <w:highlight w:val="none"/>
          <w:u w:val="single"/>
          <w:shd w:val="clear" w:color="auto" w:fill="auto"/>
          <w:lang w:val="en-US" w:eastAsia="zh-CN"/>
        </w:rPr>
        <w:t>综合单价</w:t>
      </w:r>
      <w:r>
        <w:rPr>
          <w:rFonts w:hint="eastAsia" w:ascii="宋体" w:hAnsi="宋体" w:eastAsia="宋体" w:cs="宋体"/>
          <w:color w:val="auto"/>
          <w:szCs w:val="21"/>
          <w:highlight w:val="none"/>
          <w:u w:val="single"/>
          <w:shd w:val="clear" w:color="auto" w:fill="auto"/>
        </w:rPr>
        <w:t>中，用于化解发承包双方在工程合同中约定内容和范围内的市场价格波动风险的费用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04080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000000"/>
          <w:highlight w:val="none"/>
          <w:u w:val="single"/>
          <w:lang w:val="en-US" w:eastAsia="zh-CN"/>
        </w:rPr>
        <w:t>/</w:t>
      </w:r>
      <w:r>
        <w:rPr>
          <w:rFonts w:hint="eastAsia" w:ascii="宋体" w:hAnsi="宋体" w:eastAsia="宋体" w:cs="宋体"/>
          <w:color w:val="auto"/>
          <w:szCs w:val="21"/>
          <w:highlight w:val="none"/>
        </w:rPr>
        <w:t>。</w:t>
      </w:r>
    </w:p>
    <w:p w14:paraId="48FD65E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b/>
          <w:bCs/>
          <w:color w:val="auto"/>
          <w:kern w:val="0"/>
          <w:szCs w:val="21"/>
          <w:highlight w:val="none"/>
          <w:u w:val="single"/>
          <w:shd w:val="clear" w:color="auto" w:fill="FFFFFF"/>
          <w:lang w:val="en-US" w:eastAsia="zh-CN" w:bidi="ar"/>
        </w:rPr>
        <w:t>按国家及省市相关政策执行。</w:t>
      </w:r>
    </w:p>
    <w:p w14:paraId="124D480D">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490" w:name="_Toc95223474"/>
      <w:bookmarkStart w:id="491" w:name="_Toc303539161"/>
      <w:bookmarkStart w:id="492" w:name="_Toc304295581"/>
      <w:bookmarkStart w:id="493" w:name="_Toc300935004"/>
      <w:bookmarkStart w:id="494" w:name="_Toc297216213"/>
      <w:bookmarkStart w:id="495" w:name="_Toc312678042"/>
      <w:bookmarkStart w:id="496" w:name="_Toc297123554"/>
      <w:bookmarkStart w:id="497" w:name="_Toc296891035"/>
      <w:bookmarkStart w:id="498" w:name="_Toc296944546"/>
      <w:bookmarkStart w:id="499" w:name="_Toc296346708"/>
      <w:bookmarkStart w:id="500" w:name="_Toc296503207"/>
      <w:bookmarkStart w:id="501" w:name="_Toc297048393"/>
      <w:bookmarkStart w:id="502" w:name="_Toc292559412"/>
      <w:bookmarkStart w:id="503" w:name="_Toc292559917"/>
      <w:bookmarkStart w:id="504" w:name="_Toc296347206"/>
      <w:bookmarkStart w:id="505" w:name="_Toc297120507"/>
      <w:bookmarkStart w:id="506" w:name="_Toc296891247"/>
      <w:r>
        <w:rPr>
          <w:rFonts w:hint="eastAsia" w:ascii="宋体" w:hAnsi="宋体" w:eastAsia="宋体" w:cs="宋体"/>
          <w:bCs/>
          <w:color w:val="auto"/>
          <w:sz w:val="21"/>
          <w:szCs w:val="21"/>
          <w:highlight w:val="none"/>
        </w:rPr>
        <w:t>12.2 预付款</w:t>
      </w:r>
      <w:bookmarkEnd w:id="490"/>
    </w:p>
    <w:bookmarkEnd w:id="491"/>
    <w:bookmarkEnd w:id="492"/>
    <w:bookmarkEnd w:id="493"/>
    <w:bookmarkEnd w:id="494"/>
    <w:bookmarkEnd w:id="495"/>
    <w:bookmarkEnd w:id="496"/>
    <w:p w14:paraId="35F0048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10284DE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000000"/>
          <w:highlight w:val="none"/>
          <w:u w:val="single"/>
          <w:lang w:val="en-US" w:eastAsia="zh-CN"/>
        </w:rPr>
        <w:t>/</w:t>
      </w:r>
      <w:r>
        <w:rPr>
          <w:rFonts w:hint="eastAsia" w:ascii="宋体" w:hAnsi="宋体" w:eastAsia="宋体" w:cs="宋体"/>
          <w:color w:val="auto"/>
          <w:szCs w:val="21"/>
          <w:highlight w:val="none"/>
        </w:rPr>
        <w:t>。</w:t>
      </w:r>
    </w:p>
    <w:p w14:paraId="1588278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预付款支付期限：</w:t>
      </w:r>
      <w:r>
        <w:rPr>
          <w:rFonts w:hint="eastAsia" w:ascii="宋体" w:hAnsi="宋体" w:eastAsia="宋体" w:cs="宋体"/>
          <w:color w:val="000000"/>
          <w:highlight w:val="none"/>
          <w:u w:val="single"/>
          <w:lang w:val="en-US" w:eastAsia="zh-CN"/>
        </w:rPr>
        <w:t>/</w:t>
      </w:r>
      <w:r>
        <w:rPr>
          <w:rFonts w:hint="eastAsia" w:ascii="宋体" w:hAnsi="宋体" w:eastAsia="宋体" w:cs="宋体"/>
          <w:color w:val="auto"/>
          <w:szCs w:val="21"/>
          <w:highlight w:val="none"/>
        </w:rPr>
        <w:t>。</w:t>
      </w:r>
    </w:p>
    <w:p w14:paraId="689E4EC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预付款扣回的方式：</w:t>
      </w:r>
      <w:r>
        <w:rPr>
          <w:rFonts w:hint="eastAsia" w:ascii="宋体" w:hAnsi="宋体" w:eastAsia="宋体" w:cs="宋体"/>
          <w:color w:val="000000"/>
          <w:highlight w:val="none"/>
          <w:u w:val="single"/>
          <w:lang w:val="en-US" w:eastAsia="zh-CN"/>
        </w:rPr>
        <w:t>/</w:t>
      </w:r>
      <w:r>
        <w:rPr>
          <w:rFonts w:hint="eastAsia" w:ascii="宋体" w:hAnsi="宋体" w:eastAsia="宋体" w:cs="宋体"/>
          <w:color w:val="auto"/>
          <w:szCs w:val="21"/>
          <w:highlight w:val="none"/>
          <w:u w:val="single"/>
        </w:rPr>
        <w:t>。</w:t>
      </w:r>
    </w:p>
    <w:p w14:paraId="5A3B6CD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0535D48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0D911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497"/>
    <w:bookmarkEnd w:id="498"/>
    <w:bookmarkEnd w:id="499"/>
    <w:bookmarkEnd w:id="500"/>
    <w:bookmarkEnd w:id="501"/>
    <w:bookmarkEnd w:id="502"/>
    <w:bookmarkEnd w:id="503"/>
    <w:bookmarkEnd w:id="504"/>
    <w:bookmarkEnd w:id="505"/>
    <w:bookmarkEnd w:id="506"/>
    <w:p w14:paraId="770C1A86">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07" w:name="_Toc95223475"/>
      <w:r>
        <w:rPr>
          <w:rFonts w:hint="eastAsia" w:ascii="宋体" w:hAnsi="宋体" w:eastAsia="宋体" w:cs="宋体"/>
          <w:bCs/>
          <w:color w:val="auto"/>
          <w:sz w:val="21"/>
          <w:szCs w:val="21"/>
          <w:highlight w:val="none"/>
        </w:rPr>
        <w:t>12.3 计量</w:t>
      </w:r>
      <w:bookmarkEnd w:id="507"/>
    </w:p>
    <w:p w14:paraId="16EED81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50898ED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执行《2018版安徽省建设工程计价依据》相关专业工程量计算规则</w:t>
      </w:r>
      <w:r>
        <w:rPr>
          <w:rFonts w:hint="eastAsia" w:ascii="宋体" w:hAnsi="宋体" w:eastAsia="宋体" w:cs="宋体"/>
          <w:b/>
          <w:color w:val="auto"/>
          <w:szCs w:val="21"/>
          <w:highlight w:val="none"/>
        </w:rPr>
        <w:t>。</w:t>
      </w:r>
    </w:p>
    <w:p w14:paraId="7B226BA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5815F04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u w:val="single"/>
        </w:rPr>
        <w:t xml:space="preserve"> 按月计量  </w:t>
      </w:r>
      <w:r>
        <w:rPr>
          <w:rFonts w:hint="eastAsia" w:ascii="宋体" w:hAnsi="宋体" w:eastAsia="宋体" w:cs="宋体"/>
          <w:b/>
          <w:color w:val="auto"/>
          <w:szCs w:val="21"/>
          <w:highlight w:val="none"/>
        </w:rPr>
        <w:t>。</w:t>
      </w:r>
    </w:p>
    <w:p w14:paraId="78518DB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687AFC0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w:t>
      </w:r>
    </w:p>
    <w:p w14:paraId="16F2663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484A8E9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不执行 </w:t>
      </w:r>
      <w:r>
        <w:rPr>
          <w:rFonts w:hint="eastAsia" w:ascii="宋体" w:hAnsi="宋体" w:eastAsia="宋体" w:cs="宋体"/>
          <w:color w:val="auto"/>
          <w:szCs w:val="21"/>
          <w:highlight w:val="none"/>
        </w:rPr>
        <w:t>。</w:t>
      </w:r>
    </w:p>
    <w:p w14:paraId="256CB76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 总价合同采用支付分解表计量支付的，是否适用第</w:t>
      </w:r>
      <w:r>
        <w:rPr>
          <w:rFonts w:hint="eastAsia" w:ascii="宋体" w:hAnsi="宋体" w:eastAsia="宋体" w:cs="宋体"/>
          <w:color w:val="auto"/>
          <w:kern w:val="0"/>
          <w:szCs w:val="21"/>
          <w:highlight w:val="none"/>
        </w:rPr>
        <w:t>12.3.4</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 xml:space="preserve"> 不执行  </w:t>
      </w:r>
      <w:r>
        <w:rPr>
          <w:rFonts w:hint="eastAsia" w:ascii="宋体" w:hAnsi="宋体" w:eastAsia="宋体" w:cs="宋体"/>
          <w:b/>
          <w:color w:val="auto"/>
          <w:szCs w:val="21"/>
          <w:highlight w:val="none"/>
        </w:rPr>
        <w:t>。</w:t>
      </w:r>
    </w:p>
    <w:p w14:paraId="5D6353F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412CD0C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不执行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243D96">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08" w:name="_Toc95223476"/>
      <w:r>
        <w:rPr>
          <w:rFonts w:hint="eastAsia" w:ascii="宋体" w:hAnsi="宋体" w:eastAsia="宋体" w:cs="宋体"/>
          <w:bCs/>
          <w:color w:val="auto"/>
          <w:sz w:val="21"/>
          <w:szCs w:val="21"/>
          <w:highlight w:val="none"/>
        </w:rPr>
        <w:t>12.4 工程进度款支付</w:t>
      </w:r>
      <w:bookmarkEnd w:id="508"/>
    </w:p>
    <w:p w14:paraId="080306E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bookmarkStart w:id="509" w:name="_Toc296347210"/>
      <w:bookmarkStart w:id="510" w:name="_Toc292559416"/>
      <w:bookmarkStart w:id="511" w:name="_Toc296944550"/>
      <w:bookmarkStart w:id="512" w:name="_Toc292559921"/>
      <w:bookmarkStart w:id="513" w:name="_Toc300935006"/>
      <w:bookmarkStart w:id="514" w:name="_Toc296346712"/>
      <w:bookmarkStart w:id="515" w:name="_Toc297216215"/>
      <w:bookmarkStart w:id="516" w:name="_Toc297120511"/>
      <w:bookmarkStart w:id="517" w:name="_Toc297048397"/>
      <w:bookmarkStart w:id="518" w:name="_Toc296503211"/>
      <w:bookmarkStart w:id="519" w:name="_Toc303539163"/>
      <w:bookmarkStart w:id="520" w:name="_Toc296891039"/>
      <w:bookmarkStart w:id="521" w:name="_Toc296891251"/>
      <w:bookmarkStart w:id="522" w:name="_Toc297123556"/>
      <w:r>
        <w:rPr>
          <w:rFonts w:hint="eastAsia" w:ascii="宋体" w:hAnsi="宋体" w:eastAsia="宋体" w:cs="宋体"/>
          <w:color w:val="auto"/>
          <w:szCs w:val="21"/>
          <w:highlight w:val="none"/>
        </w:rPr>
        <w:t>12.4.1 付款周期</w:t>
      </w:r>
    </w:p>
    <w:p w14:paraId="66D38E0A">
      <w:pPr>
        <w:pageBreakBefore w:val="0"/>
        <w:numPr>
          <w:ilvl w:val="0"/>
          <w:numId w:val="0"/>
        </w:numPr>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szCs w:val="21"/>
          <w:highlight w:val="none"/>
        </w:rPr>
        <w:t>关于付款周期的约定：</w:t>
      </w:r>
      <w:r>
        <w:rPr>
          <w:rFonts w:hint="eastAsia" w:ascii="宋体" w:hAnsi="宋体" w:eastAsia="宋体" w:cs="宋体"/>
          <w:b/>
          <w:bCs/>
          <w:color w:val="auto"/>
          <w:szCs w:val="21"/>
          <w:highlight w:val="none"/>
          <w:u w:val="single"/>
          <w:lang w:val="en-US" w:eastAsia="zh-CN"/>
        </w:rPr>
        <w:t>工程竣工验收合格并经结算审计后付至价款的95%，剩余5%作为质保金，待缺陷责任期（自验收合格之日起两年）满后一次性付清。</w:t>
      </w:r>
    </w:p>
    <w:p w14:paraId="292563EF">
      <w:pPr>
        <w:pageBreakBefore w:val="0"/>
        <w:numPr>
          <w:ilvl w:val="0"/>
          <w:numId w:val="0"/>
        </w:numPr>
        <w:kinsoku/>
        <w:wordWrap/>
        <w:overflowPunct/>
        <w:topLinePunct w:val="0"/>
        <w:autoSpaceDE/>
        <w:autoSpaceDN/>
        <w:bidi w:val="0"/>
        <w:spacing w:afterLines="0" w:line="500" w:lineRule="exact"/>
        <w:ind w:left="-202" w:leftChars="-96" w:right="-500" w:rightChars="-238" w:firstLine="422" w:firstLineChars="20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none"/>
          <w:lang w:val="en-US" w:eastAsia="zh-CN" w:bidi="ar-SA"/>
        </w:rPr>
        <w:t>关于付款周期的其他约定：</w:t>
      </w:r>
      <w:r>
        <w:rPr>
          <w:rFonts w:hint="eastAsia" w:ascii="宋体" w:hAnsi="宋体" w:eastAsia="宋体" w:cs="宋体"/>
          <w:b/>
          <w:bCs/>
          <w:color w:val="auto"/>
          <w:kern w:val="2"/>
          <w:sz w:val="21"/>
          <w:szCs w:val="21"/>
          <w:highlight w:val="none"/>
          <w:u w:val="single"/>
          <w:lang w:val="en-US" w:eastAsia="zh-CN" w:bidi="ar-SA"/>
        </w:rPr>
        <w:t xml:space="preserve">           /                    。</w:t>
      </w:r>
    </w:p>
    <w:p w14:paraId="0A2BFB4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47ADBC8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按监理要求     </w:t>
      </w:r>
      <w:r>
        <w:rPr>
          <w:rFonts w:hint="eastAsia" w:ascii="宋体" w:hAnsi="宋体" w:eastAsia="宋体" w:cs="宋体"/>
          <w:color w:val="auto"/>
          <w:szCs w:val="21"/>
          <w:highlight w:val="none"/>
        </w:rPr>
        <w:t>。</w:t>
      </w:r>
    </w:p>
    <w:p w14:paraId="388A65A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宋体" w:hAnsi="宋体" w:eastAsia="宋体" w:cs="宋体"/>
          <w:color w:val="auto"/>
          <w:szCs w:val="21"/>
          <w:highlight w:val="none"/>
        </w:rPr>
        <w:t>2.4.3 进度付款申请单的提交</w:t>
      </w:r>
    </w:p>
    <w:p w14:paraId="6628F43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按监理要求</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8DC38B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77090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C0F18F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547F2C2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 xml:space="preserve">  执行通用条款   </w:t>
      </w:r>
      <w:r>
        <w:rPr>
          <w:rFonts w:hint="eastAsia" w:ascii="宋体" w:hAnsi="宋体" w:eastAsia="宋体" w:cs="宋体"/>
          <w:b/>
          <w:color w:val="auto"/>
          <w:szCs w:val="21"/>
          <w:highlight w:val="none"/>
        </w:rPr>
        <w:t>。</w:t>
      </w:r>
    </w:p>
    <w:p w14:paraId="3B05D6F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772EA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见12.4.1</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rPr>
        <w:t>。</w:t>
      </w:r>
    </w:p>
    <w:p w14:paraId="76AF592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发包人逾期支付进度款的违约金的计算方式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rPr>
        <w:t>。</w:t>
      </w:r>
    </w:p>
    <w:p w14:paraId="18601FD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0A4A06E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总价合同支付分解表的编制与审批：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42F01E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单价合同的总价项目支付分解表的编制与审批：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B613A24">
      <w:pPr>
        <w:pageBreakBefore w:val="0"/>
        <w:kinsoku/>
        <w:wordWrap/>
        <w:overflowPunct/>
        <w:topLinePunct w:val="0"/>
        <w:autoSpaceDE/>
        <w:autoSpaceDN/>
        <w:bidi w:val="0"/>
        <w:adjustRightInd w:val="0"/>
        <w:snapToGrid w:val="0"/>
        <w:spacing w:afterLines="0" w:line="500" w:lineRule="exact"/>
        <w:ind w:left="-202" w:leftChars="-96" w:right="-500" w:rightChars="-238"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12.4.7 农民工工资管理（农民工工资保证金支持保函使用）</w:t>
      </w:r>
    </w:p>
    <w:p w14:paraId="1076EFB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本工程农民工工资实行专用账户管理，承包人设立的专用账户开户行为</w:t>
      </w:r>
      <w:r>
        <w:rPr>
          <w:rFonts w:hint="eastAsia" w:ascii="宋体" w:hAnsi="宋体" w:eastAsia="宋体" w:cs="宋体"/>
          <w:bCs/>
          <w:color w:val="auto"/>
          <w:szCs w:val="21"/>
          <w:highlight w:val="none"/>
          <w:u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none"/>
          <w:lang w:eastAsia="zh-CN"/>
        </w:rPr>
        <w:t>；</w:t>
      </w:r>
    </w:p>
    <w:p w14:paraId="071DA10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本工程工资性工程款</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元（相应的最低工资标准乘建筑面积）；其中工资性工程预付款</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工资性工程款除月工期</w:t>
      </w:r>
      <w:r>
        <w:rPr>
          <w:rFonts w:hint="eastAsia" w:ascii="宋体" w:hAnsi="宋体" w:eastAsia="宋体" w:cs="宋体"/>
          <w:bCs/>
          <w:color w:val="auto"/>
          <w:szCs w:val="21"/>
          <w:highlight w:val="none"/>
          <w:lang w:eastAsia="zh-CN"/>
        </w:rPr>
        <w:t>）</w:t>
      </w:r>
    </w:p>
    <w:p w14:paraId="7D6D76D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发包人在监理人签发开工报告前，将工资性工程预付款转入承包人开立的农民工工资专用账户。</w:t>
      </w:r>
    </w:p>
    <w:p w14:paraId="510DC63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工程开工后第一个月支付工资性工程进度款起，分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月扣回工资性工程预付款。</w:t>
      </w:r>
    </w:p>
    <w:p w14:paraId="0C5E375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发包人于每月25日前将工资性工程进度款转入农民工工资专用账户。</w:t>
      </w:r>
    </w:p>
    <w:p w14:paraId="4B843EE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承包人每月25日前上报本工程农民工工资清单，每月10日前委托开设农民工工资专用账户的银行支付农民工工资。</w:t>
      </w:r>
    </w:p>
    <w:p w14:paraId="30CFA8A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工程竣工后，经项目部农民工维权组确认无农民工工资拖欠后，发、承双方办理农民工工资专用账户撤销手续，农民工工资专用账户余额划至本合同约定的承包人账户。</w:t>
      </w:r>
    </w:p>
    <w:bookmarkEnd w:id="347"/>
    <w:p w14:paraId="3482155E">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23" w:name="_Toc351203645"/>
      <w:bookmarkStart w:id="524" w:name="_Toc95223477"/>
      <w:bookmarkStart w:id="525" w:name="_Toc303539172"/>
      <w:bookmarkStart w:id="526" w:name="_Toc296944558"/>
      <w:bookmarkStart w:id="527" w:name="_Toc300935015"/>
      <w:bookmarkStart w:id="528" w:name="_Toc296346720"/>
      <w:bookmarkStart w:id="529" w:name="_Toc296503219"/>
      <w:bookmarkStart w:id="530" w:name="_Toc296891259"/>
      <w:bookmarkStart w:id="531" w:name="_Toc297123564"/>
      <w:bookmarkStart w:id="532" w:name="_Toc304295593"/>
      <w:bookmarkStart w:id="533" w:name="_Toc296891047"/>
      <w:bookmarkStart w:id="534" w:name="_Toc297216223"/>
      <w:bookmarkStart w:id="535" w:name="_Toc312678053"/>
      <w:bookmarkStart w:id="536" w:name="_Toc292559929"/>
      <w:bookmarkStart w:id="537" w:name="_Toc297120519"/>
      <w:bookmarkStart w:id="538" w:name="_Toc292559424"/>
      <w:bookmarkStart w:id="539" w:name="_Toc297048405"/>
      <w:bookmarkStart w:id="540" w:name="_Toc296347218"/>
      <w:r>
        <w:rPr>
          <w:rFonts w:hint="eastAsia" w:ascii="宋体" w:hAnsi="宋体" w:eastAsia="宋体" w:cs="宋体"/>
          <w:bCs/>
          <w:color w:val="auto"/>
          <w:sz w:val="21"/>
          <w:szCs w:val="21"/>
          <w:highlight w:val="none"/>
        </w:rPr>
        <w:t>13. 验收和工程试车</w:t>
      </w:r>
      <w:bookmarkEnd w:id="523"/>
      <w:bookmarkEnd w:id="524"/>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61A567D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41" w:name="_Toc95223478"/>
      <w:r>
        <w:rPr>
          <w:rFonts w:hint="eastAsia" w:ascii="宋体" w:hAnsi="宋体" w:eastAsia="宋体" w:cs="宋体"/>
          <w:bCs/>
          <w:color w:val="auto"/>
          <w:sz w:val="21"/>
          <w:szCs w:val="21"/>
          <w:highlight w:val="none"/>
        </w:rPr>
        <w:t>13.1 分部分项工程验收</w:t>
      </w:r>
      <w:bookmarkEnd w:id="541"/>
    </w:p>
    <w:p w14:paraId="2AC1FE3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 监理人不能按时进行验收时，应提前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5E5F63C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w:t>
      </w:r>
      <w:r>
        <w:rPr>
          <w:rFonts w:hint="eastAsia" w:ascii="宋体" w:hAnsi="宋体" w:eastAsia="宋体" w:cs="宋体"/>
          <w:color w:val="auto"/>
          <w:szCs w:val="21"/>
          <w:highlight w:val="none"/>
        </w:rPr>
        <w:t>小时。</w:t>
      </w:r>
    </w:p>
    <w:p w14:paraId="3E97E4E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bookmarkStart w:id="542" w:name="_Toc312678056"/>
      <w:bookmarkStart w:id="543" w:name="_Toc304295596"/>
      <w:bookmarkStart w:id="544" w:name="_Toc296944562"/>
      <w:bookmarkStart w:id="545" w:name="_Toc297120523"/>
      <w:bookmarkStart w:id="546" w:name="_Toc296891263"/>
      <w:bookmarkStart w:id="547" w:name="_Toc296891051"/>
      <w:bookmarkStart w:id="548" w:name="_Toc297048409"/>
      <w:bookmarkStart w:id="549" w:name="_Toc296346724"/>
      <w:bookmarkStart w:id="550" w:name="_Toc292559933"/>
      <w:bookmarkStart w:id="551" w:name="_Toc300935016"/>
      <w:bookmarkStart w:id="552" w:name="_Toc296347222"/>
      <w:bookmarkStart w:id="553" w:name="_Toc292559428"/>
      <w:bookmarkStart w:id="554" w:name="_Toc303539173"/>
      <w:bookmarkStart w:id="555" w:name="_Toc297123565"/>
      <w:bookmarkStart w:id="556" w:name="_Toc297216224"/>
      <w:bookmarkStart w:id="557" w:name="_Toc296503223"/>
      <w:bookmarkStart w:id="558" w:name="_Toc267251474"/>
      <w:bookmarkStart w:id="559" w:name="_Toc267251475"/>
      <w:bookmarkStart w:id="560" w:name="_Toc267251473"/>
      <w:bookmarkStart w:id="561" w:name="_Toc267251472"/>
      <w:bookmarkStart w:id="562" w:name="_Toc267251470"/>
      <w:bookmarkStart w:id="563" w:name="_Toc267251471"/>
      <w:bookmarkStart w:id="564" w:name="_Toc267251476"/>
      <w:r>
        <w:rPr>
          <w:rFonts w:hint="eastAsia" w:ascii="宋体" w:hAnsi="宋体" w:eastAsia="宋体" w:cs="宋体"/>
          <w:bCs/>
          <w:color w:val="auto"/>
          <w:szCs w:val="21"/>
          <w:highlight w:val="none"/>
        </w:rPr>
        <w:t>13.2 竣工验收</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6BADE24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bookmarkStart w:id="565" w:name="_Toc280868704"/>
      <w:bookmarkStart w:id="566" w:name="_Toc280868705"/>
      <w:bookmarkStart w:id="567" w:name="_Toc280868706"/>
      <w:bookmarkStart w:id="568" w:name="_Toc280868707"/>
      <w:bookmarkStart w:id="569" w:name="_Toc280868708"/>
      <w:bookmarkStart w:id="570" w:name="_Toc280868709"/>
      <w:r>
        <w:rPr>
          <w:rFonts w:hint="eastAsia" w:ascii="宋体" w:hAnsi="宋体" w:eastAsia="宋体" w:cs="宋体"/>
          <w:color w:val="auto"/>
          <w:szCs w:val="21"/>
          <w:highlight w:val="none"/>
        </w:rPr>
        <w:t>13.2.2 竣工验收程序</w:t>
      </w:r>
    </w:p>
    <w:bookmarkEnd w:id="565"/>
    <w:p w14:paraId="227B7E1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执行通用条款，承包人递交竣工验收申请，发包人组织验收</w:t>
      </w:r>
      <w:r>
        <w:rPr>
          <w:rFonts w:hint="eastAsia" w:ascii="宋体" w:hAnsi="宋体" w:eastAsia="宋体" w:cs="宋体"/>
          <w:color w:val="auto"/>
          <w:szCs w:val="21"/>
          <w:highlight w:val="none"/>
        </w:rPr>
        <w:t>。</w:t>
      </w:r>
    </w:p>
    <w:p w14:paraId="6858D82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rPr>
        <w:t>。</w:t>
      </w:r>
    </w:p>
    <w:bookmarkEnd w:id="566"/>
    <w:p w14:paraId="3320013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 移交、接收全部与部分工程</w:t>
      </w:r>
    </w:p>
    <w:bookmarkEnd w:id="567"/>
    <w:p w14:paraId="172171D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竣工验收后30日内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42BEFA9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发包人不因此承担违约责任</w:t>
      </w:r>
      <w:r>
        <w:rPr>
          <w:rFonts w:hint="eastAsia" w:ascii="宋体" w:hAnsi="宋体" w:eastAsia="宋体" w:cs="宋体"/>
          <w:color w:val="auto"/>
          <w:szCs w:val="21"/>
          <w:highlight w:val="none"/>
        </w:rPr>
        <w:t>。</w:t>
      </w:r>
    </w:p>
    <w:bookmarkEnd w:id="568"/>
    <w:p w14:paraId="0E99ED7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每逾期1天，承包人应向发包人支付</w:t>
      </w:r>
      <w:r>
        <w:rPr>
          <w:rFonts w:hint="eastAsia" w:ascii="宋体" w:hAnsi="宋体" w:eastAsia="宋体" w:cs="宋体"/>
          <w:color w:val="auto"/>
          <w:szCs w:val="21"/>
          <w:highlight w:val="none"/>
          <w:u w:val="single"/>
          <w:lang w:val="en-US" w:eastAsia="zh-CN"/>
        </w:rPr>
        <w:t>500</w:t>
      </w:r>
      <w:r>
        <w:rPr>
          <w:rFonts w:hint="eastAsia" w:ascii="宋体" w:hAnsi="宋体" w:eastAsia="宋体" w:cs="宋体"/>
          <w:color w:val="auto"/>
          <w:szCs w:val="21"/>
          <w:highlight w:val="none"/>
          <w:u w:val="single"/>
        </w:rPr>
        <w:t>元/天违约金</w:t>
      </w:r>
      <w:r>
        <w:rPr>
          <w:rFonts w:hint="eastAsia" w:ascii="宋体" w:hAnsi="宋体" w:eastAsia="宋体" w:cs="宋体"/>
          <w:color w:val="auto"/>
          <w:szCs w:val="21"/>
          <w:highlight w:val="none"/>
        </w:rPr>
        <w:t>。</w:t>
      </w:r>
    </w:p>
    <w:p w14:paraId="24593370">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13.3 工程试车</w:t>
      </w:r>
    </w:p>
    <w:bookmarkEnd w:id="569"/>
    <w:p w14:paraId="02EE924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093270D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执行通用条款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36488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shd w:val="clear" w:color="auto" w:fill="auto"/>
        </w:rPr>
        <w:t>承包人</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kern w:val="0"/>
          <w:szCs w:val="21"/>
          <w:highlight w:val="none"/>
        </w:rPr>
        <w:t>承担；</w:t>
      </w:r>
    </w:p>
    <w:p w14:paraId="0A75573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shd w:val="clear" w:color="auto" w:fill="auto"/>
        </w:rPr>
        <w:t>承包人</w:t>
      </w:r>
      <w:r>
        <w:rPr>
          <w:rFonts w:hint="eastAsia" w:ascii="宋体" w:hAnsi="宋体" w:eastAsia="宋体" w:cs="宋体"/>
          <w:b/>
          <w:bCs/>
          <w:color w:val="auto"/>
          <w:szCs w:val="21"/>
          <w:highlight w:val="none"/>
          <w:u w:val="single"/>
          <w:shd w:val="clear" w:color="auto" w:fill="auto"/>
          <w:lang w:val="en-US" w:eastAsia="zh-CN"/>
        </w:rPr>
        <w:t xml:space="preserve"> </w:t>
      </w:r>
      <w:r>
        <w:rPr>
          <w:rFonts w:hint="eastAsia" w:ascii="宋体" w:hAnsi="宋体" w:eastAsia="宋体" w:cs="宋体"/>
          <w:color w:val="auto"/>
          <w:kern w:val="0"/>
          <w:szCs w:val="21"/>
          <w:highlight w:val="none"/>
        </w:rPr>
        <w:t>承担。</w:t>
      </w:r>
    </w:p>
    <w:p w14:paraId="7A12941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2625CC7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5E0587EF">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13.6 竣工退场</w:t>
      </w:r>
    </w:p>
    <w:p w14:paraId="036F857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58F600E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竣工之日起30日内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67F4C9D4">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71" w:name="_Toc351203646"/>
      <w:bookmarkStart w:id="572" w:name="_Toc95223479"/>
      <w:r>
        <w:rPr>
          <w:rFonts w:hint="eastAsia" w:ascii="宋体" w:hAnsi="宋体" w:eastAsia="宋体" w:cs="宋体"/>
          <w:bCs/>
          <w:color w:val="auto"/>
          <w:sz w:val="21"/>
          <w:szCs w:val="21"/>
          <w:highlight w:val="none"/>
        </w:rPr>
        <w:t>14. 竣工结算</w:t>
      </w:r>
      <w:bookmarkEnd w:id="571"/>
      <w:bookmarkEnd w:id="572"/>
    </w:p>
    <w:p w14:paraId="3E785313">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竣工结算申请</w:t>
      </w:r>
    </w:p>
    <w:p w14:paraId="06EB820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shd w:val="clear" w:color="auto" w:fill="auto"/>
        </w:rPr>
        <w:t>执行通用条款</w:t>
      </w:r>
      <w:r>
        <w:rPr>
          <w:rFonts w:hint="eastAsia" w:ascii="宋体" w:hAnsi="宋体" w:eastAsia="宋体" w:cs="宋体"/>
          <w:color w:val="auto"/>
          <w:szCs w:val="21"/>
          <w:highlight w:val="none"/>
        </w:rPr>
        <w:t>。</w:t>
      </w:r>
    </w:p>
    <w:p w14:paraId="13F4A8B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竣工结算申请单应包括的内容：</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3C355B58">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 竣工结算审核</w:t>
      </w:r>
    </w:p>
    <w:p w14:paraId="15FC969A">
      <w:pPr>
        <w:pageBreakBefore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7F46093">
      <w:pPr>
        <w:pageBreakBefore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EC95DF8">
      <w:pPr>
        <w:pageBreakBefore w:val="0"/>
        <w:kinsoku/>
        <w:wordWrap/>
        <w:overflowPunct/>
        <w:topLinePunct w:val="0"/>
        <w:autoSpaceDE/>
        <w:autoSpaceDN/>
        <w:bidi w:val="0"/>
        <w:spacing w:afterLines="0" w:line="500" w:lineRule="exact"/>
        <w:ind w:left="-202" w:leftChars="-96" w:right="-500" w:rightChars="-238"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查阅竣工图纸、施工合同、本项目招标</w:t>
      </w:r>
      <w:r>
        <w:rPr>
          <w:rFonts w:hint="eastAsia" w:ascii="宋体" w:hAnsi="宋体" w:eastAsia="宋体" w:cs="宋体"/>
          <w:color w:val="auto"/>
          <w:szCs w:val="21"/>
          <w:highlight w:val="none"/>
          <w:u w:val="single"/>
          <w:lang w:val="en-US" w:eastAsia="zh-CN"/>
        </w:rPr>
        <w:t>最高投标限价</w:t>
      </w:r>
      <w:r>
        <w:rPr>
          <w:rFonts w:hint="eastAsia" w:ascii="宋体" w:hAnsi="宋体" w:eastAsia="宋体" w:cs="宋体"/>
          <w:color w:val="auto"/>
          <w:szCs w:val="21"/>
          <w:highlight w:val="none"/>
          <w:u w:val="single"/>
        </w:rPr>
        <w:t>电子版和书面文本、签证资料、结算书、材料价格证明资料以及与竣工造价有关的相关资料。</w:t>
      </w:r>
    </w:p>
    <w:p w14:paraId="10C4F96A">
      <w:pPr>
        <w:pageBreakBefore w:val="0"/>
        <w:kinsoku/>
        <w:wordWrap/>
        <w:overflowPunct/>
        <w:topLinePunct w:val="0"/>
        <w:autoSpaceDE/>
        <w:autoSpaceDN/>
        <w:bidi w:val="0"/>
        <w:adjustRightInd/>
        <w:snapToGrid w:val="0"/>
        <w:spacing w:line="500" w:lineRule="exact"/>
        <w:ind w:left="-199" w:leftChars="-95" w:firstLine="420" w:firstLineChars="200"/>
        <w:textAlignment w:val="auto"/>
        <w:rPr>
          <w:rFonts w:hint="default" w:ascii="宋体" w:hAnsi="宋体" w:eastAsia="宋体" w:cs="宋体"/>
          <w:color w:val="auto"/>
          <w:szCs w:val="21"/>
          <w:highlight w:val="none"/>
          <w:lang w:val="en-US"/>
        </w:rPr>
      </w:pPr>
      <w:r>
        <w:rPr>
          <w:rFonts w:hint="eastAsia" w:ascii="宋体" w:hAnsi="宋体" w:cs="宋体"/>
          <w:color w:val="auto"/>
          <w:szCs w:val="21"/>
          <w:highlight w:val="none"/>
        </w:rPr>
        <w:t>关于竣工结算超额审计费用：</w:t>
      </w:r>
      <w:r>
        <w:rPr>
          <w:rFonts w:hint="eastAsia" w:ascii="宋体" w:hAnsi="宋体" w:eastAsia="宋体" w:cs="宋体"/>
          <w:b/>
          <w:bCs/>
          <w:color w:val="auto"/>
          <w:kern w:val="2"/>
          <w:sz w:val="21"/>
          <w:szCs w:val="21"/>
          <w:highlight w:val="none"/>
          <w:u w:val="single"/>
          <w:lang w:val="en-US" w:eastAsia="zh-CN" w:bidi="ar-SA"/>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b/>
          <w:bCs/>
          <w:color w:val="auto"/>
          <w:kern w:val="2"/>
          <w:sz w:val="21"/>
          <w:szCs w:val="21"/>
          <w:highlight w:val="none"/>
          <w:u w:val="single"/>
          <w:lang w:val="en-US" w:eastAsia="zh-CN" w:bidi="ar-SA"/>
        </w:rPr>
        <w:t xml:space="preserve">                   </w:t>
      </w:r>
      <w:r>
        <w:rPr>
          <w:rFonts w:hint="eastAsia" w:ascii="宋体" w:hAnsi="宋体" w:eastAsia="宋体" w:cs="宋体"/>
          <w:b/>
          <w:bCs/>
          <w:color w:val="auto"/>
          <w:kern w:val="2"/>
          <w:sz w:val="21"/>
          <w:szCs w:val="21"/>
          <w:highlight w:val="none"/>
          <w:u w:val="none"/>
          <w:lang w:val="en-US" w:eastAsia="zh-CN" w:bidi="ar-SA"/>
        </w:rPr>
        <w:t xml:space="preserve"> 。     </w:t>
      </w:r>
    </w:p>
    <w:p w14:paraId="351AE57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最终结清</w:t>
      </w:r>
    </w:p>
    <w:p w14:paraId="504F689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3960CA4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按监理要求 </w:t>
      </w:r>
      <w:r>
        <w:rPr>
          <w:rFonts w:hint="eastAsia" w:ascii="宋体" w:hAnsi="宋体" w:eastAsia="宋体" w:cs="宋体"/>
          <w:color w:val="auto"/>
          <w:szCs w:val="21"/>
          <w:highlight w:val="none"/>
        </w:rPr>
        <w:t>。</w:t>
      </w:r>
    </w:p>
    <w:p w14:paraId="0506BDC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 xml:space="preserve">。 </w:t>
      </w:r>
    </w:p>
    <w:p w14:paraId="6F05099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713D653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29E5B54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颁发最终结清证书后7天内完成支付</w:t>
      </w:r>
      <w:r>
        <w:rPr>
          <w:rFonts w:hint="eastAsia" w:ascii="宋体" w:hAnsi="宋体" w:eastAsia="宋体" w:cs="宋体"/>
          <w:color w:val="auto"/>
          <w:szCs w:val="21"/>
          <w:highlight w:val="none"/>
        </w:rPr>
        <w:t>。</w:t>
      </w:r>
    </w:p>
    <w:bookmarkEnd w:id="558"/>
    <w:bookmarkEnd w:id="559"/>
    <w:bookmarkEnd w:id="560"/>
    <w:bookmarkEnd w:id="561"/>
    <w:bookmarkEnd w:id="562"/>
    <w:bookmarkEnd w:id="563"/>
    <w:bookmarkEnd w:id="564"/>
    <w:bookmarkEnd w:id="570"/>
    <w:p w14:paraId="161387C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573" w:name="_Toc95223480"/>
      <w:bookmarkStart w:id="574" w:name="_Toc351203647"/>
      <w:bookmarkStart w:id="575" w:name="_Toc267251483"/>
      <w:bookmarkStart w:id="576" w:name="_Toc267251484"/>
      <w:bookmarkStart w:id="577" w:name="_Toc267251482"/>
      <w:bookmarkStart w:id="578" w:name="_Toc267251485"/>
      <w:bookmarkStart w:id="579" w:name="_Toc267251486"/>
      <w:bookmarkStart w:id="580" w:name="_Toc267251488"/>
      <w:bookmarkStart w:id="581" w:name="_Toc267251490"/>
      <w:bookmarkStart w:id="582" w:name="_Toc267251489"/>
      <w:bookmarkStart w:id="583" w:name="_Toc267251493"/>
      <w:bookmarkStart w:id="584" w:name="_Toc267251503"/>
      <w:bookmarkStart w:id="585" w:name="_Toc267251496"/>
      <w:bookmarkStart w:id="586" w:name="_Toc267251502"/>
      <w:bookmarkStart w:id="587" w:name="_Toc267251492"/>
      <w:bookmarkStart w:id="588" w:name="_Toc267251497"/>
      <w:bookmarkStart w:id="589" w:name="_Toc267251498"/>
      <w:bookmarkStart w:id="590" w:name="_Toc267251495"/>
      <w:bookmarkStart w:id="591" w:name="_Toc267251499"/>
      <w:bookmarkStart w:id="592" w:name="_Toc267251501"/>
      <w:bookmarkStart w:id="593" w:name="_Toc267251494"/>
      <w:bookmarkStart w:id="594" w:name="_Toc267251491"/>
      <w:bookmarkStart w:id="595" w:name="_Toc267251506"/>
      <w:bookmarkStart w:id="596" w:name="_Toc267251504"/>
      <w:bookmarkStart w:id="597" w:name="_Toc267251507"/>
      <w:bookmarkStart w:id="598" w:name="_Toc267251508"/>
      <w:bookmarkStart w:id="599" w:name="_Toc267251513"/>
      <w:bookmarkStart w:id="600" w:name="_Toc267251511"/>
      <w:bookmarkStart w:id="601" w:name="_Toc267251514"/>
      <w:bookmarkStart w:id="602" w:name="_Toc267251515"/>
      <w:bookmarkStart w:id="603" w:name="_Toc267251509"/>
      <w:bookmarkStart w:id="604" w:name="_Toc267251510"/>
      <w:r>
        <w:rPr>
          <w:rFonts w:hint="eastAsia" w:ascii="宋体" w:hAnsi="宋体" w:eastAsia="宋体" w:cs="宋体"/>
          <w:bCs/>
          <w:color w:val="auto"/>
          <w:sz w:val="21"/>
          <w:szCs w:val="21"/>
          <w:highlight w:val="none"/>
        </w:rPr>
        <w:t>15. 缺陷责任期与保修</w:t>
      </w:r>
      <w:bookmarkEnd w:id="573"/>
      <w:bookmarkEnd w:id="574"/>
    </w:p>
    <w:p w14:paraId="24AE965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缺陷责任期</w:t>
      </w:r>
      <w:bookmarkEnd w:id="575"/>
    </w:p>
    <w:p w14:paraId="1C94326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lang w:val="en-US" w:eastAsia="zh-CN"/>
        </w:rPr>
        <w:t>自验收合格之日两年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EFEE0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15.3 质量保证金</w:t>
      </w:r>
    </w:p>
    <w:p w14:paraId="21BF0D7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。在工程项目竣工前，承包人按专用合同条款第3.7款提供履约保证金的，发包人不得同时预留工程质量保证金。</w:t>
      </w:r>
    </w:p>
    <w:p w14:paraId="629C113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4DA64E4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质量保证金采用以下方式：</w:t>
      </w:r>
    </w:p>
    <w:p w14:paraId="5CE9C00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（1）质量保证金保函，保证金额为：工程结算总价款</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 </w:t>
      </w:r>
    </w:p>
    <w:p w14:paraId="15882B6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2</w:t>
      </w:r>
      <w:r>
        <w:rPr>
          <w:rFonts w:hint="eastAsia" w:ascii="宋体" w:hAnsi="宋体" w:eastAsia="宋体" w:cs="宋体"/>
          <w:color w:val="auto"/>
          <w:kern w:val="0"/>
          <w:szCs w:val="21"/>
          <w:highlight w:val="none"/>
        </w:rPr>
        <w:t>%的工程款；</w:t>
      </w:r>
    </w:p>
    <w:p w14:paraId="4E85615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B3C0A0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质量保证金的扣留 </w:t>
      </w:r>
    </w:p>
    <w:p w14:paraId="20959C4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质量保证金的扣留采取以下方式：</w:t>
      </w:r>
    </w:p>
    <w:p w14:paraId="38CC595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43951BC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14:paraId="2C635D2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9DB9E9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质量保证金支持保函（银行保函、担保机构担保、保证保险）使用。采用保函的，保函有效期须与缺陷责任期截止时间保持一致</w:t>
      </w:r>
      <w:r>
        <w:rPr>
          <w:rFonts w:hint="eastAsia" w:ascii="宋体" w:hAnsi="宋体" w:eastAsia="宋体" w:cs="宋体"/>
          <w:color w:val="auto"/>
          <w:kern w:val="0"/>
          <w:szCs w:val="21"/>
          <w:highlight w:val="none"/>
        </w:rPr>
        <w:t>。</w:t>
      </w:r>
    </w:p>
    <w:bookmarkEnd w:id="576"/>
    <w:bookmarkEnd w:id="577"/>
    <w:p w14:paraId="01E06BB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15.4 保修</w:t>
      </w:r>
    </w:p>
    <w:bookmarkEnd w:id="578"/>
    <w:p w14:paraId="3FB832A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526C455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工程保修期为：</w:t>
      </w:r>
      <w:r>
        <w:rPr>
          <w:rFonts w:hint="eastAsia" w:ascii="宋体" w:hAnsi="宋体" w:eastAsia="宋体" w:cs="宋体"/>
          <w:color w:val="auto"/>
          <w:szCs w:val="21"/>
          <w:highlight w:val="none"/>
          <w:u w:val="single"/>
        </w:rPr>
        <w:t>执行《工程质量保修书》规定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lang w:val="en-US" w:eastAsia="zh-CN"/>
        </w:rPr>
        <w:t xml:space="preserve">  </w:t>
      </w:r>
    </w:p>
    <w:p w14:paraId="23FB73E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7C16FC7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bookmarkEnd w:id="579"/>
    <w:bookmarkEnd w:id="580"/>
    <w:bookmarkEnd w:id="581"/>
    <w:bookmarkEnd w:id="582"/>
    <w:p w14:paraId="3D47FFB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605" w:name="_Toc95223481"/>
      <w:bookmarkStart w:id="606" w:name="_Toc351203648"/>
      <w:bookmarkStart w:id="607" w:name="_Toc280868717"/>
      <w:bookmarkStart w:id="608" w:name="_Toc280868718"/>
      <w:r>
        <w:rPr>
          <w:rFonts w:hint="eastAsia" w:ascii="宋体" w:hAnsi="宋体" w:eastAsia="宋体" w:cs="宋体"/>
          <w:bCs/>
          <w:color w:val="auto"/>
          <w:sz w:val="21"/>
          <w:szCs w:val="21"/>
          <w:highlight w:val="none"/>
        </w:rPr>
        <w:t>16. 违约</w:t>
      </w:r>
      <w:bookmarkEnd w:id="605"/>
      <w:bookmarkEnd w:id="606"/>
    </w:p>
    <w:p w14:paraId="7E22872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 发包人违约</w:t>
      </w:r>
    </w:p>
    <w:p w14:paraId="5CB608D8">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 发包人违约的情形</w:t>
      </w:r>
    </w:p>
    <w:p w14:paraId="6CF2155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ECD8B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16.1.2 发包人违约的责任</w:t>
      </w:r>
    </w:p>
    <w:p w14:paraId="59280F2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1156E473">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 xml:space="preserve"> </w:t>
      </w:r>
      <w:bookmarkStart w:id="609" w:name="EBf46971a580dd417e9773e82ed1892ff3"/>
      <w:r>
        <w:rPr>
          <w:rFonts w:hint="eastAsia" w:ascii="宋体" w:hAnsi="宋体" w:eastAsia="宋体" w:cs="宋体"/>
          <w:color w:val="auto"/>
          <w:kern w:val="0"/>
          <w:szCs w:val="21"/>
          <w:highlight w:val="none"/>
          <w:u w:val="single"/>
        </w:rPr>
        <w:t>顺延延误经审批工期，承包人同意不因此提出任何损失或费用索赔</w:t>
      </w:r>
      <w:bookmarkEnd w:id="609"/>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084AF1EC">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szCs w:val="21"/>
          <w:highlight w:val="none"/>
          <w:u w:val="single"/>
        </w:rPr>
        <w:t xml:space="preserve"> </w:t>
      </w:r>
      <w:bookmarkStart w:id="610" w:name="EBb7107c61da904bda855f7e5884bdc59e"/>
      <w:r>
        <w:rPr>
          <w:rFonts w:hint="eastAsia" w:ascii="宋体" w:hAnsi="宋体" w:eastAsia="宋体" w:cs="宋体"/>
          <w:color w:val="auto"/>
          <w:kern w:val="0"/>
          <w:szCs w:val="21"/>
          <w:highlight w:val="none"/>
          <w:u w:val="single"/>
        </w:rPr>
        <w:t>顺延延误经审批工期，承包人同意不因此提出任何损失或费用索赔</w:t>
      </w:r>
      <w:bookmarkEnd w:id="610"/>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42FCC13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kern w:val="0"/>
          <w:szCs w:val="21"/>
          <w:highlight w:val="none"/>
          <w:u w:val="singl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b w:val="0"/>
          <w:bCs/>
          <w:color w:val="auto"/>
          <w:kern w:val="0"/>
          <w:szCs w:val="21"/>
          <w:highlight w:val="none"/>
        </w:rPr>
        <w:t>。</w:t>
      </w:r>
    </w:p>
    <w:p w14:paraId="047B702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D3B014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2B94202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635B9A3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3FAB93A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3F61E98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szCs w:val="21"/>
          <w:highlight w:val="none"/>
          <w:u w:val="single"/>
        </w:rPr>
        <w:t>28</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5EE6806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 承包人违约</w:t>
      </w:r>
    </w:p>
    <w:p w14:paraId="681D6A8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3C6D786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rPr>
        <w:t xml:space="preserve"> 执行通用条款   </w:t>
      </w:r>
      <w:r>
        <w:rPr>
          <w:rFonts w:hint="eastAsia" w:ascii="宋体" w:hAnsi="宋体" w:eastAsia="宋体" w:cs="宋体"/>
          <w:color w:val="auto"/>
          <w:kern w:val="0"/>
          <w:szCs w:val="21"/>
          <w:highlight w:val="none"/>
        </w:rPr>
        <w:t>。</w:t>
      </w:r>
    </w:p>
    <w:p w14:paraId="3E9CB2A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 承包人违约的责任</w:t>
      </w:r>
    </w:p>
    <w:p w14:paraId="0794090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u w:val="single"/>
          <w:shd w:val="clear" w:color="auto" w:fill="auto"/>
        </w:rPr>
        <w:t>由承包人承担全部费用并承担相关法律责任</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3CBDFD5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0903756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u w:val="single"/>
          <w:shd w:val="clear" w:color="auto" w:fill="auto"/>
          <w:lang w:val="en-US" w:eastAsia="zh-CN"/>
        </w:rPr>
        <w:t>除专用条款约定情形外，其余</w:t>
      </w:r>
      <w:r>
        <w:rPr>
          <w:rFonts w:hint="eastAsia" w:ascii="宋体" w:hAnsi="宋体" w:eastAsia="宋体" w:cs="宋体"/>
          <w:color w:val="auto"/>
          <w:kern w:val="0"/>
          <w:szCs w:val="21"/>
          <w:highlight w:val="none"/>
          <w:u w:val="single"/>
          <w:shd w:val="clear" w:color="auto" w:fill="auto"/>
        </w:rPr>
        <w:t>执行通用条款</w:t>
      </w:r>
      <w:r>
        <w:rPr>
          <w:rFonts w:hint="eastAsia" w:ascii="宋体" w:hAnsi="宋体" w:eastAsia="宋体" w:cs="宋体"/>
          <w:color w:val="auto"/>
          <w:kern w:val="0"/>
          <w:szCs w:val="21"/>
          <w:highlight w:val="none"/>
        </w:rPr>
        <w:t>。</w:t>
      </w:r>
    </w:p>
    <w:p w14:paraId="645004E6">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shd w:val="clear" w:color="auto" w:fill="auto"/>
        </w:rPr>
        <w:t>承包人承担费用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AF78F03">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611" w:name="_Toc351203649"/>
      <w:bookmarkStart w:id="612" w:name="_Toc95223482"/>
      <w:r>
        <w:rPr>
          <w:rFonts w:hint="eastAsia" w:ascii="宋体" w:hAnsi="宋体" w:eastAsia="宋体" w:cs="宋体"/>
          <w:bCs/>
          <w:color w:val="auto"/>
          <w:sz w:val="21"/>
          <w:szCs w:val="21"/>
          <w:highlight w:val="none"/>
        </w:rPr>
        <w:t>17. 不可抗力</w:t>
      </w:r>
      <w:bookmarkEnd w:id="611"/>
      <w:bookmarkEnd w:id="612"/>
      <w:r>
        <w:rPr>
          <w:rFonts w:hint="eastAsia" w:ascii="宋体" w:hAnsi="宋体" w:eastAsia="宋体" w:cs="宋体"/>
          <w:bCs/>
          <w:color w:val="auto"/>
          <w:sz w:val="21"/>
          <w:szCs w:val="21"/>
          <w:highlight w:val="none"/>
        </w:rPr>
        <w:t xml:space="preserve"> </w:t>
      </w:r>
      <w:bookmarkEnd w:id="607"/>
    </w:p>
    <w:p w14:paraId="4A142645">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 不可抗力的确认</w:t>
      </w:r>
    </w:p>
    <w:p w14:paraId="17863A7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4082BB3C">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17.4 因不可抗力解除合同</w:t>
      </w:r>
    </w:p>
    <w:p w14:paraId="468228C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28</w:t>
      </w:r>
      <w:r>
        <w:rPr>
          <w:rFonts w:hint="eastAsia" w:ascii="宋体" w:hAnsi="宋体" w:eastAsia="宋体" w:cs="宋体"/>
          <w:color w:val="auto"/>
          <w:szCs w:val="21"/>
          <w:highlight w:val="none"/>
        </w:rPr>
        <w:t>天内完成款项的支付。</w:t>
      </w:r>
    </w:p>
    <w:p w14:paraId="7CBCC5B7">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613" w:name="_Toc351203650"/>
      <w:bookmarkStart w:id="614" w:name="_Toc95223483"/>
      <w:r>
        <w:rPr>
          <w:rFonts w:hint="eastAsia" w:ascii="宋体" w:hAnsi="宋体" w:eastAsia="宋体" w:cs="宋体"/>
          <w:bCs/>
          <w:color w:val="auto"/>
          <w:sz w:val="21"/>
          <w:szCs w:val="21"/>
          <w:highlight w:val="none"/>
        </w:rPr>
        <w:t>18. 保险</w:t>
      </w:r>
      <w:bookmarkEnd w:id="613"/>
      <w:bookmarkEnd w:id="614"/>
    </w:p>
    <w:bookmarkEnd w:id="608"/>
    <w:p w14:paraId="28247073">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18.1 工程保险</w:t>
      </w:r>
    </w:p>
    <w:p w14:paraId="1769907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shd w:val="clear" w:color="auto" w:fill="auto"/>
        </w:rPr>
        <w:t>承包人自行考虑</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b/>
          <w:color w:val="auto"/>
          <w:kern w:val="0"/>
          <w:szCs w:val="21"/>
          <w:highlight w:val="none"/>
        </w:rPr>
        <w:t>。</w:t>
      </w:r>
    </w:p>
    <w:p w14:paraId="0AD32099">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18.3 其他保险</w:t>
      </w:r>
    </w:p>
    <w:p w14:paraId="555BC36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shd w:val="clear" w:color="auto" w:fill="auto"/>
        </w:rPr>
        <w:t>承包人自行考虑</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color w:val="auto"/>
          <w:kern w:val="0"/>
          <w:szCs w:val="21"/>
          <w:highlight w:val="none"/>
        </w:rPr>
        <w:t>。</w:t>
      </w:r>
    </w:p>
    <w:p w14:paraId="41E79C9E">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kern w:val="0"/>
          <w:szCs w:val="21"/>
          <w:highlight w:val="none"/>
          <w:u w:val="single"/>
          <w:shd w:val="clear" w:color="auto" w:fill="auto"/>
        </w:rPr>
        <w:t>承包人自行考虑</w:t>
      </w:r>
      <w:r>
        <w:rPr>
          <w:rFonts w:hint="eastAsia" w:ascii="宋体" w:hAnsi="宋体" w:eastAsia="宋体" w:cs="宋体"/>
          <w:color w:val="auto"/>
          <w:szCs w:val="21"/>
          <w:highlight w:val="none"/>
        </w:rPr>
        <w:t>。</w:t>
      </w:r>
    </w:p>
    <w:p w14:paraId="5FEC0651">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18.7 通知义务</w:t>
      </w:r>
    </w:p>
    <w:p w14:paraId="3BD48477">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shd w:val="clear" w:color="auto" w:fill="auto"/>
        </w:rPr>
        <w:t>按照国家有关规定执行</w:t>
      </w:r>
      <w:r>
        <w:rPr>
          <w:rFonts w:hint="eastAsia" w:ascii="宋体" w:hAnsi="宋体" w:eastAsia="宋体" w:cs="宋体"/>
          <w:color w:val="auto"/>
          <w:szCs w:val="21"/>
          <w:highlight w:val="none"/>
        </w:rPr>
        <w:t>。</w:t>
      </w:r>
    </w:p>
    <w:bookmarkEnd w:id="583"/>
    <w:bookmarkEnd w:id="584"/>
    <w:bookmarkEnd w:id="585"/>
    <w:bookmarkEnd w:id="586"/>
    <w:bookmarkEnd w:id="587"/>
    <w:bookmarkEnd w:id="588"/>
    <w:bookmarkEnd w:id="589"/>
    <w:bookmarkEnd w:id="590"/>
    <w:bookmarkEnd w:id="591"/>
    <w:bookmarkEnd w:id="592"/>
    <w:bookmarkEnd w:id="593"/>
    <w:bookmarkEnd w:id="594"/>
    <w:p w14:paraId="12E8B798">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jc w:val="left"/>
        <w:textAlignment w:val="auto"/>
        <w:outlineLvl w:val="2"/>
        <w:rPr>
          <w:rFonts w:hint="eastAsia" w:ascii="宋体" w:hAnsi="宋体" w:eastAsia="宋体" w:cs="宋体"/>
          <w:bCs/>
          <w:color w:val="auto"/>
          <w:sz w:val="21"/>
          <w:szCs w:val="21"/>
          <w:highlight w:val="none"/>
        </w:rPr>
      </w:pPr>
      <w:bookmarkStart w:id="615" w:name="_Toc95223484"/>
      <w:bookmarkStart w:id="616" w:name="_Toc351203651"/>
      <w:r>
        <w:rPr>
          <w:rFonts w:hint="eastAsia" w:ascii="宋体" w:hAnsi="宋体" w:eastAsia="宋体" w:cs="宋体"/>
          <w:bCs/>
          <w:color w:val="auto"/>
          <w:sz w:val="21"/>
          <w:szCs w:val="21"/>
          <w:highlight w:val="none"/>
        </w:rPr>
        <w:t>20. 争议解决</w:t>
      </w:r>
      <w:bookmarkEnd w:id="615"/>
      <w:bookmarkEnd w:id="616"/>
    </w:p>
    <w:bookmarkEnd w:id="595"/>
    <w:bookmarkEnd w:id="596"/>
    <w:p w14:paraId="19B308E2">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20.3 争</w:t>
      </w:r>
      <w:bookmarkEnd w:id="597"/>
      <w:r>
        <w:rPr>
          <w:rFonts w:hint="eastAsia" w:ascii="宋体" w:hAnsi="宋体" w:eastAsia="宋体" w:cs="宋体"/>
          <w:bCs/>
          <w:color w:val="auto"/>
          <w:szCs w:val="21"/>
          <w:highlight w:val="none"/>
        </w:rPr>
        <w:t>议评审</w:t>
      </w:r>
    </w:p>
    <w:p w14:paraId="5072D18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不采用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2290710">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7F5B1792">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3E225D">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B3220B">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352C41">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698A6A">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5CB2AA79">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DA7AEE">
      <w:pPr>
        <w:keepNext/>
        <w:keepLines/>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20.4 仲裁或诉讼</w:t>
      </w:r>
      <w:bookmarkEnd w:id="598"/>
    </w:p>
    <w:p w14:paraId="2E523675">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2</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种方式解决：</w:t>
      </w:r>
    </w:p>
    <w:p w14:paraId="2B45595F">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shd w:val="clear" w:color="auto" w:fill="auto"/>
        </w:rPr>
        <w:t>滁州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781423E4">
      <w:pPr>
        <w:pageBreakBefore w:val="0"/>
        <w:kinsoku/>
        <w:wordWrap/>
        <w:overflowPunct/>
        <w:topLinePunct w:val="0"/>
        <w:autoSpaceDE/>
        <w:autoSpaceDN/>
        <w:bidi w:val="0"/>
        <w:adjustRightInd w:val="0"/>
        <w:snapToGrid w:val="0"/>
        <w:spacing w:afterLines="0" w:line="500" w:lineRule="exact"/>
        <w:ind w:left="-202" w:leftChars="-96" w:right="-500" w:rightChars="-238" w:firstLine="420" w:firstLineChars="200"/>
        <w:textAlignment w:val="auto"/>
        <w:rPr>
          <w:rFonts w:hint="default"/>
          <w:color w:val="auto"/>
          <w:highlight w:val="none"/>
          <w:lang w:val="en-US" w:eastAsia="zh-CN"/>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lang w:val="en-US" w:eastAsia="zh-CN"/>
        </w:rPr>
        <w:t>项目所在地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bookmarkEnd w:id="599"/>
      <w:bookmarkEnd w:id="600"/>
      <w:bookmarkEnd w:id="601"/>
      <w:bookmarkEnd w:id="602"/>
      <w:bookmarkEnd w:id="603"/>
      <w:bookmarkEnd w:id="604"/>
      <w:r>
        <w:rPr>
          <w:rFonts w:hint="eastAsia"/>
          <w:color w:val="auto"/>
          <w:highlight w:val="none"/>
          <w:lang w:val="en-US" w:eastAsia="zh-CN"/>
        </w:rPr>
        <w:br w:type="page"/>
      </w:r>
      <w:r>
        <w:rPr>
          <w:rFonts w:hint="eastAsia"/>
          <w:color w:val="auto"/>
          <w:highlight w:val="none"/>
          <w:lang w:val="en-US" w:eastAsia="zh-CN"/>
        </w:rPr>
        <w:t>附件1</w:t>
      </w:r>
    </w:p>
    <w:p w14:paraId="6F10CC48">
      <w:pPr>
        <w:pStyle w:val="26"/>
        <w:rPr>
          <w:rFonts w:hint="default"/>
          <w:highlight w:val="none"/>
          <w:lang w:val="en-US" w:eastAsia="zh-CN"/>
        </w:rPr>
      </w:pPr>
    </w:p>
    <w:p w14:paraId="56ACC3AC">
      <w:pPr>
        <w:adjustRightInd w:val="0"/>
        <w:snapToGrid w:val="0"/>
        <w:spacing w:line="360" w:lineRule="auto"/>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工程质量保修书</w:t>
      </w:r>
    </w:p>
    <w:p w14:paraId="2F739F17">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387868AB">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4E880F95">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参照《房屋建筑工程质量保修办法》，经协商一致，对______________________工程签订工程质量保修书。</w:t>
      </w:r>
    </w:p>
    <w:p w14:paraId="0CD24869">
      <w:pPr>
        <w:keepNext w:val="0"/>
        <w:keepLines w:val="0"/>
        <w:pageBreakBefore w:val="0"/>
        <w:widowControl/>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209CEBC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7291685C">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C627BF8">
      <w:pPr>
        <w:keepNext w:val="0"/>
        <w:keepLines w:val="0"/>
        <w:pageBreakBefore w:val="0"/>
        <w:widowControl/>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6DBDDEE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3826C233">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79E59A01">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58ACFEC1">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809344A">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5644B03E">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3256518A">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61410A1">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7A0887">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6E5023E0">
      <w:pPr>
        <w:keepNext w:val="0"/>
        <w:keepLines w:val="0"/>
        <w:pageBreakBefore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248104D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两年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11AEAB5C">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370579FF">
      <w:pPr>
        <w:keepNext w:val="0"/>
        <w:keepLines w:val="0"/>
        <w:pageBreakBefore w:val="0"/>
        <w:widowControl/>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002B1137">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4B7E961F">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79616230">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64EEA224">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668A90BD">
      <w:pPr>
        <w:keepNext w:val="0"/>
        <w:keepLines w:val="0"/>
        <w:pageBreakBefore w:val="0"/>
        <w:widowControl/>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EC09A4F">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48DA68FA">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b/>
          <w:color w:val="auto"/>
          <w:szCs w:val="21"/>
          <w:highlight w:val="none"/>
        </w:rPr>
      </w:pPr>
      <w:r>
        <w:rPr>
          <w:rFonts w:hint="eastAsia" w:ascii="宋体" w:hAnsi="宋体" w:cs="宋体"/>
          <w:bCs/>
          <w:color w:val="auto"/>
          <w:kern w:val="0"/>
          <w:position w:val="6"/>
          <w:szCs w:val="21"/>
          <w:highlight w:val="none"/>
        </w:rPr>
        <w:t>六、</w:t>
      </w:r>
      <w:r>
        <w:rPr>
          <w:rFonts w:hint="eastAsia" w:ascii="宋体" w:hAnsi="宋体" w:cs="宋体"/>
          <w:b/>
          <w:color w:val="auto"/>
          <w:szCs w:val="21"/>
          <w:highlight w:val="none"/>
        </w:rPr>
        <w:t>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78C4330D">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17495458">
      <w:pPr>
        <w:keepNext w:val="0"/>
        <w:keepLines w:val="0"/>
        <w:pageBreakBefore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Cs w:val="21"/>
          <w:highlight w:val="none"/>
        </w:rPr>
      </w:pPr>
    </w:p>
    <w:p w14:paraId="35E89D8F">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p>
    <w:p w14:paraId="5FF5BEB0">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0B31B3FD">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9B46584">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2F7D782">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3058BCB">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6556D25C">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7CEBEF63">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8E5598C">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5BBA1C5">
      <w:pPr>
        <w:pStyle w:val="26"/>
        <w:rPr>
          <w:rFonts w:hint="eastAsia"/>
          <w:color w:val="auto"/>
          <w:highlight w:val="none"/>
        </w:rPr>
      </w:pPr>
    </w:p>
    <w:p w14:paraId="545607FE">
      <w:pPr>
        <w:rPr>
          <w:rFonts w:hint="eastAsia"/>
          <w:color w:val="auto"/>
          <w:highlight w:val="none"/>
        </w:rPr>
      </w:pPr>
    </w:p>
    <w:p w14:paraId="6F171DA1">
      <w:pPr>
        <w:keepNext/>
        <w:keepLines/>
        <w:spacing w:before="120" w:after="120" w:line="360" w:lineRule="auto"/>
        <w:jc w:val="left"/>
        <w:outlineLvl w:val="0"/>
        <w:rPr>
          <w:rFonts w:hint="eastAsia" w:ascii="宋体" w:hAnsi="宋体" w:cs="宋体"/>
          <w:bCs/>
          <w:color w:val="auto"/>
          <w:sz w:val="24"/>
          <w:highlight w:val="none"/>
        </w:rPr>
      </w:pPr>
      <w:r>
        <w:rPr>
          <w:rFonts w:hint="eastAsia"/>
          <w:color w:val="auto"/>
          <w:highlight w:val="none"/>
        </w:rPr>
        <w:br w:type="page"/>
      </w:r>
      <w:bookmarkStart w:id="617" w:name="_Toc95223495"/>
      <w:bookmarkStart w:id="618" w:name="_Toc25726"/>
      <w:bookmarkStart w:id="619" w:name="_Toc7655"/>
      <w:r>
        <w:rPr>
          <w:rFonts w:hint="eastAsia" w:ascii="宋体" w:hAnsi="宋体" w:cs="宋体"/>
          <w:bCs/>
          <w:color w:val="auto"/>
          <w:sz w:val="24"/>
          <w:highlight w:val="none"/>
        </w:rPr>
        <w:t>附</w:t>
      </w:r>
      <w:bookmarkStart w:id="620" w:name="_Toc296503231"/>
      <w:bookmarkStart w:id="621" w:name="_Toc296944570"/>
      <w:bookmarkStart w:id="622" w:name="_Toc296891059"/>
      <w:bookmarkStart w:id="623" w:name="_Toc296346732"/>
      <w:bookmarkStart w:id="624" w:name="_Toc296891271"/>
      <w:bookmarkStart w:id="625"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617"/>
      <w:bookmarkEnd w:id="618"/>
      <w:bookmarkEnd w:id="619"/>
    </w:p>
    <w:bookmarkEnd w:id="620"/>
    <w:bookmarkEnd w:id="621"/>
    <w:bookmarkEnd w:id="622"/>
    <w:bookmarkEnd w:id="623"/>
    <w:bookmarkEnd w:id="624"/>
    <w:bookmarkEnd w:id="625"/>
    <w:p w14:paraId="7C49751D">
      <w:pPr>
        <w:widowControl/>
        <w:spacing w:line="360" w:lineRule="auto"/>
        <w:ind w:firstLine="643"/>
        <w:jc w:val="center"/>
        <w:outlineLvl w:val="0"/>
        <w:rPr>
          <w:rFonts w:hint="eastAsia" w:ascii="宋体" w:hAnsi="宋体" w:cs="宋体"/>
          <w:b/>
          <w:bCs/>
          <w:color w:val="auto"/>
          <w:kern w:val="0"/>
          <w:sz w:val="32"/>
          <w:szCs w:val="32"/>
          <w:highlight w:val="none"/>
        </w:rPr>
      </w:pPr>
      <w:bookmarkStart w:id="626" w:name="_Toc9808"/>
      <w:bookmarkStart w:id="627" w:name="_Toc95223496"/>
      <w:bookmarkStart w:id="628" w:name="_Toc7607"/>
      <w:r>
        <w:rPr>
          <w:rFonts w:hint="eastAsia" w:ascii="宋体" w:hAnsi="宋体" w:cs="宋体"/>
          <w:b/>
          <w:bCs/>
          <w:color w:val="auto"/>
          <w:kern w:val="0"/>
          <w:sz w:val="32"/>
          <w:szCs w:val="32"/>
          <w:highlight w:val="none"/>
        </w:rPr>
        <w:t>廉 政 协 议</w:t>
      </w:r>
      <w:bookmarkEnd w:id="626"/>
      <w:bookmarkEnd w:id="627"/>
      <w:bookmarkEnd w:id="628"/>
    </w:p>
    <w:p w14:paraId="38F8415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rPr>
        <w:t>以下称甲方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rPr>
        <w:t>以下称乙方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，特此订立本协议共同遵照执行。</w:t>
      </w:r>
    </w:p>
    <w:p w14:paraId="0A9276F1">
      <w:pPr>
        <w:widowControl/>
        <w:spacing w:line="360" w:lineRule="auto"/>
        <w:ind w:firstLine="420" w:firstLineChars="200"/>
        <w:jc w:val="left"/>
        <w:outlineLvl w:val="0"/>
        <w:rPr>
          <w:rFonts w:hint="eastAsia" w:ascii="宋体" w:hAnsi="宋体" w:cs="宋体"/>
          <w:color w:val="auto"/>
          <w:kern w:val="0"/>
          <w:szCs w:val="21"/>
          <w:highlight w:val="none"/>
        </w:rPr>
      </w:pPr>
      <w:bookmarkStart w:id="629" w:name="_Toc21306"/>
      <w:bookmarkStart w:id="630" w:name="_Toc9888"/>
      <w:bookmarkStart w:id="631" w:name="_Toc95223497"/>
      <w:r>
        <w:rPr>
          <w:rFonts w:hint="eastAsia" w:ascii="宋体" w:hAnsi="宋体" w:cs="宋体"/>
          <w:color w:val="auto"/>
          <w:kern w:val="0"/>
          <w:szCs w:val="21"/>
          <w:highlight w:val="none"/>
        </w:rPr>
        <w:t>第一条 甲乙双方的权利和义务</w:t>
      </w:r>
      <w:bookmarkEnd w:id="629"/>
      <w:bookmarkEnd w:id="630"/>
      <w:bookmarkEnd w:id="631"/>
    </w:p>
    <w:p w14:paraId="317E7FC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D9BBB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4132725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17ACD5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42B96F2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2E67EDE9">
      <w:pPr>
        <w:widowControl/>
        <w:spacing w:line="360" w:lineRule="auto"/>
        <w:ind w:firstLine="420" w:firstLineChars="200"/>
        <w:jc w:val="left"/>
        <w:outlineLvl w:val="0"/>
        <w:rPr>
          <w:rFonts w:hint="eastAsia" w:ascii="宋体" w:hAnsi="宋体" w:cs="宋体"/>
          <w:color w:val="auto"/>
          <w:kern w:val="0"/>
          <w:szCs w:val="21"/>
          <w:highlight w:val="none"/>
        </w:rPr>
      </w:pPr>
      <w:bookmarkStart w:id="632" w:name="_Toc95223498"/>
      <w:bookmarkStart w:id="633" w:name="_Toc3866"/>
      <w:bookmarkStart w:id="634" w:name="_Toc1917"/>
      <w:r>
        <w:rPr>
          <w:rFonts w:hint="eastAsia" w:ascii="宋体" w:hAnsi="宋体" w:cs="宋体"/>
          <w:color w:val="auto"/>
          <w:kern w:val="0"/>
          <w:szCs w:val="21"/>
          <w:highlight w:val="none"/>
        </w:rPr>
        <w:t>第二条 甲方的义务</w:t>
      </w:r>
      <w:bookmarkEnd w:id="632"/>
      <w:bookmarkEnd w:id="633"/>
      <w:bookmarkEnd w:id="634"/>
    </w:p>
    <w:p w14:paraId="5DFD75C1">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甲方及其工作人员不得索要或接受乙方的礼金、有价证券和贵重物品，不得在乙方报销任何应由甲方单位或个人支付的费用等。</w:t>
      </w:r>
    </w:p>
    <w:p w14:paraId="6BE1767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15230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5D0B491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4461F91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CEC8A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2A3642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1D9B83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00E90C8C">
      <w:pPr>
        <w:widowControl/>
        <w:spacing w:line="360" w:lineRule="auto"/>
        <w:ind w:firstLine="420" w:firstLineChars="200"/>
        <w:jc w:val="left"/>
        <w:outlineLvl w:val="0"/>
        <w:rPr>
          <w:rFonts w:hint="eastAsia" w:ascii="宋体" w:hAnsi="宋体" w:cs="宋体"/>
          <w:color w:val="auto"/>
          <w:kern w:val="0"/>
          <w:szCs w:val="21"/>
          <w:highlight w:val="none"/>
        </w:rPr>
      </w:pPr>
      <w:bookmarkStart w:id="635" w:name="_Toc95223499"/>
      <w:bookmarkStart w:id="636" w:name="_Toc10556"/>
      <w:bookmarkStart w:id="637" w:name="_Toc20831"/>
      <w:r>
        <w:rPr>
          <w:rFonts w:hint="eastAsia" w:ascii="宋体" w:hAnsi="宋体" w:cs="宋体"/>
          <w:color w:val="auto"/>
          <w:kern w:val="0"/>
          <w:szCs w:val="21"/>
          <w:highlight w:val="none"/>
        </w:rPr>
        <w:t>第三条 乙方的义务</w:t>
      </w:r>
      <w:bookmarkEnd w:id="635"/>
      <w:bookmarkEnd w:id="636"/>
      <w:bookmarkEnd w:id="637"/>
    </w:p>
    <w:p w14:paraId="61C40B9E">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乙方不得以任何理由向甲方及其工作人员行贿或馈赠礼金、有价证券、贵重礼品。</w:t>
      </w:r>
    </w:p>
    <w:p w14:paraId="2FA93C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乙方不得以任何名义为甲方及其工作人员报销应由甲方单位或个人支付的任何费用。</w:t>
      </w:r>
    </w:p>
    <w:p w14:paraId="22B4B73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乙方不得以任何理由安排甲方工作人员参加可能影响相关业务公开、公正、公平性的宴请及娱乐活动。</w:t>
      </w:r>
    </w:p>
    <w:p w14:paraId="7DF0FA6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6C29CF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39B685B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E90265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13CAE92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如有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要求开展相关工作。</w:t>
      </w:r>
    </w:p>
    <w:p w14:paraId="2E0CB36E">
      <w:pPr>
        <w:widowControl/>
        <w:spacing w:line="360" w:lineRule="auto"/>
        <w:ind w:firstLine="420" w:firstLineChars="200"/>
        <w:jc w:val="left"/>
        <w:outlineLvl w:val="0"/>
        <w:rPr>
          <w:rFonts w:hint="eastAsia" w:ascii="宋体" w:hAnsi="宋体" w:cs="宋体"/>
          <w:color w:val="auto"/>
          <w:kern w:val="0"/>
          <w:szCs w:val="21"/>
          <w:highlight w:val="none"/>
        </w:rPr>
      </w:pPr>
      <w:bookmarkStart w:id="638" w:name="_Toc14507"/>
      <w:bookmarkStart w:id="639" w:name="_Toc95223500"/>
      <w:bookmarkStart w:id="640" w:name="_Toc2198"/>
      <w:r>
        <w:rPr>
          <w:rFonts w:hint="eastAsia" w:ascii="宋体" w:hAnsi="宋体" w:cs="宋体"/>
          <w:color w:val="auto"/>
          <w:kern w:val="0"/>
          <w:szCs w:val="21"/>
          <w:highlight w:val="none"/>
        </w:rPr>
        <w:t>第四条 违约责任</w:t>
      </w:r>
      <w:bookmarkEnd w:id="638"/>
      <w:bookmarkEnd w:id="639"/>
      <w:bookmarkEnd w:id="640"/>
    </w:p>
    <w:p w14:paraId="61A8098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810C6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6B18D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728119C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2651F00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217691B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7BAB766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29577B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167E508D">
      <w:pPr>
        <w:widowControl/>
        <w:spacing w:line="360" w:lineRule="auto"/>
        <w:ind w:firstLine="420" w:firstLineChars="200"/>
        <w:jc w:val="left"/>
        <w:outlineLvl w:val="0"/>
        <w:rPr>
          <w:rFonts w:hint="eastAsia" w:ascii="宋体" w:hAnsi="宋体" w:cs="宋体"/>
          <w:color w:val="auto"/>
          <w:kern w:val="0"/>
          <w:szCs w:val="21"/>
          <w:highlight w:val="none"/>
        </w:rPr>
      </w:pPr>
      <w:bookmarkStart w:id="641" w:name="_Toc2334"/>
      <w:bookmarkStart w:id="642" w:name="_Toc10228"/>
      <w:bookmarkStart w:id="643" w:name="_Toc95223501"/>
      <w:r>
        <w:rPr>
          <w:rFonts w:hint="eastAsia" w:ascii="宋体" w:hAnsi="宋体" w:cs="宋体"/>
          <w:color w:val="auto"/>
          <w:kern w:val="0"/>
          <w:szCs w:val="21"/>
          <w:highlight w:val="none"/>
        </w:rPr>
        <w:t>第五条 双方约定</w:t>
      </w:r>
      <w:bookmarkEnd w:id="641"/>
      <w:bookmarkEnd w:id="642"/>
      <w:bookmarkEnd w:id="643"/>
    </w:p>
    <w:p w14:paraId="75FF9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2FDB29C">
      <w:pPr>
        <w:widowControl/>
        <w:spacing w:line="360" w:lineRule="auto"/>
        <w:ind w:firstLine="420" w:firstLineChars="200"/>
        <w:jc w:val="left"/>
        <w:outlineLvl w:val="0"/>
        <w:rPr>
          <w:rFonts w:hint="eastAsia" w:ascii="宋体" w:hAnsi="宋体" w:cs="宋体"/>
          <w:color w:val="auto"/>
          <w:kern w:val="0"/>
          <w:szCs w:val="21"/>
          <w:highlight w:val="none"/>
        </w:rPr>
      </w:pPr>
      <w:bookmarkStart w:id="644" w:name="_Toc32140"/>
      <w:bookmarkStart w:id="645" w:name="_Toc95223502"/>
      <w:bookmarkStart w:id="646" w:name="_Toc17717"/>
      <w:r>
        <w:rPr>
          <w:rFonts w:hint="eastAsia" w:ascii="宋体" w:hAnsi="宋体" w:cs="宋体"/>
          <w:color w:val="auto"/>
          <w:kern w:val="0"/>
          <w:szCs w:val="21"/>
          <w:highlight w:val="none"/>
        </w:rPr>
        <w:t>第六条  本协议有效期为甲乙双方签署之日起至合同终止。</w:t>
      </w:r>
      <w:bookmarkEnd w:id="644"/>
      <w:bookmarkEnd w:id="645"/>
      <w:bookmarkEnd w:id="646"/>
      <w:r>
        <w:rPr>
          <w:rFonts w:hint="eastAsia" w:ascii="宋体" w:hAnsi="宋体" w:cs="宋体"/>
          <w:color w:val="auto"/>
          <w:kern w:val="0"/>
          <w:szCs w:val="21"/>
          <w:highlight w:val="none"/>
        </w:rPr>
        <w:t xml:space="preserve">  </w:t>
      </w:r>
    </w:p>
    <w:p w14:paraId="2CFA77C1">
      <w:pPr>
        <w:widowControl/>
        <w:spacing w:line="360" w:lineRule="auto"/>
        <w:ind w:firstLine="420" w:firstLineChars="200"/>
        <w:jc w:val="left"/>
        <w:outlineLvl w:val="0"/>
        <w:rPr>
          <w:rFonts w:hint="eastAsia" w:ascii="宋体" w:hAnsi="宋体" w:cs="宋体"/>
          <w:color w:val="auto"/>
          <w:kern w:val="0"/>
          <w:szCs w:val="21"/>
          <w:highlight w:val="none"/>
        </w:rPr>
      </w:pPr>
      <w:bookmarkStart w:id="647" w:name="_Toc24032"/>
      <w:bookmarkStart w:id="648" w:name="_Toc95223503"/>
      <w:bookmarkStart w:id="649" w:name="_Toc1871"/>
      <w:r>
        <w:rPr>
          <w:rFonts w:hint="eastAsia" w:ascii="宋体" w:hAnsi="宋体" w:cs="宋体"/>
          <w:color w:val="auto"/>
          <w:kern w:val="0"/>
          <w:szCs w:val="21"/>
          <w:highlight w:val="none"/>
        </w:rPr>
        <w:t>第七条  本协议作为合同的附件，与本合同具有同等法律效力。</w:t>
      </w:r>
      <w:bookmarkEnd w:id="647"/>
      <w:bookmarkEnd w:id="648"/>
      <w:bookmarkEnd w:id="649"/>
    </w:p>
    <w:p w14:paraId="01FC335A">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 </w:t>
      </w:r>
    </w:p>
    <w:p w14:paraId="48E0B028">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甲方（盖章）：                              乙方（盖章）：                      </w:t>
      </w:r>
    </w:p>
    <w:p w14:paraId="31815A16">
      <w:pPr>
        <w:widowControl/>
        <w:spacing w:line="360" w:lineRule="auto"/>
        <w:ind w:firstLine="420" w:firstLineChars="200"/>
        <w:jc w:val="left"/>
        <w:rPr>
          <w:rFonts w:hint="eastAsia" w:ascii="宋体" w:hAnsi="宋体" w:cs="宋体"/>
          <w:color w:val="auto"/>
          <w:kern w:val="0"/>
          <w:szCs w:val="21"/>
          <w:highlight w:val="none"/>
          <w:u w:val="none"/>
        </w:rPr>
      </w:pPr>
    </w:p>
    <w:p w14:paraId="5ACC8D00">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法定代表人或                                法定代表人或</w:t>
      </w:r>
    </w:p>
    <w:p w14:paraId="5442794A">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授权代表：              </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职务</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 xml:space="preserve">              授权代表：             </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职务</w:t>
      </w:r>
      <w:r>
        <w:rPr>
          <w:rFonts w:hint="eastAsia" w:ascii="宋体" w:hAnsi="宋体" w:cs="宋体"/>
          <w:color w:val="auto"/>
          <w:kern w:val="0"/>
          <w:szCs w:val="21"/>
          <w:highlight w:val="none"/>
          <w:u w:val="none"/>
          <w:lang w:eastAsia="zh-CN"/>
        </w:rPr>
        <w:t>）</w:t>
      </w:r>
    </w:p>
    <w:p w14:paraId="255052B3">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31E66A35">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133F6750">
      <w:pPr>
        <w:widowControl/>
        <w:spacing w:line="360" w:lineRule="auto"/>
        <w:ind w:firstLine="420" w:firstLineChars="200"/>
        <w:jc w:val="left"/>
        <w:rPr>
          <w:rFonts w:hint="eastAsia" w:ascii="宋体" w:hAnsi="宋体" w:cs="宋体"/>
          <w:color w:val="auto"/>
          <w:kern w:val="0"/>
          <w:szCs w:val="21"/>
          <w:highlight w:val="none"/>
          <w:u w:val="none"/>
        </w:rPr>
      </w:pPr>
    </w:p>
    <w:p w14:paraId="0BDF10B0">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廉政监督联系人                              廉政监督联系人</w:t>
      </w:r>
    </w:p>
    <w:p w14:paraId="2F8502D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姓名：                                      姓名：                       </w:t>
      </w:r>
    </w:p>
    <w:p w14:paraId="1AF68E8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签字：                                      签字：                       </w:t>
      </w:r>
    </w:p>
    <w:p w14:paraId="36255AA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电话：                                      电话：                       </w:t>
      </w:r>
    </w:p>
    <w:p w14:paraId="35E25384">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地址：                                      地址：                       </w:t>
      </w:r>
    </w:p>
    <w:p w14:paraId="20BB5F57">
      <w:pPr>
        <w:widowControl/>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 xml:space="preserve">日期：                                      日期：                       </w:t>
      </w:r>
    </w:p>
    <w:p w14:paraId="77617D19">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0"/>
          <w:sz w:val="24"/>
          <w:szCs w:val="21"/>
          <w:highlight w:val="none"/>
          <w:u w:val="none"/>
        </w:rPr>
        <w:br w:type="page"/>
      </w:r>
      <w:bookmarkStart w:id="650"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bookmarkEnd w:id="650"/>
    </w:p>
    <w:p w14:paraId="66144683">
      <w:pPr>
        <w:adjustRightInd w:val="0"/>
        <w:snapToGrid w:val="0"/>
        <w:spacing w:line="360" w:lineRule="auto"/>
        <w:jc w:val="center"/>
        <w:outlineLvl w:val="0"/>
        <w:rPr>
          <w:rFonts w:hint="eastAsia" w:ascii="宋体" w:hAnsi="宋体" w:cs="宋体"/>
          <w:b/>
          <w:color w:val="auto"/>
          <w:sz w:val="32"/>
          <w:szCs w:val="32"/>
          <w:highlight w:val="none"/>
        </w:rPr>
      </w:pPr>
      <w:bookmarkStart w:id="651" w:name="_Toc95223512"/>
      <w:bookmarkStart w:id="652" w:name="_Toc32439"/>
      <w:bookmarkStart w:id="653" w:name="_Toc16956"/>
      <w:r>
        <w:rPr>
          <w:rFonts w:hint="eastAsia" w:ascii="宋体" w:hAnsi="宋体" w:cs="宋体"/>
          <w:b/>
          <w:color w:val="auto"/>
          <w:sz w:val="32"/>
          <w:szCs w:val="32"/>
          <w:highlight w:val="none"/>
        </w:rPr>
        <w:t>安全生产合同</w:t>
      </w:r>
      <w:bookmarkEnd w:id="651"/>
      <w:bookmarkEnd w:id="652"/>
      <w:bookmarkEnd w:id="653"/>
    </w:p>
    <w:p w14:paraId="474D4F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180ED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2AF501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4A6A3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3B4216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6197B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1574C9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448E4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4D746E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575B6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B551A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2935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E3E6C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3F87F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FE44F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3E5588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77BA4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1BD937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4B36B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03363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04A14B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402F9A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5C710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39E7E507">
      <w:pPr>
        <w:spacing w:line="360" w:lineRule="auto"/>
        <w:rPr>
          <w:rFonts w:hint="eastAsia" w:ascii="宋体" w:hAnsi="宋体" w:cs="宋体"/>
          <w:color w:val="auto"/>
          <w:szCs w:val="21"/>
          <w:highlight w:val="none"/>
        </w:rPr>
      </w:pPr>
    </w:p>
    <w:p w14:paraId="4BFE7FBD">
      <w:pPr>
        <w:spacing w:line="360" w:lineRule="auto"/>
        <w:rPr>
          <w:rFonts w:hint="eastAsia" w:ascii="宋体" w:hAnsi="宋体" w:cs="宋体"/>
          <w:color w:val="auto"/>
          <w:szCs w:val="21"/>
          <w:highlight w:val="none"/>
        </w:rPr>
      </w:pPr>
    </w:p>
    <w:p w14:paraId="69CA65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0D05631">
      <w:pPr>
        <w:spacing w:line="360" w:lineRule="auto"/>
        <w:rPr>
          <w:rFonts w:hint="eastAsia" w:ascii="宋体" w:hAnsi="宋体" w:cs="宋体"/>
          <w:color w:val="auto"/>
          <w:szCs w:val="21"/>
          <w:highlight w:val="none"/>
        </w:rPr>
      </w:pPr>
    </w:p>
    <w:p w14:paraId="0B3AD7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E776F26">
      <w:pPr>
        <w:spacing w:line="360" w:lineRule="auto"/>
        <w:rPr>
          <w:rFonts w:hint="eastAsia" w:ascii="宋体" w:hAnsi="宋体" w:cs="宋体"/>
          <w:color w:val="auto"/>
          <w:szCs w:val="21"/>
          <w:highlight w:val="none"/>
        </w:rPr>
      </w:pPr>
    </w:p>
    <w:p w14:paraId="268F7BFE">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93359C">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654" w:name="_Toc95223513"/>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bookmarkEnd w:id="654"/>
    </w:p>
    <w:p w14:paraId="617C47FA">
      <w:pPr>
        <w:keepNext/>
        <w:keepLines/>
        <w:spacing w:before="120" w:after="120" w:line="360" w:lineRule="auto"/>
        <w:jc w:val="left"/>
        <w:outlineLvl w:val="2"/>
        <w:rPr>
          <w:rFonts w:hint="eastAsia" w:ascii="宋体" w:hAnsi="宋体" w:cs="宋体"/>
          <w:bCs/>
          <w:color w:val="auto"/>
          <w:sz w:val="24"/>
          <w:highlight w:val="none"/>
        </w:rPr>
      </w:pPr>
    </w:p>
    <w:p w14:paraId="4CC588FE">
      <w:pPr>
        <w:adjustRightInd w:val="0"/>
        <w:snapToGrid w:val="0"/>
        <w:spacing w:line="360" w:lineRule="auto"/>
        <w:jc w:val="center"/>
        <w:outlineLvl w:val="0"/>
        <w:rPr>
          <w:rFonts w:hint="eastAsia" w:ascii="宋体" w:hAnsi="宋体" w:cs="宋体"/>
          <w:b/>
          <w:color w:val="auto"/>
          <w:sz w:val="32"/>
          <w:szCs w:val="32"/>
          <w:highlight w:val="none"/>
        </w:rPr>
      </w:pPr>
      <w:bookmarkStart w:id="655" w:name="_Toc19059"/>
      <w:bookmarkStart w:id="656" w:name="_Toc95223514"/>
      <w:bookmarkStart w:id="657" w:name="_Toc20282"/>
      <w:r>
        <w:rPr>
          <w:rFonts w:hint="eastAsia" w:ascii="宋体" w:hAnsi="宋体" w:cs="宋体"/>
          <w:b/>
          <w:color w:val="auto"/>
          <w:sz w:val="32"/>
          <w:szCs w:val="32"/>
          <w:highlight w:val="none"/>
        </w:rPr>
        <w:t>项目经理质量终身责任制承诺</w:t>
      </w:r>
      <w:bookmarkEnd w:id="655"/>
      <w:bookmarkEnd w:id="656"/>
      <w:bookmarkEnd w:id="657"/>
    </w:p>
    <w:p w14:paraId="4858D20E">
      <w:pPr>
        <w:adjustRightInd w:val="0"/>
        <w:snapToGrid w:val="0"/>
        <w:spacing w:line="360" w:lineRule="auto"/>
        <w:jc w:val="center"/>
        <w:outlineLvl w:val="0"/>
        <w:rPr>
          <w:rFonts w:hint="eastAsia" w:ascii="宋体" w:hAnsi="宋体" w:cs="宋体"/>
          <w:b/>
          <w:color w:val="auto"/>
          <w:sz w:val="32"/>
          <w:szCs w:val="32"/>
          <w:highlight w:val="none"/>
        </w:rPr>
      </w:pPr>
    </w:p>
    <w:p w14:paraId="0FB5A82C">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lang w:val="en-US" w:eastAsia="zh-CN"/>
        </w:rPr>
        <w:t>项目单位</w:t>
      </w:r>
      <w:r>
        <w:rPr>
          <w:rFonts w:hint="eastAsia" w:ascii="宋体" w:hAnsi="宋体" w:cs="宋体"/>
          <w:bCs/>
          <w:color w:val="auto"/>
          <w:sz w:val="24"/>
          <w:szCs w:val="21"/>
          <w:highlight w:val="none"/>
        </w:rPr>
        <w:t>名称</w:t>
      </w:r>
      <w:r>
        <w:rPr>
          <w:rFonts w:hint="eastAsia" w:ascii="宋体" w:hAnsi="宋体" w:cs="宋体"/>
          <w:bCs/>
          <w:color w:val="auto"/>
          <w:sz w:val="24"/>
          <w:szCs w:val="21"/>
          <w:highlight w:val="none"/>
          <w:lang w:eastAsia="zh-CN"/>
        </w:rPr>
        <w:t>）</w:t>
      </w:r>
    </w:p>
    <w:p w14:paraId="1F0E81F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2EDE2C9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484D4D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39BF685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0E429D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08DFF2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6E5C697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71EE950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A1CD60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25D61871">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68A26595">
      <w:pPr>
        <w:spacing w:line="360" w:lineRule="auto"/>
        <w:ind w:left="359" w:leftChars="171" w:firstLine="720" w:firstLineChars="300"/>
        <w:rPr>
          <w:rFonts w:hint="eastAsia" w:ascii="宋体" w:hAnsi="宋体" w:cs="宋体"/>
          <w:bCs/>
          <w:color w:val="auto"/>
          <w:sz w:val="24"/>
          <w:szCs w:val="21"/>
          <w:highlight w:val="none"/>
        </w:rPr>
      </w:pPr>
    </w:p>
    <w:p w14:paraId="1D4F61C3">
      <w:pPr>
        <w:spacing w:line="360" w:lineRule="auto"/>
        <w:ind w:left="359" w:leftChars="171" w:firstLine="720" w:firstLineChars="300"/>
        <w:rPr>
          <w:rFonts w:hint="eastAsia" w:ascii="宋体" w:hAnsi="宋体" w:cs="宋体"/>
          <w:bCs/>
          <w:color w:val="auto"/>
          <w:sz w:val="24"/>
          <w:szCs w:val="21"/>
          <w:highlight w:val="none"/>
        </w:rPr>
      </w:pPr>
    </w:p>
    <w:p w14:paraId="6CEAF01D">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036D2AF1">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0EF746F4">
      <w:pPr>
        <w:widowControl/>
        <w:spacing w:line="500" w:lineRule="exact"/>
        <w:jc w:val="left"/>
        <w:rPr>
          <w:rFonts w:ascii="宋体" w:hAnsi="宋体" w:cs="宋体"/>
          <w:b/>
          <w:color w:val="auto"/>
          <w:sz w:val="24"/>
          <w:highlight w:val="none"/>
        </w:rPr>
      </w:pPr>
    </w:p>
    <w:p w14:paraId="7C87BF13">
      <w:pPr>
        <w:pStyle w:val="26"/>
        <w:rPr>
          <w:color w:val="auto"/>
          <w:highlight w:val="none"/>
        </w:rPr>
      </w:pPr>
    </w:p>
    <w:p w14:paraId="6F7C85B4">
      <w:pPr>
        <w:rPr>
          <w:color w:val="auto"/>
          <w:highlight w:val="none"/>
        </w:rPr>
      </w:pPr>
    </w:p>
    <w:p w14:paraId="0287669D">
      <w:pPr>
        <w:pStyle w:val="26"/>
        <w:rPr>
          <w:color w:val="auto"/>
          <w:highlight w:val="none"/>
        </w:rPr>
      </w:pPr>
    </w:p>
    <w:p w14:paraId="1DF839A1">
      <w:pPr>
        <w:rPr>
          <w:color w:val="auto"/>
          <w:highlight w:val="none"/>
        </w:rPr>
      </w:pPr>
    </w:p>
    <w:p w14:paraId="33899853">
      <w:pPr>
        <w:keepNext w:val="0"/>
        <w:keepLines w:val="0"/>
        <w:pageBreakBefore w:val="0"/>
        <w:widowControl/>
        <w:kinsoku/>
        <w:wordWrap/>
        <w:overflowPunct/>
        <w:topLinePunct w:val="0"/>
        <w:autoSpaceDE/>
        <w:autoSpaceDN/>
        <w:bidi w:val="0"/>
        <w:adjustRightInd/>
        <w:spacing w:line="540" w:lineRule="exact"/>
        <w:textAlignment w:val="auto"/>
        <w:rPr>
          <w:rFonts w:hint="eastAsia" w:ascii="仿宋" w:hAnsi="仿宋" w:eastAsia="宋体"/>
          <w:b w:val="0"/>
          <w:bCs w:val="0"/>
          <w:sz w:val="32"/>
          <w:szCs w:val="32"/>
          <w:highlight w:val="none"/>
          <w:lang w:eastAsia="zh-CN"/>
        </w:rPr>
      </w:pPr>
    </w:p>
    <w:p w14:paraId="546CC058">
      <w:pPr>
        <w:rPr>
          <w:rFonts w:hint="eastAsia"/>
          <w:highlight w:val="none"/>
        </w:rPr>
      </w:pPr>
    </w:p>
    <w:p w14:paraId="034D8D04">
      <w:pPr>
        <w:keepNext w:val="0"/>
        <w:keepLines w:val="0"/>
        <w:pageBreakBefore w:val="0"/>
        <w:widowControl w:val="0"/>
        <w:numPr>
          <w:ilvl w:val="0"/>
          <w:numId w:val="0"/>
        </w:numPr>
        <w:kinsoku/>
        <w:wordWrap/>
        <w:overflowPunct/>
        <w:topLinePunct w:val="0"/>
        <w:autoSpaceDE/>
        <w:autoSpaceDN/>
        <w:bidi w:val="0"/>
        <w:adjustRightInd/>
        <w:snapToGrid/>
        <w:spacing w:before="136" w:beforeLines="50" w:after="136" w:afterLines="50" w:line="720" w:lineRule="exact"/>
        <w:jc w:val="center"/>
        <w:textAlignment w:val="auto"/>
        <w:rPr>
          <w:rFonts w:hint="eastAsia" w:ascii="宋体" w:hAnsi="宋体" w:eastAsia="宋体" w:cs="宋体"/>
          <w:b/>
          <w:sz w:val="32"/>
          <w:szCs w:val="32"/>
          <w:highlight w:val="none"/>
          <w:lang w:val="en-US" w:eastAsia="zh-CN"/>
        </w:rPr>
      </w:pPr>
      <w:bookmarkStart w:id="658" w:name="_Toc5257"/>
      <w:bookmarkStart w:id="659" w:name="_Toc5860_WPSOffice_Level1"/>
      <w:bookmarkStart w:id="660" w:name="_Toc10507"/>
      <w:r>
        <w:rPr>
          <w:rFonts w:hint="eastAsia" w:ascii="宋体" w:hAnsi="宋体" w:eastAsia="宋体" w:cs="宋体"/>
          <w:b/>
          <w:sz w:val="32"/>
          <w:szCs w:val="32"/>
          <w:highlight w:val="none"/>
          <w:lang w:val="en-US" w:eastAsia="zh-CN"/>
        </w:rPr>
        <w:t>第五章  技术标准和要求</w:t>
      </w:r>
      <w:bookmarkEnd w:id="658"/>
      <w:bookmarkEnd w:id="659"/>
      <w:bookmarkEnd w:id="660"/>
    </w:p>
    <w:p w14:paraId="0500A7CC">
      <w:pPr>
        <w:spacing w:line="400" w:lineRule="exact"/>
        <w:ind w:right="-174" w:rightChars="-83" w:firstLine="2880" w:firstLineChars="1200"/>
        <w:jc w:val="both"/>
        <w:rPr>
          <w:rFonts w:hint="eastAsia" w:ascii="宋体" w:hAnsi="宋体" w:eastAsia="宋体" w:cs="宋体"/>
          <w:sz w:val="24"/>
          <w:szCs w:val="24"/>
          <w:highlight w:val="none"/>
        </w:rPr>
      </w:pPr>
    </w:p>
    <w:p w14:paraId="70813752">
      <w:pPr>
        <w:spacing w:line="400" w:lineRule="exact"/>
        <w:ind w:right="-174" w:rightChars="-83" w:firstLine="2880" w:firstLineChars="1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现行的有关规范、行业标准。</w:t>
      </w:r>
    </w:p>
    <w:p w14:paraId="0EAD5602">
      <w:pPr>
        <w:spacing w:line="400" w:lineRule="exact"/>
        <w:rPr>
          <w:rFonts w:ascii="宋体"/>
          <w:sz w:val="24"/>
          <w:szCs w:val="24"/>
          <w:highlight w:val="none"/>
        </w:rPr>
      </w:pPr>
    </w:p>
    <w:p w14:paraId="203A8FA9">
      <w:pPr>
        <w:spacing w:line="440" w:lineRule="exact"/>
        <w:ind w:firstLine="600" w:firstLineChars="250"/>
        <w:rPr>
          <w:rFonts w:ascii="宋体"/>
          <w:sz w:val="24"/>
          <w:szCs w:val="24"/>
          <w:highlight w:val="none"/>
        </w:rPr>
      </w:pPr>
    </w:p>
    <w:p w14:paraId="25C89823">
      <w:pPr>
        <w:pStyle w:val="26"/>
        <w:ind w:firstLine="480"/>
        <w:rPr>
          <w:rFonts w:hint="eastAsia" w:hAnsi="宋体" w:eastAsia="宋体" w:cs="宋体"/>
          <w:sz w:val="24"/>
          <w:highlight w:val="none"/>
        </w:rPr>
      </w:pPr>
    </w:p>
    <w:p w14:paraId="63A5ADFA">
      <w:pPr>
        <w:pStyle w:val="21"/>
        <w:rPr>
          <w:rFonts w:hint="eastAsia" w:ascii="宋体" w:hAnsi="宋体" w:eastAsia="宋体" w:cs="宋体"/>
          <w:sz w:val="24"/>
          <w:highlight w:val="none"/>
        </w:rPr>
      </w:pPr>
    </w:p>
    <w:p w14:paraId="54DA4AA5">
      <w:pPr>
        <w:pStyle w:val="21"/>
        <w:ind w:left="0" w:leftChars="0" w:firstLine="0" w:firstLineChars="0"/>
        <w:rPr>
          <w:rFonts w:hint="eastAsia" w:ascii="宋体" w:hAnsi="宋体" w:eastAsia="宋体" w:cs="宋体"/>
          <w:sz w:val="24"/>
          <w:highlight w:val="none"/>
          <w:lang w:eastAsia="zh-CN"/>
        </w:rPr>
      </w:pPr>
    </w:p>
    <w:p w14:paraId="1BF1DD37">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eastAsia="zh-CN"/>
        </w:rPr>
        <w:t>章  工程量清单</w:t>
      </w:r>
    </w:p>
    <w:p w14:paraId="191DF830">
      <w:pPr>
        <w:keepNext/>
        <w:keepLines/>
        <w:adjustRightInd w:val="0"/>
        <w:snapToGrid w:val="0"/>
        <w:spacing w:line="480" w:lineRule="auto"/>
        <w:outlineLvl w:val="1"/>
        <w:rPr>
          <w:rFonts w:hint="eastAsia" w:ascii="宋体" w:hAnsi="宋体" w:cs="宋体"/>
          <w:b/>
          <w:bCs/>
          <w:color w:val="000000"/>
          <w:sz w:val="32"/>
          <w:szCs w:val="32"/>
        </w:rPr>
      </w:pPr>
      <w:bookmarkStart w:id="661" w:name="_Toc95223516"/>
      <w:bookmarkStart w:id="662" w:name="_Toc7103"/>
      <w:bookmarkStart w:id="663" w:name="_Toc1620"/>
      <w:r>
        <w:rPr>
          <w:rFonts w:hint="eastAsia" w:ascii="宋体" w:hAnsi="宋体" w:cs="宋体"/>
          <w:b/>
          <w:bCs/>
          <w:color w:val="000000"/>
          <w:sz w:val="32"/>
          <w:szCs w:val="32"/>
        </w:rPr>
        <w:t>1. 计价依据</w:t>
      </w:r>
      <w:bookmarkEnd w:id="661"/>
      <w:bookmarkEnd w:id="662"/>
      <w:bookmarkEnd w:id="663"/>
    </w:p>
    <w:p w14:paraId="5233587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 计价依据的确定符合国家法律法规、现行有关标准与规范，工程所在地的省、市工程定额和工程造价的规定以及工程造价信息要求。</w:t>
      </w:r>
    </w:p>
    <w:p w14:paraId="24D6D63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1.2 安全文明施工费按下表执行： </w:t>
      </w:r>
    </w:p>
    <w:tbl>
      <w:tblPr>
        <w:tblStyle w:val="27"/>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0"/>
        <w:gridCol w:w="2956"/>
        <w:gridCol w:w="2176"/>
        <w:gridCol w:w="2060"/>
      </w:tblGrid>
      <w:tr w14:paraId="0B9A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20B8139B">
            <w:pPr>
              <w:adjustRightInd w:val="0"/>
              <w:snapToGrid w:val="0"/>
              <w:spacing w:line="360" w:lineRule="auto"/>
              <w:jc w:val="center"/>
              <w:rPr>
                <w:color w:val="auto"/>
                <w:kern w:val="0"/>
                <w:sz w:val="24"/>
              </w:rPr>
            </w:pPr>
            <w:r>
              <w:rPr>
                <w:rFonts w:hint="eastAsia"/>
                <w:color w:val="auto"/>
                <w:kern w:val="0"/>
                <w:sz w:val="24"/>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475EF037">
            <w:pPr>
              <w:adjustRightInd w:val="0"/>
              <w:snapToGrid w:val="0"/>
              <w:spacing w:line="360" w:lineRule="auto"/>
              <w:jc w:val="center"/>
              <w:rPr>
                <w:color w:val="auto"/>
                <w:kern w:val="0"/>
                <w:sz w:val="24"/>
              </w:rPr>
            </w:pPr>
            <w:r>
              <w:rPr>
                <w:rFonts w:hint="eastAsia"/>
                <w:color w:val="auto"/>
                <w:kern w:val="0"/>
                <w:sz w:val="24"/>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039CE85B">
            <w:pPr>
              <w:adjustRightInd w:val="0"/>
              <w:snapToGrid w:val="0"/>
              <w:spacing w:line="360" w:lineRule="auto"/>
              <w:jc w:val="center"/>
              <w:rPr>
                <w:color w:val="auto"/>
                <w:kern w:val="0"/>
                <w:sz w:val="24"/>
              </w:rPr>
            </w:pPr>
            <w:r>
              <w:rPr>
                <w:rFonts w:hint="eastAsia"/>
                <w:color w:val="auto"/>
                <w:kern w:val="0"/>
                <w:sz w:val="24"/>
              </w:rPr>
              <w:t>费率（%）</w:t>
            </w:r>
          </w:p>
        </w:tc>
      </w:tr>
      <w:tr w14:paraId="4B30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3865B685">
            <w:pPr>
              <w:widowControl/>
              <w:snapToGrid w:val="0"/>
              <w:spacing w:line="360" w:lineRule="auto"/>
              <w:jc w:val="center"/>
              <w:rPr>
                <w:color w:val="auto"/>
                <w:kern w:val="0"/>
                <w:sz w:val="24"/>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332B658">
            <w:pPr>
              <w:widowControl/>
              <w:snapToGrid w:val="0"/>
              <w:spacing w:line="360" w:lineRule="auto"/>
              <w:jc w:val="center"/>
              <w:rPr>
                <w:color w:val="auto"/>
                <w:kern w:val="0"/>
                <w:sz w:val="24"/>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0F4D6A12">
            <w:pPr>
              <w:adjustRightInd w:val="0"/>
              <w:snapToGrid w:val="0"/>
              <w:spacing w:line="360" w:lineRule="auto"/>
              <w:jc w:val="center"/>
              <w:rPr>
                <w:color w:val="auto"/>
                <w:kern w:val="0"/>
                <w:sz w:val="24"/>
              </w:rPr>
            </w:pPr>
            <w:r>
              <w:rPr>
                <w:rFonts w:hint="eastAsia"/>
                <w:color w:val="auto"/>
                <w:kern w:val="0"/>
                <w:sz w:val="24"/>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00B16907">
            <w:pPr>
              <w:adjustRightInd w:val="0"/>
              <w:snapToGrid w:val="0"/>
              <w:spacing w:line="360" w:lineRule="auto"/>
              <w:jc w:val="center"/>
              <w:rPr>
                <w:rFonts w:eastAsia="仿宋"/>
                <w:color w:val="auto"/>
                <w:kern w:val="0"/>
                <w:sz w:val="24"/>
              </w:rPr>
            </w:pPr>
            <w:r>
              <w:rPr>
                <w:rFonts w:hint="eastAsia"/>
                <w:color w:val="auto"/>
                <w:kern w:val="0"/>
                <w:sz w:val="24"/>
              </w:rPr>
              <w:t>市政公用工程</w:t>
            </w:r>
          </w:p>
        </w:tc>
      </w:tr>
      <w:tr w14:paraId="55A0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09114AD1">
            <w:pPr>
              <w:widowControl/>
              <w:snapToGrid w:val="0"/>
              <w:spacing w:line="360" w:lineRule="auto"/>
              <w:jc w:val="center"/>
              <w:rPr>
                <w:color w:val="auto"/>
                <w:kern w:val="0"/>
                <w:sz w:val="24"/>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482C5DBD">
            <w:pPr>
              <w:widowControl/>
              <w:snapToGrid w:val="0"/>
              <w:spacing w:line="360" w:lineRule="auto"/>
              <w:jc w:val="center"/>
              <w:rPr>
                <w:color w:val="auto"/>
                <w:kern w:val="0"/>
                <w:sz w:val="24"/>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5672C789">
            <w:pPr>
              <w:adjustRightInd w:val="0"/>
              <w:snapToGrid w:val="0"/>
              <w:spacing w:line="360" w:lineRule="auto"/>
              <w:jc w:val="center"/>
              <w:rPr>
                <w:color w:val="auto"/>
                <w:kern w:val="0"/>
                <w:sz w:val="24"/>
              </w:rPr>
            </w:pPr>
          </w:p>
        </w:tc>
        <w:tc>
          <w:tcPr>
            <w:tcW w:w="1154" w:type="pct"/>
            <w:vMerge w:val="continue"/>
            <w:tcBorders>
              <w:left w:val="single" w:color="auto" w:sz="4" w:space="0"/>
              <w:bottom w:val="single" w:color="auto" w:sz="4" w:space="0"/>
              <w:right w:val="single" w:color="auto" w:sz="4" w:space="0"/>
            </w:tcBorders>
            <w:noWrap w:val="0"/>
            <w:vAlign w:val="center"/>
          </w:tcPr>
          <w:p w14:paraId="0E5819B7">
            <w:pPr>
              <w:adjustRightInd w:val="0"/>
              <w:snapToGrid w:val="0"/>
              <w:spacing w:line="360" w:lineRule="auto"/>
              <w:jc w:val="center"/>
              <w:rPr>
                <w:color w:val="auto"/>
                <w:kern w:val="0"/>
                <w:sz w:val="24"/>
              </w:rPr>
            </w:pPr>
          </w:p>
        </w:tc>
      </w:tr>
      <w:tr w14:paraId="23218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3E26EF6B">
            <w:pPr>
              <w:adjustRightInd w:val="0"/>
              <w:snapToGrid w:val="0"/>
              <w:spacing w:line="360" w:lineRule="auto"/>
              <w:jc w:val="center"/>
              <w:rPr>
                <w:color w:val="auto"/>
                <w:kern w:val="0"/>
                <w:sz w:val="24"/>
              </w:rPr>
            </w:pPr>
            <w:r>
              <w:rPr>
                <w:rFonts w:hint="eastAsia"/>
                <w:color w:val="auto"/>
                <w:kern w:val="0"/>
                <w:sz w:val="24"/>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3B5A6BBE">
            <w:pPr>
              <w:adjustRightInd w:val="0"/>
              <w:snapToGrid w:val="0"/>
              <w:spacing w:line="360" w:lineRule="auto"/>
              <w:jc w:val="center"/>
              <w:rPr>
                <w:color w:val="auto"/>
                <w:kern w:val="0"/>
                <w:sz w:val="24"/>
              </w:rPr>
            </w:pPr>
            <w:r>
              <w:rPr>
                <w:rFonts w:hint="eastAsia"/>
                <w:color w:val="auto"/>
                <w:kern w:val="0"/>
                <w:sz w:val="24"/>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58B32E5">
            <w:pPr>
              <w:adjustRightInd w:val="0"/>
              <w:snapToGrid w:val="0"/>
              <w:spacing w:line="360" w:lineRule="auto"/>
              <w:jc w:val="center"/>
              <w:rPr>
                <w:color w:val="auto"/>
                <w:kern w:val="0"/>
                <w:sz w:val="24"/>
              </w:rPr>
            </w:pPr>
            <w:r>
              <w:rPr>
                <w:rFonts w:hint="eastAsia"/>
                <w:color w:val="auto"/>
                <w:kern w:val="0"/>
                <w:sz w:val="24"/>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8A9815D">
            <w:pPr>
              <w:adjustRightInd w:val="0"/>
              <w:snapToGrid w:val="0"/>
              <w:spacing w:line="360" w:lineRule="auto"/>
              <w:jc w:val="center"/>
              <w:rPr>
                <w:rFonts w:eastAsia="仿宋"/>
                <w:color w:val="auto"/>
                <w:kern w:val="0"/>
                <w:sz w:val="24"/>
              </w:rPr>
            </w:pPr>
            <w:r>
              <w:rPr>
                <w:rFonts w:hint="eastAsia"/>
                <w:color w:val="auto"/>
                <w:kern w:val="0"/>
                <w:sz w:val="24"/>
              </w:rPr>
              <w:t>3.57</w:t>
            </w:r>
          </w:p>
        </w:tc>
      </w:tr>
      <w:tr w14:paraId="018F6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2A8480C2">
            <w:pPr>
              <w:adjustRightInd w:val="0"/>
              <w:snapToGrid w:val="0"/>
              <w:spacing w:line="360" w:lineRule="auto"/>
              <w:jc w:val="center"/>
              <w:rPr>
                <w:color w:val="auto"/>
                <w:kern w:val="0"/>
                <w:sz w:val="24"/>
              </w:rPr>
            </w:pPr>
            <w:r>
              <w:rPr>
                <w:rFonts w:hint="eastAsia"/>
                <w:color w:val="auto"/>
                <w:kern w:val="0"/>
                <w:sz w:val="24"/>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2C54C30E">
            <w:pPr>
              <w:widowControl/>
              <w:snapToGrid w:val="0"/>
              <w:spacing w:line="360" w:lineRule="auto"/>
              <w:jc w:val="center"/>
              <w:rPr>
                <w:color w:val="auto"/>
                <w:kern w:val="0"/>
                <w:sz w:val="24"/>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930497B">
            <w:pPr>
              <w:adjustRightInd w:val="0"/>
              <w:snapToGrid w:val="0"/>
              <w:spacing w:line="360" w:lineRule="auto"/>
              <w:jc w:val="center"/>
              <w:rPr>
                <w:color w:val="auto"/>
                <w:kern w:val="0"/>
                <w:sz w:val="24"/>
              </w:rPr>
            </w:pPr>
            <w:r>
              <w:rPr>
                <w:rFonts w:hint="eastAsia"/>
                <w:color w:val="auto"/>
                <w:kern w:val="0"/>
                <w:sz w:val="24"/>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D48E06B">
            <w:pPr>
              <w:adjustRightInd w:val="0"/>
              <w:snapToGrid w:val="0"/>
              <w:spacing w:line="360" w:lineRule="auto"/>
              <w:jc w:val="center"/>
              <w:rPr>
                <w:rFonts w:eastAsia="仿宋"/>
                <w:color w:val="auto"/>
                <w:kern w:val="0"/>
                <w:sz w:val="24"/>
              </w:rPr>
            </w:pPr>
            <w:r>
              <w:rPr>
                <w:rFonts w:hint="eastAsia"/>
                <w:color w:val="auto"/>
                <w:kern w:val="0"/>
                <w:sz w:val="24"/>
              </w:rPr>
              <w:t>7.33</w:t>
            </w:r>
          </w:p>
        </w:tc>
      </w:tr>
      <w:tr w14:paraId="3899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28A14B30">
            <w:pPr>
              <w:adjustRightInd w:val="0"/>
              <w:snapToGrid w:val="0"/>
              <w:spacing w:line="360" w:lineRule="auto"/>
              <w:jc w:val="center"/>
              <w:rPr>
                <w:color w:val="auto"/>
                <w:kern w:val="0"/>
                <w:sz w:val="24"/>
              </w:rPr>
            </w:pPr>
            <w:r>
              <w:rPr>
                <w:rFonts w:hint="eastAsia"/>
                <w:color w:val="auto"/>
                <w:kern w:val="0"/>
                <w:sz w:val="24"/>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A761461">
            <w:pPr>
              <w:widowControl/>
              <w:snapToGrid w:val="0"/>
              <w:spacing w:line="360" w:lineRule="auto"/>
              <w:jc w:val="center"/>
              <w:rPr>
                <w:color w:val="auto"/>
                <w:kern w:val="0"/>
                <w:sz w:val="24"/>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0E6718E">
            <w:pPr>
              <w:adjustRightInd w:val="0"/>
              <w:snapToGrid w:val="0"/>
              <w:spacing w:line="360" w:lineRule="auto"/>
              <w:jc w:val="center"/>
              <w:rPr>
                <w:color w:val="auto"/>
                <w:kern w:val="0"/>
                <w:sz w:val="24"/>
              </w:rPr>
            </w:pPr>
            <w:r>
              <w:rPr>
                <w:rFonts w:hint="eastAsia"/>
                <w:color w:val="auto"/>
                <w:kern w:val="0"/>
                <w:sz w:val="24"/>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8EB0B1E">
            <w:pPr>
              <w:adjustRightInd w:val="0"/>
              <w:snapToGrid w:val="0"/>
              <w:spacing w:line="360" w:lineRule="auto"/>
              <w:jc w:val="center"/>
              <w:rPr>
                <w:rFonts w:eastAsia="仿宋"/>
                <w:color w:val="auto"/>
                <w:kern w:val="0"/>
                <w:sz w:val="24"/>
              </w:rPr>
            </w:pPr>
            <w:r>
              <w:rPr>
                <w:rFonts w:hint="eastAsia"/>
                <w:color w:val="auto"/>
                <w:kern w:val="0"/>
                <w:sz w:val="24"/>
              </w:rPr>
              <w:t>5.28</w:t>
            </w:r>
          </w:p>
        </w:tc>
      </w:tr>
      <w:tr w14:paraId="16F3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12447ACD">
            <w:pPr>
              <w:adjustRightInd w:val="0"/>
              <w:snapToGrid w:val="0"/>
              <w:spacing w:line="360" w:lineRule="auto"/>
              <w:jc w:val="center"/>
              <w:rPr>
                <w:color w:val="auto"/>
                <w:kern w:val="0"/>
                <w:sz w:val="24"/>
              </w:rPr>
            </w:pPr>
            <w:r>
              <w:rPr>
                <w:rFonts w:hint="eastAsia"/>
                <w:color w:val="auto"/>
                <w:kern w:val="0"/>
                <w:sz w:val="24"/>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2BD5D30C">
            <w:pPr>
              <w:widowControl/>
              <w:snapToGrid w:val="0"/>
              <w:spacing w:line="360" w:lineRule="auto"/>
              <w:jc w:val="center"/>
              <w:rPr>
                <w:color w:val="auto"/>
                <w:kern w:val="0"/>
                <w:sz w:val="24"/>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5038FF5">
            <w:pPr>
              <w:adjustRightInd w:val="0"/>
              <w:snapToGrid w:val="0"/>
              <w:spacing w:line="360" w:lineRule="auto"/>
              <w:jc w:val="center"/>
              <w:rPr>
                <w:color w:val="auto"/>
                <w:kern w:val="0"/>
                <w:sz w:val="24"/>
              </w:rPr>
            </w:pPr>
            <w:r>
              <w:rPr>
                <w:rFonts w:hint="eastAsia"/>
                <w:color w:val="auto"/>
                <w:kern w:val="0"/>
                <w:sz w:val="24"/>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BE0A4E1">
            <w:pPr>
              <w:adjustRightInd w:val="0"/>
              <w:snapToGrid w:val="0"/>
              <w:spacing w:line="360" w:lineRule="auto"/>
              <w:jc w:val="center"/>
              <w:rPr>
                <w:rFonts w:eastAsia="仿宋"/>
                <w:color w:val="auto"/>
                <w:kern w:val="0"/>
                <w:sz w:val="24"/>
              </w:rPr>
            </w:pPr>
            <w:r>
              <w:rPr>
                <w:rFonts w:hint="eastAsia"/>
                <w:color w:val="auto"/>
                <w:kern w:val="0"/>
                <w:sz w:val="24"/>
              </w:rPr>
              <w:t>9.99</w:t>
            </w:r>
          </w:p>
        </w:tc>
      </w:tr>
    </w:tbl>
    <w:p w14:paraId="35BFEBA2">
      <w:pPr>
        <w:keepNext/>
        <w:keepLines/>
        <w:adjustRightInd w:val="0"/>
        <w:snapToGrid w:val="0"/>
        <w:spacing w:line="480" w:lineRule="exact"/>
        <w:outlineLvl w:val="1"/>
        <w:rPr>
          <w:rFonts w:hint="eastAsia" w:ascii="宋体" w:hAnsi="宋体" w:cs="宋体"/>
          <w:b/>
          <w:bCs/>
          <w:color w:val="000000"/>
          <w:sz w:val="32"/>
          <w:szCs w:val="32"/>
        </w:rPr>
      </w:pPr>
      <w:bookmarkStart w:id="664" w:name="_Toc7049"/>
      <w:bookmarkStart w:id="665" w:name="_Toc7039"/>
      <w:bookmarkStart w:id="666" w:name="_Toc95223517"/>
      <w:r>
        <w:rPr>
          <w:rFonts w:hint="eastAsia" w:ascii="宋体" w:hAnsi="宋体" w:cs="宋体"/>
          <w:b/>
          <w:bCs/>
          <w:color w:val="000000"/>
          <w:sz w:val="32"/>
          <w:szCs w:val="32"/>
        </w:rPr>
        <w:t>2. 工程造价确定</w:t>
      </w:r>
      <w:bookmarkEnd w:id="664"/>
      <w:bookmarkEnd w:id="665"/>
      <w:bookmarkEnd w:id="666"/>
    </w:p>
    <w:p w14:paraId="69875BA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 本项目采用工程量清单计价。</w:t>
      </w:r>
    </w:p>
    <w:p w14:paraId="271AD4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 除招标文件另有约定外，本项目计税采用增值税一般计税方法。</w:t>
      </w:r>
    </w:p>
    <w:p w14:paraId="7161DF1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 建设工程造价由分部分项工程费、措施项目费、不可竞争费、其他项目费和税金构成。</w:t>
      </w:r>
    </w:p>
    <w:p w14:paraId="433B09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6CC508E6">
      <w:pPr>
        <w:keepNext/>
        <w:keepLines/>
        <w:adjustRightInd w:val="0"/>
        <w:snapToGrid w:val="0"/>
        <w:spacing w:line="360" w:lineRule="auto"/>
        <w:outlineLvl w:val="1"/>
        <w:rPr>
          <w:rFonts w:hint="eastAsia" w:ascii="宋体" w:hAnsi="宋体" w:cs="宋体"/>
          <w:b/>
          <w:bCs/>
          <w:color w:val="000000"/>
          <w:sz w:val="32"/>
          <w:szCs w:val="32"/>
        </w:rPr>
      </w:pPr>
      <w:bookmarkStart w:id="667" w:name="_Toc26810"/>
      <w:bookmarkStart w:id="668" w:name="_Toc19788"/>
      <w:bookmarkStart w:id="669" w:name="_Toc95223518"/>
      <w:r>
        <w:rPr>
          <w:rFonts w:hint="eastAsia" w:ascii="宋体" w:hAnsi="宋体" w:cs="宋体"/>
          <w:b/>
          <w:bCs/>
          <w:color w:val="000000"/>
          <w:sz w:val="32"/>
          <w:szCs w:val="32"/>
        </w:rPr>
        <w:t>3. 招标工程量清单编制要求</w:t>
      </w:r>
      <w:bookmarkEnd w:id="667"/>
      <w:bookmarkEnd w:id="668"/>
      <w:bookmarkEnd w:id="669"/>
    </w:p>
    <w:p w14:paraId="3AEDA7F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3.1 招标工程量清单编制依据如下：</w:t>
      </w:r>
    </w:p>
    <w:p w14:paraId="01378A8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（1）2018版安徽省建设工程工程量清单计价办法；</w:t>
      </w:r>
    </w:p>
    <w:p w14:paraId="7852B8E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（2）《关于调整安徽省建设工程不可竞争费构成及计费标准的通知》（建标〔2021〕42号）； </w:t>
      </w:r>
    </w:p>
    <w:p w14:paraId="08226AF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（3）建设工程设计文件及相关资料；</w:t>
      </w:r>
    </w:p>
    <w:p w14:paraId="7DAE33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（4）与建设项目有关的标准、规范、技术资料；</w:t>
      </w:r>
    </w:p>
    <w:p w14:paraId="38B2092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（5）拟定的招标文件及其补充通知答疑纪要； </w:t>
      </w:r>
    </w:p>
    <w:p w14:paraId="22534D9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（6）施工现场情况、地勘水文资料、工程特点及常规施工方案；</w:t>
      </w:r>
    </w:p>
    <w:p w14:paraId="2A9A28E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（7）招标人对项目其他相关要求文件。</w:t>
      </w:r>
    </w:p>
    <w:p w14:paraId="0516384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 招标工程量清单作为招标文件的组成部分，是编制最高投标限价、投标报价、计算工程量、调整合同价款、办理工程竣工结算以及工程索赔等的依据。</w:t>
      </w:r>
    </w:p>
    <w:p w14:paraId="613156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3.3 投标人在投标报价过程中有责任和义务对招标人提供的工程量清单进行分析和核对,发现问题应按招标文件要求以书面形式告知招标人。</w:t>
      </w:r>
    </w:p>
    <w:p w14:paraId="5217682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3.4 工程量清单由分部分项工程量清单、措施项目清单、不可竞争项目清单、其他项目清单、税金项目清单组成。采用统一格式和表格，具体构成内容见“工程量清单”。</w:t>
      </w:r>
    </w:p>
    <w:p w14:paraId="7EA6B2F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41DF077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 招标工程量清单编制范围应与招标文件中明确的工程招标范围一致。工程量清单的组成内容应当完整、项目特征描述应准确全面，与施工图纸保持一致。</w:t>
      </w:r>
    </w:p>
    <w:p w14:paraId="393AE0CE">
      <w:pPr>
        <w:keepNext/>
        <w:keepLines/>
        <w:adjustRightInd w:val="0"/>
        <w:snapToGrid w:val="0"/>
        <w:spacing w:line="360" w:lineRule="auto"/>
        <w:outlineLvl w:val="1"/>
        <w:rPr>
          <w:rFonts w:hint="eastAsia" w:ascii="宋体" w:hAnsi="宋体" w:cs="宋体"/>
          <w:b/>
          <w:bCs/>
          <w:color w:val="000000"/>
          <w:sz w:val="32"/>
          <w:szCs w:val="32"/>
        </w:rPr>
      </w:pPr>
      <w:bookmarkStart w:id="670" w:name="_Toc25387"/>
      <w:bookmarkStart w:id="671" w:name="_Toc95223519"/>
      <w:bookmarkStart w:id="672" w:name="_Toc23910"/>
      <w:r>
        <w:rPr>
          <w:rFonts w:hint="eastAsia" w:ascii="宋体" w:hAnsi="宋体" w:cs="宋体"/>
          <w:b/>
          <w:bCs/>
          <w:color w:val="000000"/>
          <w:sz w:val="32"/>
          <w:szCs w:val="32"/>
        </w:rPr>
        <w:t>4. 最高投标限价编制要求</w:t>
      </w:r>
      <w:bookmarkEnd w:id="670"/>
      <w:bookmarkEnd w:id="671"/>
      <w:bookmarkEnd w:id="672"/>
    </w:p>
    <w:p w14:paraId="37FA9FA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4.1 最高投标限价编制依据如下：</w:t>
      </w:r>
    </w:p>
    <w:p w14:paraId="7EF1A76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（1）2018版安徽省建设工程费用定额；</w:t>
      </w:r>
    </w:p>
    <w:p w14:paraId="4A50E4E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（2）2018版安徽省建设工程施工机械台班费用编制规则；</w:t>
      </w:r>
    </w:p>
    <w:p w14:paraId="2A88616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（3）2018版安徽省配套计价定额；</w:t>
      </w:r>
    </w:p>
    <w:p w14:paraId="2D3E8DC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（4）《关于调整安徽省建设工程不可竞争费构成及计费标准的通知》（建标〔2021〕42号）； </w:t>
      </w:r>
    </w:p>
    <w:p w14:paraId="3054751B">
      <w:pPr>
        <w:adjustRightInd w:val="0"/>
        <w:snapToGrid w:val="0"/>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（5）关于发布《安徽省建设工程计价依据动态调整(第</w:t>
      </w:r>
      <w:r>
        <w:rPr>
          <w:rFonts w:hint="eastAsia" w:ascii="宋体" w:hAnsi="宋体" w:cs="宋体"/>
          <w:color w:val="000000"/>
          <w:szCs w:val="21"/>
          <w:lang w:val="en-US" w:eastAsia="zh-CN"/>
        </w:rPr>
        <w:t xml:space="preserve">2 </w:t>
      </w:r>
      <w:r>
        <w:rPr>
          <w:rFonts w:hint="eastAsia" w:ascii="宋体" w:hAnsi="宋体" w:cs="宋体"/>
          <w:color w:val="000000"/>
          <w:szCs w:val="21"/>
        </w:rPr>
        <w:t>期)》的公告</w:t>
      </w:r>
      <w:r>
        <w:rPr>
          <w:rFonts w:hint="eastAsia" w:ascii="宋体" w:hAnsi="宋体" w:cs="宋体"/>
          <w:color w:val="000000"/>
          <w:szCs w:val="21"/>
          <w:lang w:eastAsia="zh-CN"/>
        </w:rPr>
        <w:t>；</w:t>
      </w:r>
    </w:p>
    <w:p w14:paraId="3DFD6B1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（6）建设工程设计文件及相关资料；</w:t>
      </w:r>
    </w:p>
    <w:p w14:paraId="5AC56AC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（7）与建设项目有关的标准、规范、技术资料；</w:t>
      </w:r>
    </w:p>
    <w:p w14:paraId="0D66E2C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（8）招标文件及招标工程量清单及其补充通知答疑纪要； </w:t>
      </w:r>
    </w:p>
    <w:p w14:paraId="105EFA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（9）施工现场情况、工程特点及常规施工方案；</w:t>
      </w:r>
    </w:p>
    <w:p w14:paraId="5D24F9A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（10）工程造价管理机构发布的</w:t>
      </w:r>
      <w:r>
        <w:rPr>
          <w:rFonts w:hint="eastAsia" w:ascii="宋体" w:hAnsi="宋体" w:cs="宋体"/>
          <w:color w:val="000000"/>
          <w:szCs w:val="21"/>
          <w:highlight w:val="none"/>
        </w:rPr>
        <w:t>工程造价信息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2026年第4期</w:t>
      </w:r>
      <w:r>
        <w:rPr>
          <w:rFonts w:hint="eastAsia" w:ascii="宋体" w:hAnsi="宋体" w:cs="宋体"/>
          <w:color w:val="auto"/>
          <w:szCs w:val="21"/>
          <w:highlight w:val="none"/>
        </w:rPr>
        <w:t>）</w:t>
      </w:r>
      <w:r>
        <w:rPr>
          <w:rFonts w:hint="eastAsia" w:ascii="宋体" w:hAnsi="宋体" w:cs="宋体"/>
          <w:color w:val="000000"/>
          <w:szCs w:val="21"/>
          <w:highlight w:val="none"/>
        </w:rPr>
        <w:t>；</w:t>
      </w:r>
    </w:p>
    <w:p w14:paraId="4B51C5D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（11）施工期间的风险因素；</w:t>
      </w:r>
    </w:p>
    <w:p w14:paraId="781ACB8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（12）其他相关材料。</w:t>
      </w:r>
    </w:p>
    <w:p w14:paraId="2A3BFC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4.2 最高投标限价为本次招标工程限定的最高投标限价，应当在工程所在地建设主管部门备案。最高投标限价不做上调或下浮。如最高投标限价超过批准的概算，招标人应将其报原概算审批部门审核。</w:t>
      </w:r>
    </w:p>
    <w:p w14:paraId="0F12F1D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506968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 分部分项工程费按本招标文件的分部分项工程量清单的特征描述及有关要求，结合第4.1款编制依据确定。</w:t>
      </w:r>
    </w:p>
    <w:p w14:paraId="7F560D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（1）综合单价中人工和施工机械台班单价按省级和工程所在地的市级工程造价管理机构公布的单价计算；</w:t>
      </w:r>
    </w:p>
    <w:p w14:paraId="4DF414B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（2）综合单价中材料、工程设备单价按省级和工程所在地的市级工程造价管理机构公布的单价以及本招标文件规定的暂估价、市场调查价格计算；</w:t>
      </w:r>
    </w:p>
    <w:p w14:paraId="3A3D6AD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（3）本招标文件中列有材料、设备暂估价的，按暂估价计算；</w:t>
      </w:r>
    </w:p>
    <w:p w14:paraId="41F98E0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（4）综合单价中人工、材料和施工机械台班消耗量均按2018版安徽省定额消耗量计算；</w:t>
      </w:r>
    </w:p>
    <w:p w14:paraId="4410E8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（5）综合单价中综合费费率按2018版安徽省建设工程计价依据；</w:t>
      </w:r>
    </w:p>
    <w:p w14:paraId="5555AC1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（6）综合单价中应包括招标文件约定的应由投标人承担的风险范围及其费用，风险按本招标文件第4.1款约定计算。</w:t>
      </w:r>
    </w:p>
    <w:p w14:paraId="72E506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68D7633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4.6 不可竞争费（含安全文明施工费、</w:t>
      </w:r>
      <w:r>
        <w:rPr>
          <w:rFonts w:hint="eastAsia"/>
          <w:color w:val="000000"/>
        </w:rPr>
        <w:t>环境保护税</w:t>
      </w:r>
      <w:r>
        <w:rPr>
          <w:rFonts w:hint="eastAsia" w:ascii="宋体" w:hAnsi="宋体" w:cs="宋体"/>
          <w:color w:val="000000"/>
          <w:szCs w:val="21"/>
        </w:rPr>
        <w:t>）按本招标文件中的不可竞争项目清单编制确定。</w:t>
      </w:r>
    </w:p>
    <w:p w14:paraId="4C533A4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4.7 其他项目费用应按照下列规定计价:</w:t>
      </w:r>
    </w:p>
    <w:p w14:paraId="62D65AB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（1）暂列金额按招标工程量清单中列出的金额填写；</w:t>
      </w:r>
    </w:p>
    <w:p w14:paraId="2C7208A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（2）专业工程暂估价按招标工程量清单中列出的金额填写；</w:t>
      </w:r>
    </w:p>
    <w:p w14:paraId="49A67F4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（3）计日工按招标人列出项目和数量，结合第4.1款编制依据的要求确定综合单价并计算费用； </w:t>
      </w:r>
    </w:p>
    <w:p w14:paraId="796ABE5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（4）总承包服务费根据招标文件列出的内容和要求计算。</w:t>
      </w:r>
    </w:p>
    <w:p w14:paraId="330A44F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4.8 税金（增值税）按税金项目清单，结合第4.1款编制依据的要求编制，不得降低标准。</w:t>
      </w:r>
    </w:p>
    <w:p w14:paraId="7B24B0B0">
      <w:pPr>
        <w:keepNext/>
        <w:keepLines/>
        <w:adjustRightInd w:val="0"/>
        <w:snapToGrid w:val="0"/>
        <w:spacing w:line="360" w:lineRule="auto"/>
        <w:outlineLvl w:val="1"/>
        <w:rPr>
          <w:rFonts w:hint="eastAsia" w:ascii="宋体" w:hAnsi="宋体" w:cs="宋体"/>
          <w:b/>
          <w:bCs/>
          <w:color w:val="000000"/>
          <w:sz w:val="32"/>
          <w:szCs w:val="32"/>
        </w:rPr>
      </w:pPr>
      <w:bookmarkStart w:id="673" w:name="_Toc4166"/>
      <w:bookmarkStart w:id="674" w:name="_Toc95223520"/>
      <w:bookmarkStart w:id="675" w:name="_Toc14007"/>
      <w:r>
        <w:rPr>
          <w:rFonts w:hint="eastAsia" w:ascii="宋体" w:hAnsi="宋体" w:cs="宋体"/>
          <w:b/>
          <w:bCs/>
          <w:color w:val="000000"/>
          <w:sz w:val="32"/>
          <w:szCs w:val="32"/>
        </w:rPr>
        <w:t>5. 投标报价参考编制要求</w:t>
      </w:r>
      <w:bookmarkEnd w:id="673"/>
      <w:bookmarkEnd w:id="674"/>
      <w:bookmarkEnd w:id="675"/>
    </w:p>
    <w:p w14:paraId="537E613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 投标报价编制参考依据如下：</w:t>
      </w:r>
    </w:p>
    <w:p w14:paraId="1159019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（1）2018版安徽省建设工程费用定额；</w:t>
      </w:r>
    </w:p>
    <w:p w14:paraId="5589787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（2）2018版安徽省建设工程施工机械台班费用编制规则；</w:t>
      </w:r>
    </w:p>
    <w:p w14:paraId="3594CA2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（3）2018版安徽省配套计价定额；</w:t>
      </w:r>
    </w:p>
    <w:p w14:paraId="08385F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（4）《关于调整安徽省建设工程不可竞争费构成及计费标准的通知》（建标〔2021〕42号）； </w:t>
      </w:r>
    </w:p>
    <w:p w14:paraId="02C3AD2B">
      <w:pPr>
        <w:adjustRightInd w:val="0"/>
        <w:snapToGrid w:val="0"/>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（5）关于发布《安徽省建设工程计价依据动态调整(第</w:t>
      </w:r>
      <w:r>
        <w:rPr>
          <w:rFonts w:hint="eastAsia" w:ascii="宋体" w:hAnsi="宋体" w:cs="宋体"/>
          <w:color w:val="000000"/>
          <w:szCs w:val="21"/>
          <w:lang w:val="en-US" w:eastAsia="zh-CN"/>
        </w:rPr>
        <w:t xml:space="preserve">2 </w:t>
      </w:r>
      <w:r>
        <w:rPr>
          <w:rFonts w:hint="eastAsia" w:ascii="宋体" w:hAnsi="宋体" w:cs="宋体"/>
          <w:color w:val="000000"/>
          <w:szCs w:val="21"/>
        </w:rPr>
        <w:t>期)》的公告</w:t>
      </w:r>
      <w:r>
        <w:rPr>
          <w:rFonts w:hint="eastAsia" w:ascii="宋体" w:hAnsi="宋体" w:cs="宋体"/>
          <w:color w:val="000000"/>
          <w:szCs w:val="21"/>
          <w:lang w:eastAsia="zh-CN"/>
        </w:rPr>
        <w:t>；</w:t>
      </w:r>
    </w:p>
    <w:p w14:paraId="23F1046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（6）建设工程设计文件及相关资料；</w:t>
      </w:r>
    </w:p>
    <w:p w14:paraId="49889FF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（7）与建设项目有关的标准、规范、技术资料；</w:t>
      </w:r>
    </w:p>
    <w:p w14:paraId="36B6107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（8）招标文件及招标工程量清单及其补充通知答疑纪要； </w:t>
      </w:r>
    </w:p>
    <w:p w14:paraId="2471760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（9）施工现场情况、工程特点及常规施工方案；</w:t>
      </w:r>
    </w:p>
    <w:p w14:paraId="551DA83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（10）工程造价管理机构发</w:t>
      </w:r>
      <w:r>
        <w:rPr>
          <w:rFonts w:hint="eastAsia" w:ascii="宋体" w:hAnsi="宋体" w:cs="宋体"/>
          <w:color w:val="000000"/>
          <w:szCs w:val="21"/>
          <w:highlight w:val="none"/>
        </w:rPr>
        <w:t>布的工程造价信</w:t>
      </w:r>
      <w:r>
        <w:rPr>
          <w:rFonts w:hint="eastAsia" w:ascii="宋体" w:hAnsi="宋体" w:cs="宋体"/>
          <w:color w:val="auto"/>
          <w:szCs w:val="21"/>
          <w:highlight w:val="none"/>
        </w:rPr>
        <w:t>息（</w:t>
      </w:r>
      <w:r>
        <w:rPr>
          <w:rFonts w:hint="eastAsia" w:ascii="宋体" w:hAnsi="宋体" w:cs="宋体"/>
          <w:color w:val="auto"/>
          <w:szCs w:val="21"/>
          <w:highlight w:val="none"/>
          <w:lang w:val="en-US" w:eastAsia="zh-CN"/>
        </w:rPr>
        <w:t>2026年第4期</w:t>
      </w:r>
      <w:r>
        <w:rPr>
          <w:rFonts w:hint="eastAsia" w:ascii="宋体" w:hAnsi="宋体" w:cs="宋体"/>
          <w:color w:val="auto"/>
          <w:szCs w:val="21"/>
          <w:highlight w:val="none"/>
        </w:rPr>
        <w:t>）；</w:t>
      </w:r>
    </w:p>
    <w:p w14:paraId="0A35F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（11）施工期间的风险因素；</w:t>
      </w:r>
    </w:p>
    <w:p w14:paraId="1AFB553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（12）其他相关材料。</w:t>
      </w:r>
    </w:p>
    <w:p w14:paraId="2714D2E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 投标人应仔细阅读招标文件，了解拟投标合同段的全部工程内容。投标人的投标报价应是招标文件所确定的招标范围内全部工程内容的价格体现，但其投标报价不得低于投标人个别成本价。</w:t>
      </w:r>
    </w:p>
    <w:p w14:paraId="5972D13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5.3 投标人应按招标人提供的招标工程量清单填报综合单价和合价，未填报的综合单价和合价，视为此项费用已合在工程量清单的其他综合单价和合价中。</w:t>
      </w:r>
    </w:p>
    <w:p w14:paraId="7B3C8E1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720E0B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5.5 措施项目费根据招标文件中的工程量清单措施项目，结合第5.1款编制依据确定。投标人对招标人所列的措施项目可根据工程实际情况结合施工组织设计进行增补。</w:t>
      </w:r>
    </w:p>
    <w:p w14:paraId="5B2A4E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5.6 不可竞争费（含安全文明施工费、</w:t>
      </w:r>
      <w:r>
        <w:rPr>
          <w:rFonts w:hint="eastAsia"/>
          <w:color w:val="000000"/>
        </w:rPr>
        <w:t>环境保护税</w:t>
      </w:r>
      <w:r>
        <w:rPr>
          <w:rFonts w:hint="eastAsia" w:ascii="宋体" w:hAnsi="宋体" w:cs="宋体"/>
          <w:color w:val="000000"/>
          <w:szCs w:val="21"/>
        </w:rPr>
        <w:t>）根据工程量清单不可竞争项目，结合第5.1款编制依据确定，安全文明施工费费率不得调整。</w:t>
      </w:r>
    </w:p>
    <w:p w14:paraId="4D3B12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5.7 其他项目费用应按照下列规定计价:</w:t>
      </w:r>
    </w:p>
    <w:p w14:paraId="5CEF28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（1）暂列金额按招标工程量清单中列出的金额填写，不得更改；</w:t>
      </w:r>
    </w:p>
    <w:p w14:paraId="1777CE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（2）专业工程暂估价按招标工程量清单中列出的金额填写，不得更改；</w:t>
      </w:r>
    </w:p>
    <w:p w14:paraId="6B0042B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（3）计日工按招标人列出项目和数量，结合第5.1款编制依据的要求确定综合单价并计算费用； </w:t>
      </w:r>
    </w:p>
    <w:p w14:paraId="0C80ADA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（4）总承包服务费根据招标文件列出的内容和要求计算。</w:t>
      </w:r>
    </w:p>
    <w:p w14:paraId="26502FD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5.8 税金（增值税）按税金项目清单，结合第5.1款编制依据的要求编制，不得调整。</w:t>
      </w:r>
    </w:p>
    <w:p w14:paraId="098C4A8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5.9 投标报价编制注意事项</w:t>
      </w:r>
    </w:p>
    <w:p w14:paraId="467F9B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70C75D7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（2）结算时实行暂估价的材料和设备的价差仅计取税金，不再计取其他费用；</w:t>
      </w:r>
    </w:p>
    <w:p w14:paraId="26B4B4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781AFC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7767DE39">
      <w:pPr>
        <w:adjustRightInd w:val="0"/>
        <w:snapToGrid w:val="0"/>
        <w:spacing w:line="360" w:lineRule="auto"/>
        <w:ind w:firstLine="420" w:firstLineChars="200"/>
        <w:rPr>
          <w:rFonts w:hint="eastAsia" w:ascii="宋体" w:hAnsi="宋体" w:cs="宋体"/>
          <w:b/>
          <w:bCs/>
          <w:color w:val="000000"/>
          <w:szCs w:val="21"/>
        </w:rPr>
      </w:pPr>
      <w:r>
        <w:rPr>
          <w:rFonts w:hint="eastAsia" w:ascii="宋体" w:hAnsi="宋体" w:cs="宋体"/>
          <w:color w:val="000000"/>
          <w:szCs w:val="21"/>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000000"/>
          <w:szCs w:val="21"/>
        </w:rPr>
        <w:t>程量误差超过±3%的，招标人应进行修正并重新公布准确的工程量清单；</w:t>
      </w:r>
    </w:p>
    <w:p w14:paraId="34F5136A">
      <w:pPr>
        <w:adjustRightInd w:val="0"/>
        <w:snapToGrid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（6） 除合同另有约定外，中标人在工程量清单报价书中所报的综合单价在施工图纸和合同约定范围一律不予调整；</w:t>
      </w:r>
    </w:p>
    <w:p w14:paraId="55CFB984">
      <w:pPr>
        <w:adjustRightInd w:val="0"/>
        <w:snapToGrid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（7）本招标工程不接受恶意不平衡报价，不保证最低价中标。</w:t>
      </w:r>
    </w:p>
    <w:p w14:paraId="737C5C27">
      <w:pPr>
        <w:keepNext/>
        <w:keepLines/>
        <w:adjustRightInd w:val="0"/>
        <w:snapToGrid w:val="0"/>
        <w:spacing w:line="360" w:lineRule="auto"/>
        <w:outlineLvl w:val="1"/>
        <w:rPr>
          <w:rFonts w:hint="eastAsia" w:ascii="宋体" w:hAnsi="宋体" w:cs="宋体"/>
          <w:b/>
          <w:bCs/>
          <w:color w:val="000000"/>
          <w:sz w:val="32"/>
          <w:szCs w:val="32"/>
        </w:rPr>
      </w:pPr>
      <w:bookmarkStart w:id="676" w:name="_Toc95223521"/>
      <w:bookmarkStart w:id="677" w:name="_Toc4881"/>
      <w:bookmarkStart w:id="678" w:name="_Toc30885"/>
      <w:r>
        <w:rPr>
          <w:rFonts w:hint="eastAsia" w:ascii="宋体" w:hAnsi="宋体" w:cs="宋体"/>
          <w:b/>
          <w:bCs/>
          <w:color w:val="000000"/>
          <w:sz w:val="32"/>
          <w:szCs w:val="32"/>
        </w:rPr>
        <w:t>6. 工程量清单</w:t>
      </w:r>
      <w:bookmarkEnd w:id="676"/>
      <w:bookmarkEnd w:id="677"/>
      <w:bookmarkEnd w:id="678"/>
    </w:p>
    <w:p w14:paraId="5B88C67E">
      <w:pPr>
        <w:adjustRightInd w:val="0"/>
        <w:snapToGrid w:val="0"/>
        <w:spacing w:line="360" w:lineRule="auto"/>
        <w:ind w:firstLine="840" w:firstLineChars="400"/>
        <w:rPr>
          <w:rFonts w:hint="eastAsia" w:ascii="宋体" w:hAnsi="宋体" w:eastAsia="宋体" w:cs="宋体"/>
          <w:sz w:val="24"/>
          <w:highlight w:val="none"/>
          <w:lang w:eastAsia="zh-CN"/>
        </w:rPr>
      </w:pPr>
      <w:r>
        <w:rPr>
          <w:rFonts w:hint="eastAsia" w:ascii="宋体" w:hAnsi="宋体" w:cs="宋体"/>
          <w:color w:val="000000"/>
          <w:szCs w:val="21"/>
        </w:rPr>
        <w:t>另册。</w:t>
      </w:r>
    </w:p>
    <w:p w14:paraId="11D84CCA">
      <w:pPr>
        <w:spacing w:before="156" w:beforeLines="50" w:after="156" w:afterLines="50" w:line="440" w:lineRule="exact"/>
        <w:jc w:val="both"/>
        <w:outlineLvl w:val="0"/>
        <w:rPr>
          <w:rFonts w:hint="eastAsia" w:ascii="宋体" w:hAnsi="宋体" w:eastAsia="宋体" w:cs="宋体"/>
          <w:b/>
          <w:sz w:val="32"/>
          <w:szCs w:val="32"/>
          <w:highlight w:val="none"/>
        </w:rPr>
      </w:pPr>
      <w:bookmarkStart w:id="679" w:name="_Toc25457"/>
    </w:p>
    <w:p w14:paraId="0E825AA2">
      <w:pPr>
        <w:keepNext w:val="0"/>
        <w:keepLines w:val="0"/>
        <w:pageBreakBefore w:val="0"/>
        <w:widowControl w:val="0"/>
        <w:numPr>
          <w:ilvl w:val="0"/>
          <w:numId w:val="0"/>
        </w:numPr>
        <w:kinsoku/>
        <w:wordWrap/>
        <w:overflowPunct/>
        <w:topLinePunct w:val="0"/>
        <w:autoSpaceDE/>
        <w:autoSpaceDN/>
        <w:bidi w:val="0"/>
        <w:adjustRightInd/>
        <w:snapToGrid/>
        <w:spacing w:before="136" w:beforeLines="50" w:after="136" w:afterLines="50" w:line="720" w:lineRule="exact"/>
        <w:jc w:val="center"/>
        <w:textAlignment w:val="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r>
        <w:rPr>
          <w:rFonts w:hint="eastAsia" w:ascii="宋体" w:hAnsi="宋体" w:eastAsia="宋体" w:cs="宋体"/>
          <w:b/>
          <w:sz w:val="32"/>
          <w:szCs w:val="32"/>
          <w:highlight w:val="none"/>
          <w:lang w:val="en-US" w:eastAsia="zh-CN"/>
        </w:rPr>
        <w:t>第七章  投标文件格式</w:t>
      </w:r>
      <w:bookmarkEnd w:id="679"/>
    </w:p>
    <w:p w14:paraId="4E31B57F">
      <w:pPr>
        <w:jc w:val="center"/>
        <w:rPr>
          <w:rFonts w:hint="eastAsia" w:ascii="宋体" w:hAnsi="宋体"/>
          <w:b/>
          <w:sz w:val="44"/>
          <w:szCs w:val="44"/>
          <w:highlight w:val="none"/>
          <w:lang w:val="en-US" w:eastAsia="zh-CN"/>
        </w:rPr>
      </w:pPr>
    </w:p>
    <w:p w14:paraId="79A4684B">
      <w:pPr>
        <w:jc w:val="center"/>
        <w:rPr>
          <w:rFonts w:hint="eastAsia" w:ascii="宋体" w:hAnsi="宋体"/>
          <w:b/>
          <w:sz w:val="44"/>
          <w:szCs w:val="44"/>
          <w:highlight w:val="none"/>
        </w:rPr>
      </w:pPr>
      <w:r>
        <w:rPr>
          <w:rFonts w:hint="eastAsia" w:ascii="宋体" w:hAnsi="宋体"/>
          <w:b/>
          <w:sz w:val="44"/>
          <w:szCs w:val="44"/>
          <w:highlight w:val="none"/>
          <w:lang w:val="en-US" w:eastAsia="zh-CN"/>
        </w:rPr>
        <w:t>投标</w:t>
      </w:r>
      <w:r>
        <w:rPr>
          <w:rFonts w:hint="eastAsia" w:ascii="宋体" w:hAnsi="宋体"/>
          <w:b/>
          <w:sz w:val="44"/>
          <w:szCs w:val="44"/>
          <w:highlight w:val="none"/>
        </w:rPr>
        <w:t>文件</w:t>
      </w:r>
    </w:p>
    <w:p w14:paraId="177ABE9A">
      <w:pPr>
        <w:jc w:val="center"/>
        <w:rPr>
          <w:rFonts w:hint="eastAsia" w:eastAsia="黑体"/>
          <w:sz w:val="44"/>
          <w:szCs w:val="44"/>
          <w:highlight w:val="none"/>
        </w:rPr>
      </w:pPr>
    </w:p>
    <w:p w14:paraId="3942DBC5">
      <w:pPr>
        <w:jc w:val="center"/>
        <w:rPr>
          <w:rFonts w:hint="eastAsia" w:ascii="宋体" w:hAnsi="宋体"/>
          <w:sz w:val="32"/>
          <w:szCs w:val="32"/>
          <w:highlight w:val="none"/>
        </w:rPr>
      </w:pPr>
      <w:r>
        <w:rPr>
          <w:rFonts w:hint="eastAsia" w:ascii="宋体" w:hAnsi="宋体"/>
          <w:sz w:val="32"/>
          <w:szCs w:val="32"/>
          <w:highlight w:val="none"/>
          <w:u w:val="single"/>
        </w:rPr>
        <w:t xml:space="preserve">        </w:t>
      </w:r>
      <w:r>
        <w:rPr>
          <w:rFonts w:ascii="宋体" w:hAnsi="宋体"/>
          <w:sz w:val="32"/>
          <w:szCs w:val="32"/>
          <w:highlight w:val="none"/>
        </w:rPr>
        <w:t>项目名称</w:t>
      </w:r>
    </w:p>
    <w:p w14:paraId="1A0B727D">
      <w:pPr>
        <w:rPr>
          <w:rFonts w:ascii="宋体" w:hAnsi="宋体"/>
          <w:sz w:val="28"/>
          <w:szCs w:val="28"/>
          <w:highlight w:val="none"/>
        </w:rPr>
      </w:pPr>
    </w:p>
    <w:p w14:paraId="455AB0A4">
      <w:pPr>
        <w:rPr>
          <w:rFonts w:ascii="宋体" w:hAnsi="宋体"/>
          <w:sz w:val="28"/>
          <w:szCs w:val="28"/>
          <w:highlight w:val="none"/>
        </w:rPr>
      </w:pPr>
    </w:p>
    <w:p w14:paraId="03B4C479">
      <w:pPr>
        <w:rPr>
          <w:rFonts w:ascii="宋体" w:hAnsi="宋体"/>
          <w:sz w:val="28"/>
          <w:szCs w:val="28"/>
          <w:highlight w:val="none"/>
        </w:rPr>
      </w:pPr>
    </w:p>
    <w:p w14:paraId="5A1BFDA8">
      <w:pPr>
        <w:rPr>
          <w:rFonts w:ascii="宋体" w:hAnsi="宋体"/>
          <w:sz w:val="28"/>
          <w:szCs w:val="28"/>
          <w:highlight w:val="none"/>
        </w:rPr>
      </w:pPr>
    </w:p>
    <w:p w14:paraId="77348891">
      <w:pPr>
        <w:rPr>
          <w:rFonts w:ascii="宋体" w:hAnsi="宋体"/>
          <w:sz w:val="28"/>
          <w:szCs w:val="28"/>
          <w:highlight w:val="none"/>
        </w:rPr>
      </w:pPr>
    </w:p>
    <w:p w14:paraId="76D357FA">
      <w:pPr>
        <w:rPr>
          <w:rFonts w:ascii="宋体" w:hAnsi="宋体"/>
          <w:sz w:val="28"/>
          <w:szCs w:val="28"/>
          <w:highlight w:val="none"/>
        </w:rPr>
      </w:pPr>
    </w:p>
    <w:p w14:paraId="74F4DDA1">
      <w:pPr>
        <w:rPr>
          <w:rFonts w:ascii="宋体" w:hAnsi="宋体"/>
          <w:sz w:val="28"/>
          <w:szCs w:val="28"/>
          <w:highlight w:val="none"/>
        </w:rPr>
      </w:pPr>
    </w:p>
    <w:p w14:paraId="3B6BF559">
      <w:pPr>
        <w:rPr>
          <w:rFonts w:hint="eastAsia" w:ascii="宋体" w:hAnsi="宋体"/>
          <w:sz w:val="28"/>
          <w:szCs w:val="28"/>
          <w:highlight w:val="none"/>
        </w:rPr>
      </w:pPr>
    </w:p>
    <w:p w14:paraId="785F159B">
      <w:pPr>
        <w:pStyle w:val="26"/>
        <w:rPr>
          <w:rFonts w:hint="eastAsia"/>
          <w:highlight w:val="none"/>
        </w:rPr>
      </w:pPr>
    </w:p>
    <w:p w14:paraId="71A9256D">
      <w:pPr>
        <w:jc w:val="center"/>
        <w:rPr>
          <w:rFonts w:ascii="宋体" w:hAnsi="宋体"/>
          <w:sz w:val="28"/>
          <w:szCs w:val="28"/>
          <w:highlight w:val="none"/>
        </w:rPr>
      </w:pPr>
    </w:p>
    <w:p w14:paraId="57EB0000">
      <w:pPr>
        <w:jc w:val="center"/>
        <w:rPr>
          <w:rFonts w:ascii="宋体" w:hAnsi="宋体"/>
          <w:sz w:val="28"/>
          <w:szCs w:val="28"/>
          <w:highlight w:val="none"/>
        </w:rPr>
      </w:pPr>
    </w:p>
    <w:p w14:paraId="364AC643">
      <w:pPr>
        <w:jc w:val="center"/>
        <w:rPr>
          <w:rFonts w:ascii="宋体" w:hAnsi="宋体"/>
          <w:sz w:val="28"/>
          <w:szCs w:val="28"/>
          <w:highlight w:val="none"/>
          <w:u w:val="single"/>
        </w:rPr>
      </w:pPr>
      <w:r>
        <w:rPr>
          <w:rFonts w:ascii="宋体" w:hAnsi="宋体"/>
          <w:sz w:val="28"/>
          <w:szCs w:val="28"/>
          <w:highlight w:val="none"/>
        </w:rPr>
        <w:t>投标人：</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lang w:val="en-US" w:eastAsia="zh-CN"/>
        </w:rPr>
        <w:t>签字或盖章</w:t>
      </w:r>
      <w:r>
        <w:rPr>
          <w:rFonts w:ascii="宋体" w:hAnsi="宋体"/>
          <w:sz w:val="28"/>
          <w:szCs w:val="28"/>
          <w:highlight w:val="none"/>
        </w:rPr>
        <w:t>）</w:t>
      </w:r>
    </w:p>
    <w:p w14:paraId="57FE374A">
      <w:pPr>
        <w:jc w:val="center"/>
        <w:rPr>
          <w:rFonts w:ascii="宋体" w:hAnsi="宋体"/>
          <w:sz w:val="28"/>
          <w:szCs w:val="28"/>
          <w:highlight w:val="none"/>
        </w:rPr>
      </w:pPr>
      <w:r>
        <w:rPr>
          <w:rFonts w:ascii="宋体" w:hAnsi="宋体"/>
          <w:sz w:val="28"/>
          <w:szCs w:val="28"/>
          <w:highlight w:val="none"/>
        </w:rPr>
        <w:t>法定代表人：</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lang w:val="en-US" w:eastAsia="zh-CN"/>
        </w:rPr>
        <w:t>签字或盖章</w:t>
      </w:r>
      <w:r>
        <w:rPr>
          <w:rFonts w:ascii="宋体" w:hAnsi="宋体"/>
          <w:sz w:val="28"/>
          <w:szCs w:val="28"/>
          <w:highlight w:val="none"/>
        </w:rPr>
        <w:t>）</w:t>
      </w:r>
    </w:p>
    <w:p w14:paraId="613BB58F">
      <w:pPr>
        <w:jc w:val="center"/>
        <w:rPr>
          <w:rFonts w:ascii="宋体" w:hAnsi="宋体"/>
          <w:sz w:val="28"/>
          <w:szCs w:val="28"/>
          <w:highlight w:val="none"/>
        </w:rPr>
      </w:pPr>
      <w:r>
        <w:rPr>
          <w:rFonts w:ascii="宋体" w:hAnsi="宋体"/>
          <w:sz w:val="28"/>
          <w:szCs w:val="28"/>
          <w:highlight w:val="none"/>
          <w:u w:val="single"/>
        </w:rPr>
        <w:t xml:space="preserve">        </w:t>
      </w:r>
      <w:r>
        <w:rPr>
          <w:rFonts w:ascii="宋体" w:hAnsi="宋体"/>
          <w:sz w:val="28"/>
          <w:szCs w:val="28"/>
          <w:highlight w:val="none"/>
        </w:rPr>
        <w:t>年</w:t>
      </w:r>
      <w:r>
        <w:rPr>
          <w:rFonts w:ascii="宋体" w:hAnsi="宋体"/>
          <w:sz w:val="28"/>
          <w:szCs w:val="28"/>
          <w:highlight w:val="none"/>
          <w:u w:val="single"/>
        </w:rPr>
        <w:t xml:space="preserve">        </w:t>
      </w:r>
      <w:r>
        <w:rPr>
          <w:rFonts w:ascii="宋体" w:hAnsi="宋体"/>
          <w:sz w:val="28"/>
          <w:szCs w:val="28"/>
          <w:highlight w:val="none"/>
        </w:rPr>
        <w:t>月</w:t>
      </w:r>
      <w:r>
        <w:rPr>
          <w:rFonts w:ascii="宋体" w:hAnsi="宋体"/>
          <w:sz w:val="28"/>
          <w:szCs w:val="28"/>
          <w:highlight w:val="none"/>
          <w:u w:val="single"/>
        </w:rPr>
        <w:t xml:space="preserve">        </w:t>
      </w:r>
      <w:r>
        <w:rPr>
          <w:rFonts w:ascii="宋体" w:hAnsi="宋体"/>
          <w:sz w:val="28"/>
          <w:szCs w:val="28"/>
          <w:highlight w:val="none"/>
        </w:rPr>
        <w:t>日</w:t>
      </w:r>
    </w:p>
    <w:p w14:paraId="1F7B9E9A">
      <w:pPr>
        <w:jc w:val="center"/>
        <w:rPr>
          <w:rFonts w:hint="eastAsia" w:ascii="宋体" w:hAnsi="宋体"/>
          <w:b/>
          <w:bCs/>
          <w:sz w:val="32"/>
          <w:szCs w:val="32"/>
          <w:highlight w:val="none"/>
        </w:rPr>
      </w:pPr>
    </w:p>
    <w:p w14:paraId="3868B99E">
      <w:pPr>
        <w:jc w:val="center"/>
        <w:rPr>
          <w:rFonts w:hint="eastAsia" w:ascii="宋体" w:hAnsi="宋体"/>
          <w:b/>
          <w:bCs/>
          <w:sz w:val="32"/>
          <w:szCs w:val="32"/>
          <w:highlight w:val="none"/>
        </w:rPr>
      </w:pPr>
    </w:p>
    <w:p w14:paraId="14070917">
      <w:pPr>
        <w:pStyle w:val="51"/>
        <w:spacing w:before="312" w:beforeLines="100" w:after="312" w:afterLines="100" w:line="480" w:lineRule="exact"/>
        <w:rPr>
          <w:rFonts w:hint="eastAsia" w:ascii="宋体" w:hAnsi="宋体" w:cs="宋体"/>
          <w:color w:val="auto"/>
          <w:sz w:val="24"/>
          <w:szCs w:val="24"/>
          <w:highlight w:val="none"/>
          <w:lang w:val="en-US" w:eastAsia="zh-CN"/>
        </w:rPr>
      </w:pPr>
    </w:p>
    <w:p w14:paraId="632AE2E9">
      <w:pPr>
        <w:pStyle w:val="51"/>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目录</w:t>
      </w:r>
    </w:p>
    <w:p w14:paraId="3AC2C19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或法定代表人授权委托书和委托代理人有效身份证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7F9FB11">
      <w:pP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（2）诚信投标承诺书</w:t>
      </w:r>
      <w:r>
        <w:rPr>
          <w:rFonts w:hint="eastAsia" w:ascii="宋体" w:hAnsi="宋体" w:cs="宋体"/>
          <w:color w:val="auto"/>
          <w:szCs w:val="21"/>
          <w:highlight w:val="none"/>
          <w:lang w:eastAsia="zh-CN"/>
        </w:rPr>
        <w:t>；</w:t>
      </w:r>
    </w:p>
    <w:p w14:paraId="5A082D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企业法人营业执照；</w:t>
      </w:r>
    </w:p>
    <w:p w14:paraId="181AA6E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）企业资质证书；</w:t>
      </w:r>
    </w:p>
    <w:p w14:paraId="1145379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）企业安全生产许可证；</w:t>
      </w:r>
    </w:p>
    <w:p w14:paraId="0B17F69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p>
    <w:p w14:paraId="32D0DDA8">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和项目经理（建造师）须持有社保部门出具的本单位</w:t>
      </w:r>
      <w:r>
        <w:rPr>
          <w:rFonts w:hint="eastAsia" w:ascii="宋体" w:hAnsi="宋体" w:eastAsia="宋体" w:cs="宋体"/>
          <w:color w:val="auto"/>
          <w:szCs w:val="21"/>
          <w:highlight w:val="none"/>
        </w:rPr>
        <w:t>为其缴纳的</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前近三个月连续的养老保险证明（证明文件两个月内有效）（同一人担任不同公司法定代表人的，该法定代表人参加本项目</w:t>
      </w:r>
      <w:r>
        <w:rPr>
          <w:rFonts w:hint="eastAsia" w:ascii="宋体" w:hAnsi="宋体" w:eastAsia="宋体" w:cs="宋体"/>
          <w:color w:val="auto"/>
          <w:szCs w:val="21"/>
          <w:highlight w:val="none"/>
          <w:lang w:val="en-US" w:eastAsia="zh-CN"/>
        </w:rPr>
        <w:t>选取</w:t>
      </w:r>
      <w:r>
        <w:rPr>
          <w:rFonts w:hint="eastAsia" w:ascii="宋体" w:hAnsi="宋体" w:eastAsia="宋体" w:cs="宋体"/>
          <w:color w:val="auto"/>
          <w:szCs w:val="21"/>
          <w:highlight w:val="none"/>
        </w:rPr>
        <w:t>时须提供本人在其他公司任法定代表人的营业执照及为其缴纳养老保险证明材料），</w:t>
      </w:r>
      <w:r>
        <w:rPr>
          <w:rFonts w:hint="eastAsia" w:ascii="宋体" w:hAnsi="宋体" w:eastAsia="宋体" w:cs="宋体"/>
          <w:color w:val="auto"/>
          <w:szCs w:val="21"/>
          <w:highlight w:val="none"/>
          <w:lang w:eastAsia="zh-CN"/>
        </w:rPr>
        <w:t>被选取人</w:t>
      </w:r>
      <w:r>
        <w:rPr>
          <w:rFonts w:hint="eastAsia" w:ascii="宋体" w:hAnsi="宋体" w:eastAsia="宋体" w:cs="宋体"/>
          <w:color w:val="auto"/>
          <w:szCs w:val="21"/>
          <w:highlight w:val="none"/>
        </w:rPr>
        <w:t>是事业单位的，暂未缴纳养老保险的，须由其主管部门出具证明；</w:t>
      </w:r>
    </w:p>
    <w:p w14:paraId="32DD7285">
      <w:pPr>
        <w:adjustRightInd w:val="0"/>
        <w:snapToGrid w:val="0"/>
        <w:spacing w:line="5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（8）投标函（格式见附件）；</w:t>
      </w:r>
    </w:p>
    <w:p w14:paraId="491E66B0">
      <w:pPr>
        <w:adjustRightInd w:val="0"/>
        <w:snapToGrid w:val="0"/>
        <w:spacing w:line="5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（9）工程量清单报价书；</w:t>
      </w:r>
    </w:p>
    <w:p w14:paraId="32F17953">
      <w:pPr>
        <w:adjustRightInd w:val="0"/>
        <w:snapToGrid w:val="0"/>
        <w:spacing w:line="5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（10）投标人认为需要提供的其他证明材料。</w:t>
      </w:r>
    </w:p>
    <w:p w14:paraId="5019514D">
      <w:pPr>
        <w:pStyle w:val="51"/>
        <w:spacing w:before="312" w:beforeLines="100" w:after="312" w:afterLines="100" w:line="480" w:lineRule="exact"/>
        <w:rPr>
          <w:rFonts w:hint="eastAsia" w:ascii="宋体" w:hAnsi="宋体" w:eastAsia="宋体" w:cs="宋体"/>
          <w:color w:val="auto"/>
          <w:sz w:val="24"/>
          <w:szCs w:val="24"/>
          <w:highlight w:val="none"/>
        </w:rPr>
      </w:pPr>
    </w:p>
    <w:p w14:paraId="3F207771">
      <w:pPr>
        <w:pStyle w:val="51"/>
        <w:spacing w:before="312" w:beforeLines="100" w:after="312" w:afterLines="100" w:line="480" w:lineRule="exact"/>
        <w:rPr>
          <w:rFonts w:hint="eastAsia" w:ascii="宋体" w:hAnsi="宋体" w:eastAsia="宋体" w:cs="宋体"/>
          <w:color w:val="auto"/>
          <w:sz w:val="24"/>
          <w:szCs w:val="24"/>
          <w:highlight w:val="none"/>
        </w:rPr>
      </w:pPr>
    </w:p>
    <w:p w14:paraId="514F22A3">
      <w:pPr>
        <w:pStyle w:val="51"/>
        <w:spacing w:before="312" w:beforeLines="100" w:after="312" w:afterLines="100" w:line="480" w:lineRule="exact"/>
        <w:rPr>
          <w:rFonts w:hint="eastAsia" w:ascii="宋体" w:hAnsi="宋体" w:eastAsia="宋体" w:cs="宋体"/>
          <w:color w:val="auto"/>
          <w:sz w:val="24"/>
          <w:szCs w:val="24"/>
          <w:highlight w:val="none"/>
        </w:rPr>
      </w:pPr>
    </w:p>
    <w:p w14:paraId="75D9478E">
      <w:pPr>
        <w:pStyle w:val="51"/>
        <w:spacing w:before="312" w:beforeLines="100" w:after="312" w:afterLines="100" w:line="480" w:lineRule="exact"/>
        <w:rPr>
          <w:rFonts w:hint="eastAsia" w:ascii="宋体" w:hAnsi="宋体" w:eastAsia="宋体" w:cs="宋体"/>
          <w:color w:val="auto"/>
          <w:sz w:val="24"/>
          <w:szCs w:val="24"/>
          <w:highlight w:val="none"/>
        </w:rPr>
      </w:pPr>
    </w:p>
    <w:p w14:paraId="19BBA887">
      <w:pPr>
        <w:pStyle w:val="51"/>
        <w:spacing w:before="312" w:beforeLines="100" w:after="312" w:afterLines="100" w:line="480" w:lineRule="exact"/>
        <w:rPr>
          <w:rFonts w:hint="eastAsia" w:ascii="宋体" w:hAnsi="宋体" w:eastAsia="宋体" w:cs="宋体"/>
          <w:color w:val="auto"/>
          <w:sz w:val="24"/>
          <w:szCs w:val="24"/>
          <w:highlight w:val="none"/>
        </w:rPr>
      </w:pPr>
    </w:p>
    <w:p w14:paraId="3B97FED1">
      <w:pPr>
        <w:pStyle w:val="51"/>
        <w:spacing w:before="312" w:beforeLines="100" w:after="312" w:afterLines="100" w:line="480" w:lineRule="exact"/>
        <w:jc w:val="center"/>
        <w:rPr>
          <w:rFonts w:hint="eastAsia" w:ascii="宋体" w:hAnsi="宋体" w:eastAsia="宋体" w:cs="宋体"/>
          <w:b/>
          <w:sz w:val="28"/>
          <w:szCs w:val="28"/>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sz w:val="28"/>
          <w:szCs w:val="28"/>
          <w:highlight w:val="none"/>
          <w:lang w:val="en-US" w:eastAsia="zh-CN"/>
        </w:rPr>
        <w:t>1.法定代表人身份证明</w:t>
      </w:r>
    </w:p>
    <w:p w14:paraId="271B3350">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6C3C28B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单位性质：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40F19739">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1BEF7516">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1A13156">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0482D247">
      <w:pPr>
        <w:spacing w:line="480" w:lineRule="exact"/>
        <w:ind w:firstLine="720" w:firstLineChars="100"/>
        <w:rPr>
          <w:rFonts w:hint="eastAsia" w:ascii="宋体" w:hAnsi="宋体" w:eastAsia="宋体" w:cs="宋体"/>
          <w:sz w:val="24"/>
          <w:highlight w:val="none"/>
        </w:rPr>
      </w:pPr>
      <w:r>
        <w:rPr>
          <w:rFonts w:hint="eastAsia" w:ascii="宋体" w:hAnsi="宋体" w:eastAsia="宋体" w:cs="宋体"/>
          <w:spacing w:val="240"/>
          <w:sz w:val="24"/>
          <w:highlight w:val="none"/>
        </w:rPr>
        <w:t>姓</w:t>
      </w:r>
      <w:r>
        <w:rPr>
          <w:rFonts w:hint="eastAsia" w:ascii="宋体" w:hAnsi="宋体" w:eastAsia="宋体" w:cs="宋体"/>
          <w:sz w:val="24"/>
          <w:highlight w:val="none"/>
        </w:rPr>
        <w:t>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_</w:t>
      </w:r>
    </w:p>
    <w:p w14:paraId="75BD8DB9">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（投标人名称）的法定代表人。</w:t>
      </w:r>
    </w:p>
    <w:p w14:paraId="00702029">
      <w:pPr>
        <w:spacing w:line="48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特此证明。</w:t>
      </w:r>
    </w:p>
    <w:p w14:paraId="67A0FA9A">
      <w:pPr>
        <w:spacing w:line="360" w:lineRule="auto"/>
        <w:jc w:val="left"/>
        <w:rPr>
          <w:rFonts w:hint="eastAsia" w:ascii="宋体" w:hAnsi="宋体" w:eastAsia="宋体" w:cs="宋体"/>
          <w:b/>
          <w:sz w:val="24"/>
          <w:highlight w:val="none"/>
          <w:lang w:eastAsia="zh-CN"/>
        </w:rPr>
      </w:pPr>
      <w:r>
        <w:rPr>
          <w:rFonts w:hint="eastAsia" w:ascii="宋体" w:hAnsi="宋体" w:eastAsia="宋体" w:cs="宋体"/>
          <w:sz w:val="24"/>
          <w:highlight w:val="none"/>
        </w:rPr>
        <w:t>附：法定代表人</w:t>
      </w:r>
      <w:r>
        <w:rPr>
          <w:rFonts w:hint="eastAsia" w:ascii="宋体" w:hAnsi="宋体" w:eastAsia="宋体" w:cs="宋体"/>
          <w:b/>
          <w:sz w:val="24"/>
          <w:highlight w:val="none"/>
        </w:rPr>
        <w:t>身份证</w:t>
      </w:r>
      <w:r>
        <w:rPr>
          <w:rFonts w:hint="eastAsia" w:ascii="宋体" w:hAnsi="宋体" w:cs="宋体"/>
          <w:b/>
          <w:sz w:val="24"/>
          <w:highlight w:val="none"/>
          <w:lang w:val="en-US" w:eastAsia="zh-CN"/>
        </w:rPr>
        <w:t>扫描件</w:t>
      </w:r>
    </w:p>
    <w:p w14:paraId="3D831A1B">
      <w:pPr>
        <w:spacing w:line="360" w:lineRule="auto"/>
        <w:ind w:firstLine="3480" w:firstLineChars="145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10C2FD20">
      <w:pPr>
        <w:spacing w:line="360" w:lineRule="auto"/>
        <w:rPr>
          <w:rFonts w:hint="eastAsia" w:ascii="宋体" w:hAnsi="宋体" w:eastAsia="宋体" w:cs="宋体"/>
          <w:b/>
          <w:sz w:val="28"/>
          <w:szCs w:val="28"/>
          <w:highlight w:val="none"/>
        </w:rPr>
      </w:pPr>
      <w:r>
        <w:rPr>
          <w:rFonts w:hint="eastAsia" w:ascii="宋体" w:hAnsi="宋体" w:eastAsia="宋体" w:cs="宋体"/>
          <w:sz w:val="24"/>
          <w:highlight w:val="none"/>
        </w:rPr>
        <w:t xml:space="preserve">                                        年    月     日</w:t>
      </w:r>
    </w:p>
    <w:p w14:paraId="0EBACEDD">
      <w:pPr>
        <w:ind w:firstLine="3623" w:firstLineChars="1289"/>
        <w:outlineLvl w:val="1"/>
        <w:rPr>
          <w:rFonts w:hint="eastAsia" w:ascii="宋体" w:hAnsi="宋体" w:cs="宋体"/>
          <w:b/>
          <w:sz w:val="28"/>
          <w:szCs w:val="28"/>
          <w:highlight w:val="none"/>
          <w:lang w:val="en-US" w:eastAsia="zh-CN"/>
        </w:rPr>
      </w:pPr>
      <w:bookmarkStart w:id="680" w:name="_Toc20672"/>
    </w:p>
    <w:p w14:paraId="1DFFE5EC">
      <w:pPr>
        <w:ind w:firstLine="3623" w:firstLineChars="1289"/>
        <w:outlineLvl w:val="1"/>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或1.</w:t>
      </w:r>
      <w:r>
        <w:rPr>
          <w:rFonts w:hint="eastAsia" w:ascii="宋体" w:hAnsi="宋体" w:eastAsia="宋体" w:cs="宋体"/>
          <w:b/>
          <w:sz w:val="28"/>
          <w:szCs w:val="28"/>
          <w:highlight w:val="none"/>
        </w:rPr>
        <w:t>授权委托书</w:t>
      </w:r>
      <w:bookmarkEnd w:id="680"/>
    </w:p>
    <w:p w14:paraId="10302DE9">
      <w:pPr>
        <w:pStyle w:val="26"/>
        <w:rPr>
          <w:rFonts w:hint="eastAsia"/>
          <w:highlight w:val="none"/>
        </w:rPr>
      </w:pPr>
    </w:p>
    <w:p w14:paraId="0C94D10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的法定代表人，现授权委托</w:t>
      </w:r>
      <w:r>
        <w:rPr>
          <w:rFonts w:hint="eastAsia" w:ascii="宋体" w:hAnsi="宋体" w:eastAsia="宋体" w:cs="宋体"/>
          <w:sz w:val="24"/>
          <w:highlight w:val="none"/>
          <w:u w:val="single"/>
        </w:rPr>
        <w:t xml:space="preserve">        （单位名称）  </w:t>
      </w:r>
      <w:r>
        <w:rPr>
          <w:rFonts w:hint="eastAsia" w:ascii="宋体" w:hAnsi="宋体" w:eastAsia="宋体" w:cs="宋体"/>
          <w:sz w:val="24"/>
          <w:highlight w:val="none"/>
        </w:rPr>
        <w:t xml:space="preserve"> 的</w:t>
      </w:r>
      <w:r>
        <w:rPr>
          <w:rFonts w:hint="eastAsia" w:ascii="宋体" w:hAnsi="宋体" w:eastAsia="宋体" w:cs="宋体"/>
          <w:sz w:val="24"/>
          <w:highlight w:val="none"/>
          <w:u w:val="single"/>
        </w:rPr>
        <w:t xml:space="preserve">     （姓名） </w:t>
      </w:r>
      <w:r>
        <w:rPr>
          <w:rFonts w:hint="eastAsia" w:ascii="宋体" w:hAnsi="宋体" w:eastAsia="宋体" w:cs="宋体"/>
          <w:sz w:val="24"/>
          <w:highlight w:val="none"/>
        </w:rPr>
        <w:t>为我公司法定代表人授权委托代理人，参加</w:t>
      </w:r>
      <w:r>
        <w:rPr>
          <w:rFonts w:hint="eastAsia" w:ascii="宋体" w:hAnsi="宋体" w:eastAsia="宋体" w:cs="宋体"/>
          <w:sz w:val="24"/>
          <w:highlight w:val="none"/>
          <w:u w:val="single"/>
        </w:rPr>
        <w:t xml:space="preserve">      招标人    </w:t>
      </w:r>
      <w:r>
        <w:rPr>
          <w:rFonts w:hint="eastAsia" w:ascii="宋体" w:hAnsi="宋体" w:eastAsia="宋体" w:cs="宋体"/>
          <w:sz w:val="24"/>
          <w:highlight w:val="none"/>
        </w:rPr>
        <w:t xml:space="preserve"> 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工程的投标活动。代理人在投标、开标、评标、合同谈判过程中所签署的一切文件和处理与之有关的一切事务，我均予以承认。</w:t>
      </w:r>
    </w:p>
    <w:p w14:paraId="4D05D6A6">
      <w:pPr>
        <w:spacing w:line="7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代理人无转委托权，特此委托。</w:t>
      </w:r>
    </w:p>
    <w:p w14:paraId="3D3E5F28">
      <w:pPr>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附：法定代表人</w:t>
      </w:r>
      <w:r>
        <w:rPr>
          <w:rFonts w:hint="eastAsia" w:ascii="宋体" w:hAnsi="宋体" w:eastAsia="宋体" w:cs="宋体"/>
          <w:b/>
          <w:sz w:val="24"/>
          <w:highlight w:val="none"/>
        </w:rPr>
        <w:t>身份证</w:t>
      </w:r>
      <w:r>
        <w:rPr>
          <w:rFonts w:hint="eastAsia" w:ascii="宋体" w:hAnsi="宋体" w:cs="宋体"/>
          <w:b/>
          <w:sz w:val="24"/>
          <w:highlight w:val="none"/>
          <w:lang w:val="en-US" w:eastAsia="zh-CN"/>
        </w:rPr>
        <w:t>扫描件</w:t>
      </w:r>
    </w:p>
    <w:p w14:paraId="2A1053DA">
      <w:pPr>
        <w:spacing w:line="360" w:lineRule="auto"/>
        <w:ind w:firstLine="1024" w:firstLineChars="427"/>
        <w:jc w:val="left"/>
        <w:rPr>
          <w:rFonts w:hint="eastAsia" w:ascii="宋体" w:hAnsi="宋体" w:eastAsia="宋体" w:cs="宋体"/>
          <w:b/>
          <w:sz w:val="24"/>
          <w:highlight w:val="none"/>
          <w:lang w:eastAsia="zh-CN"/>
        </w:rPr>
      </w:pPr>
      <w:r>
        <w:rPr>
          <w:rFonts w:hint="eastAsia" w:ascii="宋体" w:hAnsi="宋体" w:eastAsia="宋体" w:cs="宋体"/>
          <w:sz w:val="24"/>
          <w:highlight w:val="none"/>
        </w:rPr>
        <w:t>授权委托人</w:t>
      </w:r>
      <w:r>
        <w:rPr>
          <w:rFonts w:hint="eastAsia" w:ascii="宋体" w:hAnsi="宋体" w:eastAsia="宋体" w:cs="宋体"/>
          <w:b/>
          <w:sz w:val="24"/>
          <w:highlight w:val="none"/>
        </w:rPr>
        <w:t>身份证</w:t>
      </w:r>
      <w:r>
        <w:rPr>
          <w:rFonts w:hint="eastAsia" w:ascii="宋体" w:hAnsi="宋体" w:cs="宋体"/>
          <w:b/>
          <w:sz w:val="24"/>
          <w:highlight w:val="none"/>
          <w:lang w:val="en-US" w:eastAsia="zh-CN"/>
        </w:rPr>
        <w:t>扫描件</w:t>
      </w:r>
    </w:p>
    <w:p w14:paraId="79319593">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EBF452E">
      <w:pPr>
        <w:spacing w:line="480" w:lineRule="exact"/>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投  标  人：</w:t>
      </w:r>
      <w:r>
        <w:rPr>
          <w:rFonts w:hint="eastAsia" w:ascii="宋体" w:hAnsi="宋体" w:eastAsia="宋体" w:cs="宋体"/>
          <w:sz w:val="24"/>
          <w:highlight w:val="none"/>
          <w:u w:val="single"/>
        </w:rPr>
        <w:t xml:space="preserve">           （盖章）        </w:t>
      </w:r>
      <w:r>
        <w:rPr>
          <w:rFonts w:hint="eastAsia" w:ascii="宋体" w:hAnsi="宋体" w:eastAsia="宋体" w:cs="宋体"/>
          <w:sz w:val="24"/>
          <w:highlight w:val="none"/>
        </w:rPr>
        <w:t xml:space="preserve"> </w:t>
      </w:r>
    </w:p>
    <w:p w14:paraId="32E99BA1">
      <w:pPr>
        <w:spacing w:line="480" w:lineRule="exact"/>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（签字或盖章）      </w:t>
      </w:r>
    </w:p>
    <w:p w14:paraId="0B0096DB">
      <w:pPr>
        <w:spacing w:line="480" w:lineRule="exact"/>
        <w:ind w:firstLine="4320" w:firstLineChars="1800"/>
        <w:rPr>
          <w:rFonts w:hint="eastAsia" w:ascii="宋体" w:hAnsi="宋体" w:eastAsia="宋体" w:cs="宋体"/>
          <w:b/>
          <w:sz w:val="28"/>
          <w:szCs w:val="28"/>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年    月    日 </w:t>
      </w:r>
      <w:bookmarkStart w:id="681" w:name="_Toc4161"/>
    </w:p>
    <w:p w14:paraId="2F2DC8D5">
      <w:pPr>
        <w:spacing w:before="156" w:beforeLines="50" w:after="156" w:afterLines="50"/>
        <w:ind w:firstLine="3202" w:firstLineChars="1139"/>
        <w:outlineLvl w:val="1"/>
        <w:rPr>
          <w:rFonts w:hint="eastAsia" w:ascii="宋体" w:hAnsi="宋体" w:eastAsia="宋体" w:cs="宋体"/>
          <w:b/>
          <w:sz w:val="28"/>
          <w:szCs w:val="28"/>
          <w:highlight w:val="none"/>
        </w:rPr>
      </w:pPr>
    </w:p>
    <w:p w14:paraId="507E914C">
      <w:pPr>
        <w:spacing w:before="156" w:beforeLines="50" w:after="156" w:afterLines="50"/>
        <w:ind w:firstLine="3483" w:firstLineChars="1239"/>
        <w:outlineLvl w:val="1"/>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2.</w:t>
      </w:r>
      <w:r>
        <w:rPr>
          <w:rFonts w:hint="eastAsia" w:ascii="宋体" w:hAnsi="宋体" w:eastAsia="宋体" w:cs="宋体"/>
          <w:b/>
          <w:sz w:val="28"/>
          <w:szCs w:val="28"/>
          <w:highlight w:val="none"/>
        </w:rPr>
        <w:t>诚信投标承诺书</w:t>
      </w:r>
      <w:bookmarkEnd w:id="681"/>
    </w:p>
    <w:p w14:paraId="03C562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20D0E2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一、将遵循公</w:t>
      </w:r>
      <w:bookmarkStart w:id="682" w:name="_Toc503196197"/>
      <w:bookmarkStart w:id="683" w:name="_Toc506107356"/>
      <w:bookmarkStart w:id="684" w:name="_Toc26598"/>
      <w:r>
        <w:rPr>
          <w:rFonts w:hint="eastAsia" w:ascii="宋体" w:hAnsi="宋体"/>
          <w:color w:val="auto"/>
          <w:szCs w:val="21"/>
          <w:highlight w:val="none"/>
        </w:rPr>
        <w:t>开、公正和诚实信用</w:t>
      </w:r>
      <w:bookmarkEnd w:id="682"/>
      <w:bookmarkEnd w:id="683"/>
      <w:r>
        <w:rPr>
          <w:rFonts w:hint="eastAsia" w:ascii="宋体" w:hAnsi="宋体"/>
          <w:color w:val="auto"/>
          <w:szCs w:val="21"/>
          <w:highlight w:val="none"/>
        </w:rPr>
        <w:t>的</w:t>
      </w:r>
      <w:bookmarkEnd w:id="684"/>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02BFEA7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4DDF7C1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6929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504570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76E7585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685" w:name="OLE_LINK133"/>
      <w:bookmarkStart w:id="686"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685"/>
      <w:bookmarkEnd w:id="686"/>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1C90019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5DC84C3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6C0750E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E00295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B0B73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取消中标资格、记入不良行为记录等处理；项目在滁州市区域外的，保证在中标候选人公示期第一日起开始计算7日内，提供经行政主管部门备案的变更证明材料，否则接受取消中标资格、记入不良行为记录等处理；</w:t>
      </w:r>
    </w:p>
    <w:p w14:paraId="6D114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41FD4F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5208DF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5AF2E3D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color w:val="auto"/>
          <w:szCs w:val="21"/>
          <w:highlight w:val="none"/>
        </w:rPr>
      </w:pPr>
    </w:p>
    <w:p w14:paraId="3160B39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基本账户：                             </w:t>
      </w:r>
    </w:p>
    <w:p w14:paraId="74C801A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lang w:val="en-US" w:eastAsia="zh-CN"/>
        </w:rPr>
        <w:t>盖章</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法定代表人（</w:t>
      </w:r>
      <w:r>
        <w:rPr>
          <w:rFonts w:hint="eastAsia" w:ascii="宋体" w:hAnsi="宋体"/>
          <w:color w:val="auto"/>
          <w:sz w:val="21"/>
          <w:szCs w:val="21"/>
          <w:highlight w:val="none"/>
          <w:lang w:val="en-US" w:eastAsia="zh-CN"/>
        </w:rPr>
        <w:t>签字或盖章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59513BFD">
      <w:pPr>
        <w:pStyle w:val="26"/>
        <w:keepNext w:val="0"/>
        <w:keepLines w:val="0"/>
        <w:pageBreakBefore w:val="0"/>
        <w:widowControl w:val="0"/>
        <w:kinsoku/>
        <w:wordWrap/>
        <w:overflowPunct/>
        <w:topLinePunct w:val="0"/>
        <w:autoSpaceDE/>
        <w:autoSpaceDN/>
        <w:bidi w:val="0"/>
        <w:spacing w:line="400" w:lineRule="exact"/>
        <w:jc w:val="left"/>
        <w:textAlignment w:val="auto"/>
        <w:rPr>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B5B5F82">
      <w:pPr>
        <w:numPr>
          <w:ilvl w:val="0"/>
          <w:numId w:val="0"/>
        </w:numPr>
        <w:snapToGrid/>
        <w:spacing w:before="0" w:beforeAutospacing="0" w:after="0" w:afterAutospacing="0" w:line="240" w:lineRule="auto"/>
        <w:jc w:val="center"/>
        <w:textAlignment w:val="baseline"/>
        <w:rPr>
          <w:rStyle w:val="47"/>
          <w:rFonts w:ascii="Times New Roman" w:hAnsi="Times New Roman" w:eastAsia="宋体"/>
          <w:b/>
          <w:i w:val="0"/>
          <w:caps w:val="0"/>
          <w:spacing w:val="0"/>
          <w:w w:val="100"/>
          <w:kern w:val="2"/>
          <w:sz w:val="28"/>
          <w:szCs w:val="28"/>
          <w:highlight w:val="none"/>
          <w:lang w:val="en-US" w:eastAsia="zh-CN" w:bidi="ar-SA"/>
        </w:rPr>
      </w:pPr>
      <w:r>
        <w:rPr>
          <w:rStyle w:val="47"/>
          <w:rFonts w:ascii="Times New Roman" w:hAnsi="Times New Roman" w:eastAsia="宋体"/>
          <w:b/>
          <w:i w:val="0"/>
          <w:caps w:val="0"/>
          <w:spacing w:val="0"/>
          <w:w w:val="100"/>
          <w:kern w:val="2"/>
          <w:sz w:val="28"/>
          <w:szCs w:val="28"/>
          <w:highlight w:val="none"/>
          <w:lang w:val="en-US" w:eastAsia="zh-CN" w:bidi="ar-SA"/>
        </w:rPr>
        <w:br w:type="page"/>
      </w:r>
      <w:r>
        <w:rPr>
          <w:rFonts w:hint="eastAsia" w:ascii="宋体" w:hAnsi="宋体" w:eastAsia="宋体" w:cs="宋体"/>
          <w:b/>
          <w:sz w:val="28"/>
          <w:szCs w:val="28"/>
          <w:highlight w:val="none"/>
          <w:lang w:val="en-US" w:eastAsia="zh-CN"/>
        </w:rPr>
        <w:t>3.投 标 函</w:t>
      </w:r>
    </w:p>
    <w:p w14:paraId="264D832D">
      <w:pPr>
        <w:spacing w:line="520" w:lineRule="exact"/>
        <w:rPr>
          <w:sz w:val="24"/>
          <w:szCs w:val="24"/>
          <w:highlight w:val="none"/>
          <w:u w:val="single"/>
        </w:rPr>
      </w:pPr>
      <w:r>
        <w:rPr>
          <w:rFonts w:hint="eastAsia" w:cs="宋体"/>
          <w:sz w:val="24"/>
          <w:szCs w:val="24"/>
          <w:highlight w:val="none"/>
        </w:rPr>
        <w:t>致：</w:t>
      </w:r>
      <w:r>
        <w:rPr>
          <w:sz w:val="24"/>
          <w:szCs w:val="24"/>
          <w:highlight w:val="none"/>
          <w:u w:val="single"/>
        </w:rPr>
        <w:t xml:space="preserve">        </w:t>
      </w:r>
      <w:r>
        <w:rPr>
          <w:rFonts w:hint="eastAsia" w:cs="宋体"/>
          <w:sz w:val="24"/>
          <w:szCs w:val="24"/>
          <w:highlight w:val="none"/>
          <w:u w:val="single"/>
        </w:rPr>
        <w:t>（招标人）</w:t>
      </w:r>
      <w:r>
        <w:rPr>
          <w:sz w:val="24"/>
          <w:szCs w:val="24"/>
          <w:highlight w:val="none"/>
          <w:u w:val="single"/>
        </w:rPr>
        <w:t xml:space="preserve">      </w:t>
      </w:r>
    </w:p>
    <w:p w14:paraId="6FA27F09">
      <w:pPr>
        <w:spacing w:line="520" w:lineRule="exact"/>
        <w:ind w:firstLine="480" w:firstLineChars="200"/>
        <w:rPr>
          <w:sz w:val="24"/>
          <w:szCs w:val="24"/>
          <w:highlight w:val="none"/>
        </w:rPr>
      </w:pPr>
      <w:r>
        <w:rPr>
          <w:sz w:val="24"/>
          <w:szCs w:val="24"/>
          <w:highlight w:val="none"/>
        </w:rPr>
        <w:t>1</w:t>
      </w:r>
      <w:r>
        <w:rPr>
          <w:rFonts w:hint="eastAsia" w:cs="宋体"/>
          <w:sz w:val="24"/>
          <w:szCs w:val="24"/>
          <w:highlight w:val="none"/>
        </w:rPr>
        <w:t>、根据你方招标工程</w:t>
      </w:r>
      <w:r>
        <w:rPr>
          <w:sz w:val="24"/>
          <w:szCs w:val="24"/>
          <w:highlight w:val="none"/>
          <w:u w:val="single"/>
        </w:rPr>
        <w:t xml:space="preserve">                 </w:t>
      </w:r>
      <w:r>
        <w:rPr>
          <w:rFonts w:hint="eastAsia" w:cs="宋体"/>
          <w:sz w:val="24"/>
          <w:szCs w:val="24"/>
          <w:highlight w:val="none"/>
        </w:rPr>
        <w:t>工程招标文件，遵照《中华人民共和国招标投标法》等有关规定，经踏勘项目现场和研究上述招标文件的投标须知、合同条件、技术规范和其他有关文件后，我方愿以</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大写）          （小写）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元</w:t>
      </w:r>
      <w:r>
        <w:rPr>
          <w:rFonts w:hint="eastAsia" w:ascii="宋体" w:hAnsi="宋体" w:eastAsia="宋体" w:cs="宋体"/>
          <w:sz w:val="24"/>
          <w:szCs w:val="24"/>
          <w:highlight w:val="none"/>
          <w:u w:val="none"/>
        </w:rPr>
        <w:t>承</w:t>
      </w:r>
      <w:r>
        <w:rPr>
          <w:rFonts w:hint="eastAsia" w:cs="宋体"/>
          <w:sz w:val="24"/>
          <w:szCs w:val="24"/>
          <w:highlight w:val="none"/>
        </w:rPr>
        <w:t>包上述工程的施工、竣工，并承担任何质量缺陷保修责任。我方拟派本项目负责人为：</w:t>
      </w:r>
      <w:r>
        <w:rPr>
          <w:rFonts w:cs="宋体"/>
          <w:sz w:val="24"/>
          <w:szCs w:val="24"/>
          <w:highlight w:val="none"/>
          <w:u w:val="single"/>
        </w:rPr>
        <w:t xml:space="preserve">  </w:t>
      </w:r>
      <w:r>
        <w:rPr>
          <w:rFonts w:hint="eastAsia" w:cs="宋体"/>
          <w:sz w:val="24"/>
          <w:szCs w:val="24"/>
          <w:highlight w:val="none"/>
          <w:u w:val="single"/>
          <w:lang w:val="en-US" w:eastAsia="zh-CN"/>
        </w:rPr>
        <w:t xml:space="preserve">           </w:t>
      </w:r>
      <w:r>
        <w:rPr>
          <w:rFonts w:cs="宋体"/>
          <w:sz w:val="24"/>
          <w:szCs w:val="24"/>
          <w:highlight w:val="none"/>
          <w:u w:val="single"/>
        </w:rPr>
        <w:t xml:space="preserve">  </w:t>
      </w:r>
      <w:r>
        <w:rPr>
          <w:rFonts w:hint="eastAsia" w:cs="宋体"/>
          <w:sz w:val="24"/>
          <w:szCs w:val="24"/>
          <w:highlight w:val="none"/>
        </w:rPr>
        <w:t>。</w:t>
      </w:r>
    </w:p>
    <w:p w14:paraId="60132CCD">
      <w:pPr>
        <w:numPr>
          <w:ilvl w:val="0"/>
          <w:numId w:val="2"/>
        </w:numPr>
        <w:spacing w:line="520" w:lineRule="exact"/>
        <w:rPr>
          <w:spacing w:val="-4"/>
          <w:sz w:val="24"/>
          <w:szCs w:val="24"/>
          <w:highlight w:val="none"/>
        </w:rPr>
      </w:pPr>
      <w:r>
        <w:rPr>
          <w:rFonts w:hint="eastAsia" w:cs="宋体"/>
          <w:spacing w:val="-4"/>
          <w:sz w:val="24"/>
          <w:szCs w:val="24"/>
          <w:highlight w:val="none"/>
        </w:rPr>
        <w:t>我方已详细审核全部招标文件及有关附件，承诺招标文件及有关附件中所有条款。</w:t>
      </w:r>
    </w:p>
    <w:p w14:paraId="53FFC6C0">
      <w:pPr>
        <w:spacing w:line="520" w:lineRule="exact"/>
        <w:ind w:firstLine="480" w:firstLineChars="200"/>
        <w:rPr>
          <w:sz w:val="24"/>
          <w:szCs w:val="24"/>
          <w:highlight w:val="none"/>
        </w:rPr>
      </w:pPr>
      <w:r>
        <w:rPr>
          <w:sz w:val="24"/>
          <w:szCs w:val="24"/>
          <w:highlight w:val="none"/>
        </w:rPr>
        <w:t>3</w:t>
      </w:r>
      <w:r>
        <w:rPr>
          <w:rFonts w:hint="eastAsia" w:cs="宋体"/>
          <w:sz w:val="24"/>
          <w:szCs w:val="24"/>
          <w:highlight w:val="none"/>
        </w:rPr>
        <w:t>、一旦我方中标，保证在接到开工通知书后</w:t>
      </w:r>
      <w:r>
        <w:rPr>
          <w:sz w:val="24"/>
          <w:szCs w:val="24"/>
          <w:highlight w:val="none"/>
          <w:u w:val="single"/>
        </w:rPr>
        <w:t xml:space="preserve">  3 </w:t>
      </w:r>
      <w:r>
        <w:rPr>
          <w:rFonts w:hint="eastAsia" w:cs="宋体"/>
          <w:sz w:val="24"/>
          <w:szCs w:val="24"/>
          <w:highlight w:val="none"/>
        </w:rPr>
        <w:t>日内开始本工程的施工，并在</w:t>
      </w:r>
      <w:r>
        <w:rPr>
          <w:rFonts w:hint="eastAsia"/>
          <w:sz w:val="24"/>
          <w:szCs w:val="24"/>
          <w:highlight w:val="none"/>
          <w:u w:val="none"/>
          <w:lang w:val="en-US" w:eastAsia="zh-CN"/>
        </w:rPr>
        <w:t>招标文件规定的</w:t>
      </w:r>
      <w:r>
        <w:rPr>
          <w:rFonts w:hint="eastAsia" w:cs="宋体"/>
          <w:sz w:val="24"/>
          <w:szCs w:val="24"/>
          <w:highlight w:val="none"/>
          <w:u w:val="none"/>
        </w:rPr>
        <w:t>工期</w:t>
      </w:r>
      <w:r>
        <w:rPr>
          <w:rFonts w:hint="eastAsia" w:cs="宋体"/>
          <w:sz w:val="24"/>
          <w:szCs w:val="24"/>
          <w:highlight w:val="none"/>
        </w:rPr>
        <w:t>内完成本合同的施工，工程质量达到</w:t>
      </w:r>
      <w:r>
        <w:rPr>
          <w:sz w:val="24"/>
          <w:szCs w:val="24"/>
          <w:highlight w:val="none"/>
          <w:u w:val="single"/>
        </w:rPr>
        <w:t xml:space="preserve">           </w:t>
      </w:r>
      <w:r>
        <w:rPr>
          <w:rFonts w:hint="eastAsia" w:cs="宋体"/>
          <w:sz w:val="24"/>
          <w:szCs w:val="24"/>
          <w:highlight w:val="none"/>
        </w:rPr>
        <w:t>标准，并移交整个工程。</w:t>
      </w:r>
    </w:p>
    <w:p w14:paraId="297B53F3">
      <w:pPr>
        <w:spacing w:line="520" w:lineRule="exact"/>
        <w:ind w:firstLine="600" w:firstLineChars="250"/>
        <w:rPr>
          <w:sz w:val="24"/>
          <w:szCs w:val="24"/>
          <w:highlight w:val="none"/>
        </w:rPr>
      </w:pPr>
      <w:r>
        <w:rPr>
          <w:sz w:val="24"/>
          <w:szCs w:val="24"/>
          <w:highlight w:val="none"/>
        </w:rPr>
        <w:t>4</w:t>
      </w:r>
      <w:r>
        <w:rPr>
          <w:rFonts w:hint="eastAsia" w:cs="宋体"/>
          <w:sz w:val="24"/>
          <w:szCs w:val="24"/>
          <w:highlight w:val="none"/>
        </w:rPr>
        <w:t>、随本投标书，我方同时按照招标文件的要求提交</w:t>
      </w:r>
      <w:r>
        <w:rPr>
          <w:sz w:val="24"/>
          <w:szCs w:val="24"/>
          <w:highlight w:val="none"/>
          <w:u w:val="single"/>
        </w:rPr>
        <w:t xml:space="preserve">  </w:t>
      </w:r>
      <w:r>
        <w:rPr>
          <w:rFonts w:hint="eastAsia"/>
          <w:sz w:val="24"/>
          <w:szCs w:val="24"/>
          <w:highlight w:val="none"/>
          <w:u w:val="single"/>
          <w:lang w:val="en-US" w:eastAsia="zh-CN"/>
        </w:rPr>
        <w:t>/</w:t>
      </w:r>
      <w:r>
        <w:rPr>
          <w:sz w:val="24"/>
          <w:szCs w:val="24"/>
          <w:highlight w:val="none"/>
          <w:u w:val="single"/>
        </w:rPr>
        <w:t xml:space="preserve">  </w:t>
      </w:r>
      <w:r>
        <w:rPr>
          <w:rFonts w:hint="eastAsia" w:cs="宋体"/>
          <w:sz w:val="24"/>
          <w:szCs w:val="24"/>
          <w:highlight w:val="none"/>
        </w:rPr>
        <w:t>万元的投标保证金。如果我方在本投标书有效期内撤回投标书，或项目公示结束后</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cs="宋体"/>
          <w:sz w:val="24"/>
          <w:szCs w:val="24"/>
          <w:highlight w:val="none"/>
        </w:rPr>
        <w:t>日内未能或拒绝签订合同书，或自行转标，贵单位有权没收投标保证金，并另选中标单位。</w:t>
      </w:r>
    </w:p>
    <w:p w14:paraId="0C0D80CF">
      <w:pPr>
        <w:spacing w:line="520" w:lineRule="exact"/>
        <w:ind w:firstLine="480" w:firstLineChars="200"/>
        <w:rPr>
          <w:sz w:val="24"/>
          <w:szCs w:val="24"/>
          <w:highlight w:val="none"/>
        </w:rPr>
      </w:pPr>
      <w:r>
        <w:rPr>
          <w:sz w:val="24"/>
          <w:szCs w:val="24"/>
          <w:highlight w:val="none"/>
        </w:rPr>
        <w:t>5</w:t>
      </w:r>
      <w:r>
        <w:rPr>
          <w:rFonts w:hint="eastAsia" w:cs="宋体"/>
          <w:sz w:val="24"/>
          <w:szCs w:val="24"/>
          <w:highlight w:val="none"/>
        </w:rPr>
        <w:t>、如果我方中标我方将按照招标文件的规定提交</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cs="宋体"/>
          <w:sz w:val="24"/>
          <w:szCs w:val="24"/>
          <w:highlight w:val="none"/>
        </w:rPr>
        <w:t>元作为履约担保。</w:t>
      </w:r>
    </w:p>
    <w:p w14:paraId="305C62D1">
      <w:pPr>
        <w:spacing w:line="520" w:lineRule="exact"/>
        <w:rPr>
          <w:sz w:val="24"/>
          <w:szCs w:val="24"/>
          <w:highlight w:val="none"/>
        </w:rPr>
      </w:pPr>
    </w:p>
    <w:p w14:paraId="21298E6E">
      <w:pPr>
        <w:spacing w:line="520" w:lineRule="exact"/>
        <w:ind w:firstLine="2880" w:firstLineChars="1200"/>
        <w:rPr>
          <w:sz w:val="24"/>
          <w:szCs w:val="24"/>
          <w:highlight w:val="none"/>
          <w:u w:val="single"/>
        </w:rPr>
      </w:pPr>
      <w:r>
        <w:rPr>
          <w:rFonts w:hint="eastAsia" w:cs="宋体"/>
          <w:sz w:val="24"/>
          <w:szCs w:val="24"/>
          <w:highlight w:val="none"/>
        </w:rPr>
        <w:t>投标人：</w:t>
      </w:r>
      <w:r>
        <w:rPr>
          <w:sz w:val="24"/>
          <w:szCs w:val="24"/>
          <w:highlight w:val="none"/>
          <w:u w:val="single"/>
        </w:rPr>
        <w:t xml:space="preserve">                              </w:t>
      </w:r>
      <w:r>
        <w:rPr>
          <w:rFonts w:hint="eastAsia" w:cs="宋体"/>
          <w:sz w:val="24"/>
          <w:szCs w:val="24"/>
          <w:highlight w:val="none"/>
          <w:u w:val="single"/>
        </w:rPr>
        <w:t>（盖章）</w:t>
      </w:r>
      <w:r>
        <w:rPr>
          <w:sz w:val="24"/>
          <w:szCs w:val="24"/>
          <w:highlight w:val="none"/>
          <w:u w:val="single"/>
        </w:rPr>
        <w:t xml:space="preserve">   </w:t>
      </w:r>
    </w:p>
    <w:p w14:paraId="1BBA8E64">
      <w:pPr>
        <w:spacing w:line="520" w:lineRule="exact"/>
        <w:ind w:firstLine="2880" w:firstLineChars="1200"/>
        <w:rPr>
          <w:sz w:val="24"/>
          <w:szCs w:val="24"/>
          <w:highlight w:val="none"/>
        </w:rPr>
      </w:pPr>
      <w:r>
        <w:rPr>
          <w:rFonts w:hint="eastAsia" w:cs="宋体"/>
          <w:sz w:val="24"/>
          <w:szCs w:val="24"/>
          <w:highlight w:val="none"/>
        </w:rPr>
        <w:t>法定代表人或其委托代理人：</w:t>
      </w:r>
      <w:r>
        <w:rPr>
          <w:sz w:val="24"/>
          <w:szCs w:val="24"/>
          <w:highlight w:val="none"/>
          <w:u w:val="single"/>
        </w:rPr>
        <w:t xml:space="preserve">         </w:t>
      </w:r>
      <w:r>
        <w:rPr>
          <w:rFonts w:hint="eastAsia" w:cs="宋体"/>
          <w:sz w:val="24"/>
          <w:szCs w:val="24"/>
          <w:highlight w:val="none"/>
          <w:u w:val="single"/>
        </w:rPr>
        <w:t>（签字或盖章）</w:t>
      </w:r>
    </w:p>
    <w:p w14:paraId="7A04FCD3">
      <w:pPr>
        <w:spacing w:line="520" w:lineRule="exact"/>
        <w:ind w:firstLine="2880" w:firstLineChars="1200"/>
        <w:rPr>
          <w:sz w:val="24"/>
          <w:szCs w:val="24"/>
          <w:highlight w:val="none"/>
        </w:rPr>
      </w:pPr>
      <w:r>
        <w:rPr>
          <w:rFonts w:hint="eastAsia" w:cs="宋体"/>
          <w:sz w:val="24"/>
          <w:szCs w:val="24"/>
          <w:highlight w:val="none"/>
        </w:rPr>
        <w:t>单位地址：</w:t>
      </w:r>
      <w:r>
        <w:rPr>
          <w:sz w:val="24"/>
          <w:szCs w:val="24"/>
          <w:highlight w:val="none"/>
          <w:u w:val="single"/>
        </w:rPr>
        <w:t xml:space="preserve">                                       </w:t>
      </w:r>
    </w:p>
    <w:p w14:paraId="0A88586E">
      <w:pPr>
        <w:spacing w:line="520" w:lineRule="exact"/>
        <w:ind w:firstLine="2880" w:firstLineChars="1200"/>
        <w:rPr>
          <w:sz w:val="24"/>
          <w:szCs w:val="24"/>
          <w:highlight w:val="none"/>
          <w:u w:val="single"/>
        </w:rPr>
      </w:pPr>
      <w:r>
        <w:rPr>
          <w:rFonts w:hint="eastAsia" w:cs="宋体"/>
          <w:sz w:val="24"/>
          <w:szCs w:val="24"/>
          <w:highlight w:val="none"/>
        </w:rPr>
        <w:t>邮政编码：</w:t>
      </w:r>
      <w:r>
        <w:rPr>
          <w:sz w:val="24"/>
          <w:szCs w:val="24"/>
          <w:highlight w:val="none"/>
          <w:u w:val="single"/>
        </w:rPr>
        <w:t xml:space="preserve">            </w:t>
      </w:r>
      <w:r>
        <w:rPr>
          <w:rFonts w:hint="eastAsia" w:cs="宋体"/>
          <w:sz w:val="24"/>
          <w:szCs w:val="24"/>
          <w:highlight w:val="none"/>
        </w:rPr>
        <w:t>电话：</w:t>
      </w:r>
      <w:r>
        <w:rPr>
          <w:sz w:val="24"/>
          <w:szCs w:val="24"/>
          <w:highlight w:val="none"/>
          <w:u w:val="single"/>
        </w:rPr>
        <w:t xml:space="preserve">        </w:t>
      </w:r>
      <w:r>
        <w:rPr>
          <w:rFonts w:hint="eastAsia" w:cs="宋体"/>
          <w:sz w:val="24"/>
          <w:szCs w:val="24"/>
          <w:highlight w:val="none"/>
        </w:rPr>
        <w:t>传真：</w:t>
      </w:r>
      <w:r>
        <w:rPr>
          <w:sz w:val="24"/>
          <w:szCs w:val="24"/>
          <w:highlight w:val="none"/>
          <w:u w:val="single"/>
        </w:rPr>
        <w:t xml:space="preserve">       </w:t>
      </w:r>
    </w:p>
    <w:p w14:paraId="0364C445">
      <w:pPr>
        <w:spacing w:line="520" w:lineRule="exact"/>
        <w:ind w:firstLine="2880" w:firstLineChars="1200"/>
        <w:rPr>
          <w:sz w:val="24"/>
          <w:szCs w:val="24"/>
          <w:highlight w:val="none"/>
        </w:rPr>
      </w:pPr>
      <w:r>
        <w:rPr>
          <w:rFonts w:hint="eastAsia" w:cs="宋体"/>
          <w:sz w:val="24"/>
          <w:szCs w:val="24"/>
          <w:highlight w:val="none"/>
        </w:rPr>
        <w:t>日期：</w:t>
      </w:r>
      <w:r>
        <w:rPr>
          <w:sz w:val="24"/>
          <w:szCs w:val="24"/>
          <w:highlight w:val="none"/>
          <w:u w:val="single"/>
        </w:rPr>
        <w:t xml:space="preserve">           </w:t>
      </w:r>
      <w:r>
        <w:rPr>
          <w:rFonts w:hint="eastAsia" w:cs="宋体"/>
          <w:sz w:val="24"/>
          <w:szCs w:val="24"/>
          <w:highlight w:val="none"/>
        </w:rPr>
        <w:t>年</w:t>
      </w:r>
      <w:r>
        <w:rPr>
          <w:sz w:val="24"/>
          <w:szCs w:val="24"/>
          <w:highlight w:val="none"/>
        </w:rPr>
        <w:t xml:space="preserve"> </w:t>
      </w:r>
      <w:r>
        <w:rPr>
          <w:sz w:val="24"/>
          <w:szCs w:val="24"/>
          <w:highlight w:val="none"/>
          <w:u w:val="single"/>
        </w:rPr>
        <w:t xml:space="preserve">           </w:t>
      </w:r>
      <w:r>
        <w:rPr>
          <w:rFonts w:hint="eastAsia" w:cs="宋体"/>
          <w:sz w:val="24"/>
          <w:szCs w:val="24"/>
          <w:highlight w:val="none"/>
        </w:rPr>
        <w:t>月</w:t>
      </w:r>
      <w:r>
        <w:rPr>
          <w:sz w:val="24"/>
          <w:szCs w:val="24"/>
          <w:highlight w:val="none"/>
        </w:rPr>
        <w:t xml:space="preserve"> </w:t>
      </w:r>
      <w:r>
        <w:rPr>
          <w:sz w:val="24"/>
          <w:szCs w:val="24"/>
          <w:highlight w:val="none"/>
          <w:u w:val="single"/>
        </w:rPr>
        <w:t xml:space="preserve">            </w:t>
      </w:r>
      <w:r>
        <w:rPr>
          <w:rFonts w:hint="eastAsia" w:cs="宋体"/>
          <w:sz w:val="24"/>
          <w:szCs w:val="24"/>
          <w:highlight w:val="none"/>
        </w:rPr>
        <w:t>日</w:t>
      </w:r>
    </w:p>
    <w:p w14:paraId="774DA0A8">
      <w:pPr>
        <w:pStyle w:val="9"/>
        <w:ind w:firstLine="2209" w:firstLineChars="500"/>
        <w:jc w:val="both"/>
        <w:rPr>
          <w:highlight w:val="none"/>
        </w:rPr>
      </w:pPr>
    </w:p>
    <w:p w14:paraId="3233382C">
      <w:pPr>
        <w:pStyle w:val="9"/>
        <w:ind w:firstLine="2209" w:firstLineChars="500"/>
        <w:jc w:val="both"/>
        <w:rPr>
          <w:rFonts w:hint="eastAsia" w:ascii="宋体" w:hAnsi="宋体" w:eastAsia="宋体" w:cs="宋体"/>
          <w:b/>
          <w:bCs w:val="0"/>
          <w:kern w:val="2"/>
          <w:sz w:val="28"/>
          <w:szCs w:val="28"/>
          <w:highlight w:val="none"/>
          <w:lang w:val="en-US" w:eastAsia="zh-CN" w:bidi="ar-SA"/>
        </w:rPr>
      </w:pPr>
      <w:r>
        <w:rPr>
          <w:rFonts w:hint="eastAsia"/>
          <w:highlight w:val="none"/>
          <w:lang w:val="en-US" w:eastAsia="zh-CN"/>
        </w:rPr>
        <w:t xml:space="preserve">   </w:t>
      </w:r>
    </w:p>
    <w:p w14:paraId="020AA447">
      <w:pPr>
        <w:widowControl/>
        <w:spacing w:before="312" w:beforeLines="100" w:after="312" w:afterLines="100" w:line="480" w:lineRule="exact"/>
        <w:jc w:val="center"/>
        <w:textAlignment w:val="baseline"/>
        <w:rPr>
          <w:rFonts w:hint="eastAsia" w:ascii="仿宋_GB2312" w:hAnsi="Calibri" w:eastAsia="仿宋_GB2312"/>
          <w:b/>
          <w:color w:val="auto"/>
          <w:sz w:val="36"/>
          <w:szCs w:val="36"/>
          <w:highlight w:val="none"/>
        </w:rPr>
      </w:pPr>
      <w:bookmarkStart w:id="687" w:name="_Toc328"/>
      <w:r>
        <w:rPr>
          <w:rFonts w:hint="eastAsia" w:ascii="宋体" w:hAnsi="宋体" w:eastAsia="宋体" w:cs="宋体"/>
          <w:b/>
          <w:sz w:val="32"/>
          <w:szCs w:val="32"/>
          <w:highlight w:val="none"/>
        </w:rPr>
        <w:br w:type="page"/>
      </w:r>
      <w:r>
        <w:rPr>
          <w:rFonts w:hint="eastAsia" w:ascii="宋体" w:hAnsi="宋体" w:eastAsia="宋体" w:cs="宋体"/>
          <w:color w:val="auto"/>
          <w:kern w:val="0"/>
          <w:sz w:val="30"/>
          <w:szCs w:val="30"/>
          <w:highlight w:val="none"/>
          <w:u w:val="none" w:color="000000"/>
          <w:lang w:val="en-US" w:eastAsia="zh-CN" w:bidi="ar-SA"/>
        </w:rPr>
        <w:t>4、工程量清单报价书</w:t>
      </w:r>
    </w:p>
    <w:p w14:paraId="4562207F">
      <w:pPr>
        <w:jc w:val="center"/>
        <w:rPr>
          <w:rFonts w:ascii="Calibri" w:hAnsi="Calibri"/>
          <w:b/>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33998798">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19E11716">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3830743D">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75D576CB">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504E6632">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1163B8FF">
      <w:pPr>
        <w:spacing w:line="800" w:lineRule="exact"/>
        <w:ind w:firstLine="640" w:firstLineChars="200"/>
        <w:rPr>
          <w:rFonts w:ascii="Calibri" w:hAnsi="Calibri"/>
          <w:color w:val="auto"/>
          <w:sz w:val="32"/>
          <w:szCs w:val="32"/>
          <w:highlight w:val="none"/>
        </w:rPr>
      </w:pPr>
    </w:p>
    <w:p w14:paraId="06153355">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0FB5FF2A">
      <w:pPr>
        <w:spacing w:line="800" w:lineRule="exact"/>
        <w:ind w:firstLine="640" w:firstLineChars="200"/>
        <w:rPr>
          <w:rFonts w:ascii="Calibri" w:hAnsi="Calibri"/>
          <w:color w:val="auto"/>
          <w:sz w:val="32"/>
          <w:szCs w:val="32"/>
          <w:highlight w:val="none"/>
        </w:rPr>
      </w:pPr>
    </w:p>
    <w:p w14:paraId="2895EC9D">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5BBC5EBE">
      <w:pPr>
        <w:spacing w:line="800" w:lineRule="exact"/>
        <w:ind w:firstLine="640" w:firstLineChars="200"/>
        <w:rPr>
          <w:rFonts w:ascii="Calibri" w:hAnsi="Calibri"/>
          <w:color w:val="auto"/>
          <w:sz w:val="32"/>
          <w:szCs w:val="32"/>
          <w:highlight w:val="none"/>
        </w:rPr>
      </w:pPr>
    </w:p>
    <w:p w14:paraId="3CEC18DC">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7B27DD72">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71F51A57">
      <w:pPr>
        <w:spacing w:line="800" w:lineRule="exact"/>
        <w:ind w:firstLine="640" w:firstLineChars="200"/>
        <w:rPr>
          <w:rFonts w:ascii="Calibri" w:hAnsi="Calibri"/>
          <w:color w:val="auto"/>
          <w:sz w:val="32"/>
          <w:szCs w:val="32"/>
          <w:highlight w:val="none"/>
        </w:rPr>
      </w:pPr>
    </w:p>
    <w:p w14:paraId="1CF9272B">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6041F29D">
      <w:pPr>
        <w:rPr>
          <w:rFonts w:ascii="Calibri" w:hAnsi="Calibri"/>
          <w:color w:val="auto"/>
          <w:sz w:val="32"/>
          <w:szCs w:val="32"/>
          <w:highlight w:val="none"/>
        </w:rPr>
      </w:pPr>
    </w:p>
    <w:p w14:paraId="1EB25227">
      <w:pPr>
        <w:rPr>
          <w:rFonts w:hint="eastAsia" w:ascii="宋体" w:hAnsi="宋体"/>
          <w:color w:val="auto"/>
          <w:sz w:val="32"/>
          <w:szCs w:val="32"/>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752EB3D7">
      <w:pPr>
        <w:jc w:val="center"/>
        <w:rPr>
          <w:rFonts w:hint="eastAsia" w:ascii="宋体" w:hAnsi="宋体"/>
          <w:color w:val="auto"/>
          <w:sz w:val="32"/>
          <w:szCs w:val="32"/>
          <w:highlight w:val="none"/>
        </w:rPr>
      </w:pPr>
    </w:p>
    <w:p w14:paraId="66FFDCAF">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77F33869">
      <w:pPr>
        <w:jc w:val="center"/>
        <w:rPr>
          <w:rFonts w:ascii="Calibri" w:hAnsi="Calibri"/>
          <w:color w:val="auto"/>
          <w:sz w:val="32"/>
          <w:szCs w:val="32"/>
          <w:highlight w:val="none"/>
        </w:rPr>
      </w:pPr>
    </w:p>
    <w:tbl>
      <w:tblPr>
        <w:tblStyle w:val="2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4FB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1140F437">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3A85B460">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1D7BE69C">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795D2633">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03B921D1">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4CB4EBC3">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24B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492FA761">
            <w:pPr>
              <w:jc w:val="center"/>
              <w:rPr>
                <w:rFonts w:ascii="Calibri" w:hAnsi="Calibri"/>
                <w:color w:val="auto"/>
                <w:szCs w:val="22"/>
                <w:highlight w:val="none"/>
              </w:rPr>
            </w:pPr>
          </w:p>
        </w:tc>
        <w:tc>
          <w:tcPr>
            <w:tcW w:w="1216" w:type="dxa"/>
            <w:noWrap w:val="0"/>
            <w:vAlign w:val="center"/>
          </w:tcPr>
          <w:p w14:paraId="345918F1">
            <w:pPr>
              <w:jc w:val="center"/>
              <w:rPr>
                <w:rFonts w:ascii="Calibri" w:hAnsi="Calibri"/>
                <w:color w:val="auto"/>
                <w:szCs w:val="22"/>
                <w:highlight w:val="none"/>
              </w:rPr>
            </w:pPr>
          </w:p>
        </w:tc>
        <w:tc>
          <w:tcPr>
            <w:tcW w:w="2951" w:type="dxa"/>
            <w:noWrap w:val="0"/>
            <w:vAlign w:val="center"/>
          </w:tcPr>
          <w:p w14:paraId="69206B3A">
            <w:pPr>
              <w:jc w:val="center"/>
              <w:rPr>
                <w:rFonts w:ascii="Calibri" w:hAnsi="Calibri"/>
                <w:color w:val="auto"/>
                <w:szCs w:val="22"/>
                <w:highlight w:val="none"/>
              </w:rPr>
            </w:pPr>
          </w:p>
        </w:tc>
        <w:tc>
          <w:tcPr>
            <w:tcW w:w="1737" w:type="dxa"/>
            <w:noWrap w:val="0"/>
            <w:vAlign w:val="center"/>
          </w:tcPr>
          <w:p w14:paraId="65F9213E">
            <w:pPr>
              <w:jc w:val="center"/>
              <w:rPr>
                <w:rFonts w:ascii="Calibri" w:hAnsi="Calibri"/>
                <w:color w:val="auto"/>
                <w:szCs w:val="22"/>
                <w:highlight w:val="none"/>
              </w:rPr>
            </w:pPr>
          </w:p>
        </w:tc>
        <w:tc>
          <w:tcPr>
            <w:tcW w:w="1563" w:type="dxa"/>
            <w:noWrap w:val="0"/>
            <w:vAlign w:val="center"/>
          </w:tcPr>
          <w:p w14:paraId="276D582E">
            <w:pPr>
              <w:jc w:val="center"/>
              <w:rPr>
                <w:rFonts w:ascii="Calibri" w:hAnsi="Calibri"/>
                <w:color w:val="auto"/>
                <w:szCs w:val="22"/>
                <w:highlight w:val="none"/>
              </w:rPr>
            </w:pPr>
          </w:p>
        </w:tc>
        <w:tc>
          <w:tcPr>
            <w:tcW w:w="1967" w:type="dxa"/>
            <w:noWrap w:val="0"/>
            <w:vAlign w:val="center"/>
          </w:tcPr>
          <w:p w14:paraId="30C68366">
            <w:pPr>
              <w:jc w:val="center"/>
              <w:rPr>
                <w:rFonts w:ascii="Calibri" w:hAnsi="Calibri"/>
                <w:color w:val="auto"/>
                <w:szCs w:val="22"/>
                <w:highlight w:val="none"/>
              </w:rPr>
            </w:pPr>
          </w:p>
        </w:tc>
      </w:tr>
      <w:tr w14:paraId="1865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6198387E">
            <w:pPr>
              <w:jc w:val="center"/>
              <w:rPr>
                <w:rFonts w:ascii="Calibri" w:hAnsi="Calibri"/>
                <w:color w:val="auto"/>
                <w:szCs w:val="22"/>
                <w:highlight w:val="none"/>
              </w:rPr>
            </w:pPr>
          </w:p>
        </w:tc>
        <w:tc>
          <w:tcPr>
            <w:tcW w:w="1216" w:type="dxa"/>
            <w:noWrap w:val="0"/>
            <w:vAlign w:val="center"/>
          </w:tcPr>
          <w:p w14:paraId="47ECC935">
            <w:pPr>
              <w:jc w:val="center"/>
              <w:rPr>
                <w:rFonts w:ascii="Calibri" w:hAnsi="Calibri"/>
                <w:color w:val="auto"/>
                <w:szCs w:val="22"/>
                <w:highlight w:val="none"/>
              </w:rPr>
            </w:pPr>
          </w:p>
        </w:tc>
        <w:tc>
          <w:tcPr>
            <w:tcW w:w="2951" w:type="dxa"/>
            <w:noWrap w:val="0"/>
            <w:vAlign w:val="center"/>
          </w:tcPr>
          <w:p w14:paraId="5275BF5D">
            <w:pPr>
              <w:jc w:val="center"/>
              <w:rPr>
                <w:rFonts w:ascii="Calibri" w:hAnsi="Calibri"/>
                <w:color w:val="auto"/>
                <w:szCs w:val="22"/>
                <w:highlight w:val="none"/>
              </w:rPr>
            </w:pPr>
          </w:p>
        </w:tc>
        <w:tc>
          <w:tcPr>
            <w:tcW w:w="1737" w:type="dxa"/>
            <w:noWrap w:val="0"/>
            <w:vAlign w:val="center"/>
          </w:tcPr>
          <w:p w14:paraId="263C9A72">
            <w:pPr>
              <w:jc w:val="center"/>
              <w:rPr>
                <w:rFonts w:ascii="Calibri" w:hAnsi="Calibri"/>
                <w:color w:val="auto"/>
                <w:szCs w:val="22"/>
                <w:highlight w:val="none"/>
              </w:rPr>
            </w:pPr>
          </w:p>
        </w:tc>
        <w:tc>
          <w:tcPr>
            <w:tcW w:w="1563" w:type="dxa"/>
            <w:noWrap w:val="0"/>
            <w:vAlign w:val="center"/>
          </w:tcPr>
          <w:p w14:paraId="515DDCA2">
            <w:pPr>
              <w:jc w:val="center"/>
              <w:rPr>
                <w:rFonts w:ascii="Calibri" w:hAnsi="Calibri"/>
                <w:color w:val="auto"/>
                <w:szCs w:val="22"/>
                <w:highlight w:val="none"/>
              </w:rPr>
            </w:pPr>
          </w:p>
        </w:tc>
        <w:tc>
          <w:tcPr>
            <w:tcW w:w="1967" w:type="dxa"/>
            <w:noWrap w:val="0"/>
            <w:vAlign w:val="center"/>
          </w:tcPr>
          <w:p w14:paraId="4EED1147">
            <w:pPr>
              <w:jc w:val="center"/>
              <w:rPr>
                <w:rFonts w:ascii="Calibri" w:hAnsi="Calibri"/>
                <w:color w:val="auto"/>
                <w:szCs w:val="22"/>
                <w:highlight w:val="none"/>
              </w:rPr>
            </w:pPr>
          </w:p>
        </w:tc>
      </w:tr>
    </w:tbl>
    <w:p w14:paraId="31AC0203">
      <w:pPr>
        <w:rPr>
          <w:rFonts w:ascii="宋体" w:hAnsi="宋体"/>
          <w:b/>
          <w:color w:val="auto"/>
          <w:sz w:val="24"/>
          <w:highlight w:val="none"/>
        </w:rPr>
      </w:pPr>
    </w:p>
    <w:p w14:paraId="19F3DE16">
      <w:pPr>
        <w:spacing w:line="560" w:lineRule="exact"/>
        <w:rPr>
          <w:rFonts w:ascii="宋体" w:hAnsi="宋体"/>
          <w:b/>
          <w:color w:val="auto"/>
          <w:sz w:val="24"/>
          <w:highlight w:val="none"/>
        </w:rPr>
      </w:pPr>
      <w:r>
        <w:rPr>
          <w:rFonts w:hint="eastAsia" w:ascii="宋体" w:hAnsi="宋体"/>
          <w:b/>
          <w:color w:val="auto"/>
          <w:sz w:val="24"/>
          <w:highlight w:val="none"/>
        </w:rPr>
        <w:t>注：</w:t>
      </w:r>
    </w:p>
    <w:p w14:paraId="42865AE4">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651CD179">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420ACF7A">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20BB85B2">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2401FBCF">
      <w:pPr>
        <w:spacing w:line="560" w:lineRule="exact"/>
        <w:rPr>
          <w:rFonts w:ascii="宋体" w:hAnsi="宋体"/>
          <w:color w:val="auto"/>
          <w:sz w:val="24"/>
          <w:highlight w:val="none"/>
        </w:rPr>
      </w:pPr>
    </w:p>
    <w:p w14:paraId="705A0AF3">
      <w:pPr>
        <w:spacing w:line="560" w:lineRule="exact"/>
        <w:rPr>
          <w:rFonts w:ascii="宋体" w:hAnsi="宋体"/>
          <w:color w:val="auto"/>
          <w:sz w:val="24"/>
          <w:highlight w:val="none"/>
        </w:rPr>
      </w:pPr>
    </w:p>
    <w:p w14:paraId="677AB62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5B42218B">
      <w:pPr>
        <w:rPr>
          <w:rFonts w:ascii="宋体" w:hAnsi="宋体"/>
          <w:color w:val="auto"/>
          <w:sz w:val="24"/>
          <w:highlight w:val="none"/>
        </w:rPr>
      </w:pPr>
    </w:p>
    <w:p w14:paraId="7E24541F">
      <w:pPr>
        <w:rPr>
          <w:rFonts w:ascii="宋体" w:hAnsi="宋体"/>
          <w:color w:val="auto"/>
          <w:sz w:val="24"/>
          <w:highlight w:val="none"/>
        </w:rPr>
      </w:pPr>
    </w:p>
    <w:p w14:paraId="2AC584EE">
      <w:pPr>
        <w:rPr>
          <w:rFonts w:ascii="宋体" w:hAnsi="宋体"/>
          <w:color w:val="auto"/>
          <w:sz w:val="24"/>
          <w:highlight w:val="none"/>
        </w:rPr>
      </w:pPr>
    </w:p>
    <w:p w14:paraId="496C6687">
      <w:pPr>
        <w:rPr>
          <w:rFonts w:ascii="宋体" w:hAnsi="宋体"/>
          <w:color w:val="auto"/>
          <w:sz w:val="24"/>
          <w:highlight w:val="none"/>
        </w:rPr>
      </w:pPr>
    </w:p>
    <w:p w14:paraId="5AB36C6E">
      <w:pPr>
        <w:rPr>
          <w:rFonts w:ascii="宋体" w:hAnsi="宋体"/>
          <w:color w:val="auto"/>
          <w:sz w:val="24"/>
          <w:highlight w:val="none"/>
        </w:rPr>
      </w:pPr>
    </w:p>
    <w:p w14:paraId="25EE946D">
      <w:pPr>
        <w:rPr>
          <w:rFonts w:ascii="宋体" w:hAnsi="宋体"/>
          <w:color w:val="auto"/>
          <w:sz w:val="22"/>
          <w:highlight w:val="none"/>
        </w:rPr>
      </w:pPr>
    </w:p>
    <w:p w14:paraId="39284972">
      <w:pPr>
        <w:rPr>
          <w:rFonts w:hint="eastAsia"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310ED3CF">
      <w:pPr>
        <w:spacing w:before="156" w:beforeLines="50" w:after="156" w:afterLines="50" w:line="440" w:lineRule="exact"/>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招标单位、招标代理机构对本招标文件的确认</w:t>
      </w:r>
      <w:bookmarkEnd w:id="687"/>
    </w:p>
    <w:p w14:paraId="434D6EB1">
      <w:pPr>
        <w:pStyle w:val="9"/>
        <w:rPr>
          <w:rFonts w:hint="eastAsia" w:ascii="宋体" w:hAnsi="宋体" w:eastAsia="宋体" w:cs="宋体"/>
          <w:b w:val="0"/>
          <w:bCs w:val="0"/>
          <w:sz w:val="24"/>
          <w:szCs w:val="24"/>
          <w:highlight w:val="none"/>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351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noWrap w:val="0"/>
            <w:vAlign w:val="top"/>
          </w:tcPr>
          <w:p w14:paraId="05A2E8C5">
            <w:pPr>
              <w:adjustRightInd w:val="0"/>
              <w:snapToGrid w:val="0"/>
              <w:spacing w:line="320" w:lineRule="exact"/>
              <w:rPr>
                <w:rFonts w:hint="eastAsia" w:ascii="宋体" w:hAnsi="宋体" w:eastAsia="宋体" w:cs="宋体"/>
                <w:sz w:val="30"/>
                <w:szCs w:val="30"/>
                <w:highlight w:val="none"/>
              </w:rPr>
            </w:pPr>
          </w:p>
          <w:p w14:paraId="2FB91E3E">
            <w:pPr>
              <w:spacing w:line="700" w:lineRule="exact"/>
              <w:ind w:firstLine="600" w:firstLineChars="200"/>
              <w:rPr>
                <w:rFonts w:hint="eastAsia" w:ascii="宋体" w:hAnsi="宋体" w:eastAsia="宋体" w:cs="宋体"/>
                <w:sz w:val="30"/>
                <w:highlight w:val="none"/>
              </w:rPr>
            </w:pPr>
            <w:r>
              <w:rPr>
                <w:rFonts w:hint="eastAsia" w:ascii="宋体" w:hAnsi="宋体" w:eastAsia="宋体" w:cs="宋体"/>
                <w:sz w:val="30"/>
                <w:highlight w:val="none"/>
              </w:rPr>
              <w:t>我单位对</w:t>
            </w:r>
            <w:r>
              <w:rPr>
                <w:rFonts w:hint="eastAsia" w:ascii="宋体" w:hAnsi="宋体" w:cs="宋体"/>
                <w:sz w:val="30"/>
                <w:highlight w:val="none"/>
                <w:u w:val="single"/>
                <w:lang w:eastAsia="zh-CN"/>
              </w:rPr>
              <w:t>滁州军粮部分区域装修改造工程</w:t>
            </w:r>
            <w:r>
              <w:rPr>
                <w:rFonts w:hint="eastAsia" w:ascii="宋体" w:hAnsi="宋体" w:eastAsia="宋体" w:cs="宋体"/>
                <w:sz w:val="30"/>
                <w:highlight w:val="none"/>
              </w:rPr>
              <w:t>的招标文件进行确认。</w:t>
            </w:r>
          </w:p>
          <w:p w14:paraId="7A1395B4">
            <w:pPr>
              <w:spacing w:line="320" w:lineRule="atLeast"/>
              <w:ind w:firstLine="600" w:firstLineChars="200"/>
              <w:rPr>
                <w:rFonts w:hint="eastAsia" w:ascii="宋体" w:hAnsi="宋体" w:eastAsia="宋体" w:cs="宋体"/>
                <w:sz w:val="30"/>
                <w:highlight w:val="none"/>
                <w:lang w:val="en-US" w:eastAsia="zh-CN"/>
              </w:rPr>
            </w:pPr>
            <w:r>
              <w:rPr>
                <w:rFonts w:hint="eastAsia" w:ascii="宋体" w:hAnsi="宋体" w:eastAsia="宋体" w:cs="宋体"/>
                <w:sz w:val="30"/>
                <w:highlight w:val="none"/>
              </w:rPr>
              <w:t>招标单位：</w:t>
            </w:r>
            <w:r>
              <w:rPr>
                <w:rFonts w:hint="eastAsia" w:ascii="宋体" w:hAnsi="宋体" w:eastAsia="宋体" w:cs="宋体"/>
                <w:sz w:val="30"/>
                <w:highlight w:val="none"/>
                <w:lang w:val="en-US" w:eastAsia="zh-CN"/>
              </w:rPr>
              <w:t>滁州市军粮供应站有限公司</w:t>
            </w:r>
          </w:p>
          <w:p w14:paraId="0C32A509">
            <w:pPr>
              <w:spacing w:line="320" w:lineRule="atLeast"/>
              <w:ind w:firstLine="600" w:firstLineChars="200"/>
              <w:rPr>
                <w:rFonts w:hint="default" w:ascii="宋体" w:hAnsi="宋体" w:eastAsia="宋体" w:cs="宋体"/>
                <w:sz w:val="30"/>
                <w:highlight w:val="none"/>
                <w:lang w:val="en-US" w:eastAsia="zh-CN"/>
              </w:rPr>
            </w:pPr>
            <w:r>
              <w:rPr>
                <w:rFonts w:hint="eastAsia" w:ascii="宋体" w:hAnsi="宋体" w:eastAsia="宋体" w:cs="宋体"/>
                <w:sz w:val="30"/>
                <w:highlight w:val="none"/>
                <w:lang w:eastAsia="zh-CN"/>
              </w:rPr>
              <w:t>经 办 人：</w:t>
            </w:r>
            <w:r>
              <w:rPr>
                <w:rFonts w:hint="eastAsia" w:ascii="宋体" w:hAnsi="宋体" w:eastAsia="宋体" w:cs="宋体"/>
                <w:sz w:val="30"/>
                <w:highlight w:val="none"/>
                <w:lang w:val="en-US" w:eastAsia="zh-CN"/>
              </w:rPr>
              <w:t>钟庆阳</w:t>
            </w:r>
          </w:p>
          <w:p w14:paraId="28F29DCF">
            <w:pPr>
              <w:spacing w:line="320" w:lineRule="atLeast"/>
              <w:ind w:firstLine="600" w:firstLineChars="200"/>
              <w:rPr>
                <w:rFonts w:hint="eastAsia" w:ascii="宋体" w:hAnsi="宋体" w:eastAsia="宋体" w:cs="宋体"/>
                <w:sz w:val="30"/>
                <w:highlight w:val="none"/>
                <w:lang w:eastAsia="zh-CN"/>
              </w:rPr>
            </w:pPr>
            <w:r>
              <w:rPr>
                <w:rFonts w:hint="eastAsia" w:ascii="宋体" w:hAnsi="宋体" w:eastAsia="宋体" w:cs="宋体"/>
                <w:sz w:val="30"/>
                <w:highlight w:val="none"/>
                <w:lang w:eastAsia="zh-CN"/>
              </w:rPr>
              <w:t>联系电话：13665505859</w:t>
            </w:r>
          </w:p>
          <w:p w14:paraId="2D413B11">
            <w:pPr>
              <w:spacing w:line="320" w:lineRule="atLeast"/>
              <w:ind w:firstLine="600" w:firstLineChars="200"/>
              <w:rPr>
                <w:rFonts w:hint="eastAsia" w:ascii="宋体" w:hAnsi="宋体" w:eastAsia="宋体" w:cs="宋体"/>
                <w:sz w:val="30"/>
                <w:highlight w:val="none"/>
                <w:lang w:val="en-US" w:eastAsia="zh-CN"/>
              </w:rPr>
            </w:pPr>
            <w:r>
              <w:rPr>
                <w:rFonts w:hint="eastAsia" w:ascii="宋体" w:hAnsi="宋体" w:eastAsia="宋体" w:cs="宋体"/>
                <w:sz w:val="30"/>
                <w:highlight w:val="none"/>
                <w:lang w:val="en-US" w:eastAsia="zh-CN"/>
              </w:rPr>
              <w:t>监督电话：俞东0550-3162619；0550-3018133</w:t>
            </w:r>
          </w:p>
          <w:p w14:paraId="3C1C51AB">
            <w:pPr>
              <w:spacing w:line="320" w:lineRule="atLeast"/>
              <w:ind w:firstLine="600" w:firstLineChars="200"/>
              <w:rPr>
                <w:rFonts w:hint="eastAsia" w:ascii="宋体" w:hAnsi="宋体" w:eastAsia="宋体" w:cs="宋体"/>
                <w:sz w:val="30"/>
                <w:highlight w:val="none"/>
                <w:lang w:eastAsia="zh-CN"/>
              </w:rPr>
            </w:pPr>
          </w:p>
          <w:p w14:paraId="6F1227A5">
            <w:pPr>
              <w:spacing w:line="700" w:lineRule="exact"/>
              <w:ind w:firstLine="600" w:firstLineChars="200"/>
              <w:jc w:val="left"/>
              <w:rPr>
                <w:rFonts w:hint="eastAsia" w:ascii="宋体" w:hAnsi="宋体" w:eastAsia="宋体" w:cs="宋体"/>
                <w:sz w:val="30"/>
                <w:highlight w:val="none"/>
                <w:lang w:eastAsia="zh-CN"/>
              </w:rPr>
            </w:pPr>
          </w:p>
          <w:p w14:paraId="1F0F9B16">
            <w:pPr>
              <w:spacing w:line="500" w:lineRule="exact"/>
              <w:ind w:firstLine="300" w:firstLineChars="100"/>
              <w:rPr>
                <w:rFonts w:hint="eastAsia" w:ascii="宋体" w:hAnsi="宋体" w:eastAsia="宋体" w:cs="宋体"/>
                <w:sz w:val="30"/>
                <w:highlight w:val="none"/>
              </w:rPr>
            </w:pPr>
            <w:r>
              <w:rPr>
                <w:rFonts w:hint="eastAsia" w:ascii="宋体" w:hAnsi="宋体" w:eastAsia="宋体" w:cs="宋体"/>
                <w:sz w:val="30"/>
                <w:highlight w:val="none"/>
              </w:rPr>
              <w:t xml:space="preserve">                       </w:t>
            </w:r>
            <w:bookmarkStart w:id="688" w:name="_GoBack"/>
            <w:bookmarkEnd w:id="688"/>
            <w:r>
              <w:rPr>
                <w:rFonts w:hint="eastAsia" w:ascii="宋体" w:hAnsi="宋体" w:eastAsia="宋体" w:cs="宋体"/>
                <w:sz w:val="30"/>
                <w:highlight w:val="none"/>
              </w:rPr>
              <w:t xml:space="preserve">           （单位盖章）</w:t>
            </w:r>
          </w:p>
          <w:p w14:paraId="3BDD9876">
            <w:pPr>
              <w:ind w:firstLine="5700" w:firstLineChars="1900"/>
              <w:rPr>
                <w:rFonts w:hint="eastAsia" w:ascii="宋体" w:hAnsi="宋体" w:eastAsia="宋体" w:cs="宋体"/>
                <w:sz w:val="30"/>
                <w:highlight w:val="none"/>
              </w:rPr>
            </w:pPr>
            <w:r>
              <w:rPr>
                <w:rFonts w:hint="eastAsia" w:ascii="宋体" w:hAnsi="宋体" w:eastAsia="宋体" w:cs="宋体"/>
                <w:sz w:val="30"/>
                <w:highlight w:val="none"/>
                <w:lang w:eastAsia="zh-CN"/>
              </w:rPr>
              <w:t>202</w:t>
            </w:r>
            <w:r>
              <w:rPr>
                <w:rFonts w:hint="eastAsia" w:ascii="宋体" w:hAnsi="宋体" w:cs="宋体"/>
                <w:sz w:val="30"/>
                <w:highlight w:val="none"/>
                <w:lang w:val="en-US" w:eastAsia="zh-CN"/>
              </w:rPr>
              <w:t>6</w:t>
            </w:r>
            <w:r>
              <w:rPr>
                <w:rFonts w:hint="eastAsia" w:ascii="宋体" w:hAnsi="宋体" w:eastAsia="宋体" w:cs="宋体"/>
                <w:sz w:val="30"/>
                <w:highlight w:val="none"/>
                <w:lang w:eastAsia="zh-CN"/>
              </w:rPr>
              <w:t>年</w:t>
            </w:r>
            <w:r>
              <w:rPr>
                <w:rFonts w:hint="eastAsia" w:ascii="宋体" w:hAnsi="宋体" w:cs="宋体"/>
                <w:sz w:val="30"/>
                <w:highlight w:val="none"/>
                <w:lang w:val="en-US" w:eastAsia="zh-CN"/>
              </w:rPr>
              <w:t>6月</w:t>
            </w:r>
          </w:p>
        </w:tc>
      </w:tr>
      <w:tr w14:paraId="1249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9180" w:type="dxa"/>
            <w:noWrap w:val="0"/>
            <w:vAlign w:val="top"/>
          </w:tcPr>
          <w:p w14:paraId="73E7B598">
            <w:pPr>
              <w:spacing w:line="320" w:lineRule="atLeast"/>
              <w:ind w:firstLine="600" w:firstLineChars="200"/>
              <w:rPr>
                <w:rFonts w:hint="eastAsia" w:ascii="宋体" w:hAnsi="宋体" w:eastAsia="宋体" w:cs="宋体"/>
                <w:sz w:val="30"/>
                <w:highlight w:val="none"/>
              </w:rPr>
            </w:pPr>
          </w:p>
          <w:p w14:paraId="40431E17">
            <w:pPr>
              <w:spacing w:line="320" w:lineRule="atLeast"/>
              <w:ind w:firstLine="600" w:firstLineChars="200"/>
              <w:rPr>
                <w:rFonts w:hint="eastAsia" w:ascii="宋体" w:hAnsi="宋体" w:eastAsia="宋体" w:cs="宋体"/>
                <w:sz w:val="30"/>
                <w:highlight w:val="none"/>
                <w:lang w:eastAsia="zh-CN"/>
              </w:rPr>
            </w:pPr>
            <w:r>
              <w:rPr>
                <w:rFonts w:hint="eastAsia" w:ascii="宋体" w:hAnsi="宋体" w:eastAsia="宋体" w:cs="宋体"/>
                <w:sz w:val="30"/>
                <w:highlight w:val="none"/>
              </w:rPr>
              <w:t>招标代理机构：滁州市城投工程咨询管理有限公司</w:t>
            </w:r>
          </w:p>
          <w:p w14:paraId="4963BDA0">
            <w:pPr>
              <w:spacing w:line="320" w:lineRule="atLeast"/>
              <w:ind w:firstLine="600" w:firstLineChars="200"/>
              <w:rPr>
                <w:rFonts w:hint="default" w:ascii="宋体" w:hAnsi="宋体" w:eastAsia="宋体" w:cs="宋体"/>
                <w:sz w:val="30"/>
                <w:highlight w:val="none"/>
                <w:lang w:val="en-US" w:eastAsia="zh-CN"/>
              </w:rPr>
            </w:pPr>
            <w:r>
              <w:rPr>
                <w:rFonts w:hint="eastAsia" w:ascii="宋体" w:hAnsi="宋体" w:eastAsia="宋体" w:cs="宋体"/>
                <w:sz w:val="30"/>
                <w:highlight w:val="none"/>
              </w:rPr>
              <w:t>经办人：杨韦</w:t>
            </w:r>
          </w:p>
          <w:p w14:paraId="4CCFA220">
            <w:pPr>
              <w:ind w:firstLine="600" w:firstLineChars="200"/>
              <w:rPr>
                <w:rFonts w:hint="default" w:ascii="宋体" w:hAnsi="宋体" w:eastAsia="宋体" w:cs="宋体"/>
                <w:sz w:val="30"/>
                <w:highlight w:val="none"/>
                <w:lang w:val="en-US"/>
              </w:rPr>
            </w:pPr>
            <w:r>
              <w:rPr>
                <w:rFonts w:hint="eastAsia" w:ascii="宋体" w:hAnsi="宋体" w:eastAsia="宋体" w:cs="宋体"/>
                <w:sz w:val="30"/>
                <w:highlight w:val="none"/>
              </w:rPr>
              <w:t>联系电话：</w:t>
            </w:r>
            <w:r>
              <w:rPr>
                <w:rFonts w:hint="eastAsia" w:ascii="宋体" w:hAnsi="宋体" w:eastAsia="宋体" w:cs="宋体"/>
                <w:sz w:val="30"/>
                <w:highlight w:val="none"/>
                <w:lang w:val="en-US" w:eastAsia="zh-CN"/>
              </w:rPr>
              <w:t>0550-3519590、18005501210</w:t>
            </w:r>
          </w:p>
          <w:p w14:paraId="10FA2098">
            <w:pPr>
              <w:ind w:firstLine="5400" w:firstLineChars="1800"/>
              <w:rPr>
                <w:rFonts w:hint="eastAsia" w:ascii="宋体" w:hAnsi="宋体" w:eastAsia="宋体" w:cs="宋体"/>
                <w:sz w:val="30"/>
                <w:highlight w:val="none"/>
              </w:rPr>
            </w:pPr>
          </w:p>
          <w:p w14:paraId="19DDB61E">
            <w:pPr>
              <w:ind w:firstLine="5400" w:firstLineChars="1800"/>
              <w:rPr>
                <w:rFonts w:hint="eastAsia" w:ascii="宋体" w:hAnsi="宋体" w:eastAsia="宋体" w:cs="宋体"/>
                <w:sz w:val="30"/>
                <w:highlight w:val="none"/>
              </w:rPr>
            </w:pPr>
          </w:p>
          <w:p w14:paraId="521F0F44">
            <w:pPr>
              <w:ind w:firstLine="5400" w:firstLineChars="1800"/>
              <w:rPr>
                <w:rFonts w:hint="eastAsia" w:ascii="宋体" w:hAnsi="宋体" w:eastAsia="宋体" w:cs="宋体"/>
                <w:sz w:val="30"/>
                <w:highlight w:val="none"/>
              </w:rPr>
            </w:pPr>
          </w:p>
          <w:p w14:paraId="7D57A807">
            <w:pPr>
              <w:ind w:firstLine="5400" w:firstLineChars="1800"/>
              <w:rPr>
                <w:rFonts w:hint="eastAsia" w:ascii="宋体" w:hAnsi="宋体" w:eastAsia="宋体" w:cs="宋体"/>
                <w:sz w:val="30"/>
                <w:highlight w:val="none"/>
              </w:rPr>
            </w:pPr>
            <w:r>
              <w:rPr>
                <w:rFonts w:hint="eastAsia" w:ascii="宋体" w:hAnsi="宋体" w:eastAsia="宋体" w:cs="宋体"/>
                <w:sz w:val="30"/>
                <w:highlight w:val="none"/>
              </w:rPr>
              <w:t>（单位盖章）</w:t>
            </w:r>
          </w:p>
          <w:p w14:paraId="13687F8B">
            <w:pPr>
              <w:ind w:firstLine="5700" w:firstLineChars="1900"/>
              <w:rPr>
                <w:rFonts w:hint="eastAsia" w:ascii="宋体" w:hAnsi="宋体" w:eastAsia="宋体" w:cs="宋体"/>
                <w:sz w:val="30"/>
                <w:highlight w:val="none"/>
              </w:rPr>
            </w:pPr>
            <w:r>
              <w:rPr>
                <w:rFonts w:hint="eastAsia" w:ascii="宋体" w:hAnsi="宋体" w:eastAsia="宋体" w:cs="宋体"/>
                <w:sz w:val="30"/>
                <w:highlight w:val="none"/>
                <w:lang w:eastAsia="zh-CN"/>
              </w:rPr>
              <w:t>202</w:t>
            </w:r>
            <w:r>
              <w:rPr>
                <w:rFonts w:hint="eastAsia" w:ascii="宋体" w:hAnsi="宋体" w:cs="宋体"/>
                <w:sz w:val="30"/>
                <w:highlight w:val="none"/>
                <w:lang w:val="en-US" w:eastAsia="zh-CN"/>
              </w:rPr>
              <w:t>6</w:t>
            </w:r>
            <w:r>
              <w:rPr>
                <w:rFonts w:hint="eastAsia" w:ascii="宋体" w:hAnsi="宋体" w:eastAsia="宋体" w:cs="宋体"/>
                <w:sz w:val="30"/>
                <w:highlight w:val="none"/>
                <w:lang w:eastAsia="zh-CN"/>
              </w:rPr>
              <w:t>年</w:t>
            </w:r>
            <w:r>
              <w:rPr>
                <w:rFonts w:hint="eastAsia" w:ascii="宋体" w:hAnsi="宋体" w:cs="宋体"/>
                <w:sz w:val="30"/>
                <w:highlight w:val="none"/>
                <w:lang w:val="en-US" w:eastAsia="zh-CN"/>
              </w:rPr>
              <w:t>6月</w:t>
            </w:r>
          </w:p>
        </w:tc>
      </w:tr>
    </w:tbl>
    <w:p w14:paraId="5238782A">
      <w:pPr>
        <w:rPr>
          <w:rFonts w:hint="eastAsia" w:ascii="宋体" w:hAnsi="宋体" w:eastAsia="宋体" w:cs="宋体"/>
          <w:highlight w:val="none"/>
        </w:rPr>
      </w:pPr>
    </w:p>
    <w:sectPr>
      <w:footerReference r:id="rId5" w:type="first"/>
      <w:headerReference r:id="rId3" w:type="default"/>
      <w:footerReference r:id="rId4" w:type="default"/>
      <w:pgSz w:w="11906" w:h="16838"/>
      <w:pgMar w:top="1134" w:right="1361" w:bottom="1077" w:left="1361" w:header="680"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B5431-B3FE-49A9-ACE6-8622F62458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B77A5E-ED0E-4657-AACD-DA053CC6041D}"/>
  </w:font>
  <w:font w:name="仿宋_GB2312">
    <w:altName w:val="仿宋"/>
    <w:panose1 w:val="02010609030101010101"/>
    <w:charset w:val="86"/>
    <w:family w:val="modern"/>
    <w:pitch w:val="default"/>
    <w:sig w:usb0="00000000" w:usb1="00000000" w:usb2="00000000" w:usb3="00000000" w:csb0="00040000" w:csb1="00000000"/>
    <w:embedRegular r:id="rId3" w:fontKey="{B816941B-AF58-4FD1-8D90-ED317C99B333}"/>
  </w:font>
  <w:font w:name="仿宋">
    <w:panose1 w:val="02010609060101010101"/>
    <w:charset w:val="86"/>
    <w:family w:val="auto"/>
    <w:pitch w:val="default"/>
    <w:sig w:usb0="800002BF" w:usb1="38CF7CFA" w:usb2="00000016" w:usb3="00000000" w:csb0="00040001" w:csb1="00000000"/>
    <w:embedRegular r:id="rId4" w:fontKey="{64D06EBE-02B2-418B-950A-6A3EAABC6C3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5" w:fontKey="{61B29A46-8D59-42F3-BF2A-DFADAFC676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EF62">
    <w:pPr>
      <w:pStyle w:val="18"/>
      <w:rPr>
        <w:rStyle w:val="31"/>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ACD23">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5B4ACD23">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6FBE72B7">
    <w:pPr>
      <w:pStyle w:val="18"/>
      <w:ind w:right="360"/>
      <w:rPr>
        <w:rFonts w:hint="eastAsia"/>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FF26">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51018">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共18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6A551018">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共18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CA27">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D7F32A0"/>
    <w:multiLevelType w:val="singleLevel"/>
    <w:tmpl w:val="0D7F32A0"/>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0026B"/>
    <w:rsid w:val="00001462"/>
    <w:rsid w:val="000014C0"/>
    <w:rsid w:val="00001779"/>
    <w:rsid w:val="00001EED"/>
    <w:rsid w:val="0000265A"/>
    <w:rsid w:val="00002937"/>
    <w:rsid w:val="000032C8"/>
    <w:rsid w:val="00004E82"/>
    <w:rsid w:val="00006578"/>
    <w:rsid w:val="00007982"/>
    <w:rsid w:val="00007A55"/>
    <w:rsid w:val="0001059F"/>
    <w:rsid w:val="000108ED"/>
    <w:rsid w:val="00010CA6"/>
    <w:rsid w:val="00010CCD"/>
    <w:rsid w:val="00010EA5"/>
    <w:rsid w:val="00011E33"/>
    <w:rsid w:val="00012101"/>
    <w:rsid w:val="00013337"/>
    <w:rsid w:val="00013ACB"/>
    <w:rsid w:val="000145C1"/>
    <w:rsid w:val="000162EB"/>
    <w:rsid w:val="00017BDB"/>
    <w:rsid w:val="00017D43"/>
    <w:rsid w:val="000203D9"/>
    <w:rsid w:val="00020903"/>
    <w:rsid w:val="00023CCF"/>
    <w:rsid w:val="000275D4"/>
    <w:rsid w:val="00027C35"/>
    <w:rsid w:val="00031228"/>
    <w:rsid w:val="00031915"/>
    <w:rsid w:val="00032766"/>
    <w:rsid w:val="00032A31"/>
    <w:rsid w:val="00033028"/>
    <w:rsid w:val="000345D9"/>
    <w:rsid w:val="00034848"/>
    <w:rsid w:val="0003501F"/>
    <w:rsid w:val="00036C65"/>
    <w:rsid w:val="000415FD"/>
    <w:rsid w:val="00041939"/>
    <w:rsid w:val="000419EC"/>
    <w:rsid w:val="00042249"/>
    <w:rsid w:val="0004305E"/>
    <w:rsid w:val="00043076"/>
    <w:rsid w:val="00043C98"/>
    <w:rsid w:val="00045A4E"/>
    <w:rsid w:val="00045A6F"/>
    <w:rsid w:val="00046DF3"/>
    <w:rsid w:val="000472C4"/>
    <w:rsid w:val="000475E9"/>
    <w:rsid w:val="0004764B"/>
    <w:rsid w:val="000479B9"/>
    <w:rsid w:val="00047D86"/>
    <w:rsid w:val="0005185E"/>
    <w:rsid w:val="000521A9"/>
    <w:rsid w:val="00052FCA"/>
    <w:rsid w:val="00053369"/>
    <w:rsid w:val="0005362C"/>
    <w:rsid w:val="000539DE"/>
    <w:rsid w:val="00053A5A"/>
    <w:rsid w:val="000540F9"/>
    <w:rsid w:val="00055C4A"/>
    <w:rsid w:val="00056A7D"/>
    <w:rsid w:val="00056F2F"/>
    <w:rsid w:val="000577BD"/>
    <w:rsid w:val="00057AB6"/>
    <w:rsid w:val="00060E82"/>
    <w:rsid w:val="000620D0"/>
    <w:rsid w:val="00063E24"/>
    <w:rsid w:val="0006578C"/>
    <w:rsid w:val="0006687E"/>
    <w:rsid w:val="00066BF8"/>
    <w:rsid w:val="000719A0"/>
    <w:rsid w:val="00072653"/>
    <w:rsid w:val="000729AD"/>
    <w:rsid w:val="00072CF9"/>
    <w:rsid w:val="00075760"/>
    <w:rsid w:val="000763B0"/>
    <w:rsid w:val="00077412"/>
    <w:rsid w:val="00077EFA"/>
    <w:rsid w:val="000828E5"/>
    <w:rsid w:val="000829E5"/>
    <w:rsid w:val="00083075"/>
    <w:rsid w:val="0008325F"/>
    <w:rsid w:val="00083A28"/>
    <w:rsid w:val="00084560"/>
    <w:rsid w:val="00086541"/>
    <w:rsid w:val="00086BFE"/>
    <w:rsid w:val="00086C2C"/>
    <w:rsid w:val="00087499"/>
    <w:rsid w:val="0009043F"/>
    <w:rsid w:val="00090742"/>
    <w:rsid w:val="00091980"/>
    <w:rsid w:val="00092A9B"/>
    <w:rsid w:val="00094223"/>
    <w:rsid w:val="00094437"/>
    <w:rsid w:val="000946F3"/>
    <w:rsid w:val="000950C6"/>
    <w:rsid w:val="000952E1"/>
    <w:rsid w:val="0009660D"/>
    <w:rsid w:val="000973D1"/>
    <w:rsid w:val="0009789D"/>
    <w:rsid w:val="000A1806"/>
    <w:rsid w:val="000A1DF4"/>
    <w:rsid w:val="000A6721"/>
    <w:rsid w:val="000A6C0F"/>
    <w:rsid w:val="000B139F"/>
    <w:rsid w:val="000B2822"/>
    <w:rsid w:val="000B3798"/>
    <w:rsid w:val="000B53EC"/>
    <w:rsid w:val="000B58B9"/>
    <w:rsid w:val="000B6532"/>
    <w:rsid w:val="000B6837"/>
    <w:rsid w:val="000B6D0F"/>
    <w:rsid w:val="000B6F2F"/>
    <w:rsid w:val="000B70C3"/>
    <w:rsid w:val="000B7173"/>
    <w:rsid w:val="000B7B55"/>
    <w:rsid w:val="000B7D6D"/>
    <w:rsid w:val="000C05F6"/>
    <w:rsid w:val="000C13EB"/>
    <w:rsid w:val="000C27A8"/>
    <w:rsid w:val="000C4B5A"/>
    <w:rsid w:val="000C5092"/>
    <w:rsid w:val="000C514F"/>
    <w:rsid w:val="000C53DB"/>
    <w:rsid w:val="000C5A75"/>
    <w:rsid w:val="000C5D53"/>
    <w:rsid w:val="000C5EC6"/>
    <w:rsid w:val="000C6079"/>
    <w:rsid w:val="000C6461"/>
    <w:rsid w:val="000C6C2E"/>
    <w:rsid w:val="000C7022"/>
    <w:rsid w:val="000C7213"/>
    <w:rsid w:val="000C7290"/>
    <w:rsid w:val="000C7CE2"/>
    <w:rsid w:val="000D0430"/>
    <w:rsid w:val="000D08ED"/>
    <w:rsid w:val="000D2737"/>
    <w:rsid w:val="000D31BE"/>
    <w:rsid w:val="000D354B"/>
    <w:rsid w:val="000D41E6"/>
    <w:rsid w:val="000D5A87"/>
    <w:rsid w:val="000D5E0E"/>
    <w:rsid w:val="000D6033"/>
    <w:rsid w:val="000D7481"/>
    <w:rsid w:val="000E085D"/>
    <w:rsid w:val="000E0F54"/>
    <w:rsid w:val="000E1895"/>
    <w:rsid w:val="000E1A40"/>
    <w:rsid w:val="000E3B58"/>
    <w:rsid w:val="000E40AE"/>
    <w:rsid w:val="000E41F8"/>
    <w:rsid w:val="000E42CA"/>
    <w:rsid w:val="000E4C7D"/>
    <w:rsid w:val="000E564A"/>
    <w:rsid w:val="000E5DBF"/>
    <w:rsid w:val="000E610D"/>
    <w:rsid w:val="000E77AE"/>
    <w:rsid w:val="000E7C99"/>
    <w:rsid w:val="000F4C93"/>
    <w:rsid w:val="000F5948"/>
    <w:rsid w:val="00100CB8"/>
    <w:rsid w:val="001017EA"/>
    <w:rsid w:val="001018E0"/>
    <w:rsid w:val="00102683"/>
    <w:rsid w:val="00102994"/>
    <w:rsid w:val="00103422"/>
    <w:rsid w:val="00103BA0"/>
    <w:rsid w:val="0010491A"/>
    <w:rsid w:val="001049E9"/>
    <w:rsid w:val="00104B78"/>
    <w:rsid w:val="001103C5"/>
    <w:rsid w:val="001106DA"/>
    <w:rsid w:val="00111964"/>
    <w:rsid w:val="00111CEE"/>
    <w:rsid w:val="00111F8A"/>
    <w:rsid w:val="0011351C"/>
    <w:rsid w:val="001135D3"/>
    <w:rsid w:val="00113B31"/>
    <w:rsid w:val="00114090"/>
    <w:rsid w:val="00114B48"/>
    <w:rsid w:val="001165C8"/>
    <w:rsid w:val="00116951"/>
    <w:rsid w:val="00116972"/>
    <w:rsid w:val="00120064"/>
    <w:rsid w:val="00121671"/>
    <w:rsid w:val="00121955"/>
    <w:rsid w:val="00121D13"/>
    <w:rsid w:val="00123C61"/>
    <w:rsid w:val="00124013"/>
    <w:rsid w:val="001258C3"/>
    <w:rsid w:val="0012639F"/>
    <w:rsid w:val="00126938"/>
    <w:rsid w:val="0012758A"/>
    <w:rsid w:val="001312AE"/>
    <w:rsid w:val="001314E4"/>
    <w:rsid w:val="00132E03"/>
    <w:rsid w:val="001330B1"/>
    <w:rsid w:val="00134481"/>
    <w:rsid w:val="001346E8"/>
    <w:rsid w:val="001349E0"/>
    <w:rsid w:val="0013515C"/>
    <w:rsid w:val="001369DD"/>
    <w:rsid w:val="00136D03"/>
    <w:rsid w:val="001373B6"/>
    <w:rsid w:val="00140195"/>
    <w:rsid w:val="001411FF"/>
    <w:rsid w:val="00142F0C"/>
    <w:rsid w:val="001433DB"/>
    <w:rsid w:val="001440D8"/>
    <w:rsid w:val="00144D62"/>
    <w:rsid w:val="00150AA2"/>
    <w:rsid w:val="00151E8D"/>
    <w:rsid w:val="001533D0"/>
    <w:rsid w:val="00155215"/>
    <w:rsid w:val="001559A5"/>
    <w:rsid w:val="00156057"/>
    <w:rsid w:val="00157D7F"/>
    <w:rsid w:val="00160695"/>
    <w:rsid w:val="00160867"/>
    <w:rsid w:val="00161293"/>
    <w:rsid w:val="0016155A"/>
    <w:rsid w:val="00163598"/>
    <w:rsid w:val="00163F00"/>
    <w:rsid w:val="001640CC"/>
    <w:rsid w:val="001645BE"/>
    <w:rsid w:val="001648BB"/>
    <w:rsid w:val="00164F51"/>
    <w:rsid w:val="00165088"/>
    <w:rsid w:val="001651CB"/>
    <w:rsid w:val="001666E7"/>
    <w:rsid w:val="00166ABE"/>
    <w:rsid w:val="00170821"/>
    <w:rsid w:val="00170C15"/>
    <w:rsid w:val="001725BE"/>
    <w:rsid w:val="00172949"/>
    <w:rsid w:val="0017407E"/>
    <w:rsid w:val="001745E8"/>
    <w:rsid w:val="00174D99"/>
    <w:rsid w:val="00175A26"/>
    <w:rsid w:val="0017601F"/>
    <w:rsid w:val="0017627B"/>
    <w:rsid w:val="00177D9E"/>
    <w:rsid w:val="0018045B"/>
    <w:rsid w:val="001825A6"/>
    <w:rsid w:val="00182933"/>
    <w:rsid w:val="00183271"/>
    <w:rsid w:val="00183910"/>
    <w:rsid w:val="00183998"/>
    <w:rsid w:val="0018448B"/>
    <w:rsid w:val="00184F14"/>
    <w:rsid w:val="0018574A"/>
    <w:rsid w:val="00185844"/>
    <w:rsid w:val="0018589A"/>
    <w:rsid w:val="00186134"/>
    <w:rsid w:val="00190937"/>
    <w:rsid w:val="00190DA7"/>
    <w:rsid w:val="00191840"/>
    <w:rsid w:val="00194AF8"/>
    <w:rsid w:val="00197123"/>
    <w:rsid w:val="001A0DF3"/>
    <w:rsid w:val="001A0FF2"/>
    <w:rsid w:val="001A2A48"/>
    <w:rsid w:val="001A31D2"/>
    <w:rsid w:val="001A32DB"/>
    <w:rsid w:val="001A3358"/>
    <w:rsid w:val="001A3F53"/>
    <w:rsid w:val="001A69D8"/>
    <w:rsid w:val="001A78D1"/>
    <w:rsid w:val="001B18EE"/>
    <w:rsid w:val="001B1DBD"/>
    <w:rsid w:val="001B26BE"/>
    <w:rsid w:val="001B2880"/>
    <w:rsid w:val="001B434C"/>
    <w:rsid w:val="001B4D32"/>
    <w:rsid w:val="001B544E"/>
    <w:rsid w:val="001B6802"/>
    <w:rsid w:val="001B68C5"/>
    <w:rsid w:val="001B74B4"/>
    <w:rsid w:val="001C00C0"/>
    <w:rsid w:val="001C1B29"/>
    <w:rsid w:val="001C2DA2"/>
    <w:rsid w:val="001C3214"/>
    <w:rsid w:val="001C3A44"/>
    <w:rsid w:val="001C3FE9"/>
    <w:rsid w:val="001C41F5"/>
    <w:rsid w:val="001C41F8"/>
    <w:rsid w:val="001C53E4"/>
    <w:rsid w:val="001C57EB"/>
    <w:rsid w:val="001C65A5"/>
    <w:rsid w:val="001C70FC"/>
    <w:rsid w:val="001C78B7"/>
    <w:rsid w:val="001D00B5"/>
    <w:rsid w:val="001D00BE"/>
    <w:rsid w:val="001D1B11"/>
    <w:rsid w:val="001D52BE"/>
    <w:rsid w:val="001D64BD"/>
    <w:rsid w:val="001D7BF6"/>
    <w:rsid w:val="001E14C1"/>
    <w:rsid w:val="001E1644"/>
    <w:rsid w:val="001E1941"/>
    <w:rsid w:val="001E3F7E"/>
    <w:rsid w:val="001E4085"/>
    <w:rsid w:val="001E5B11"/>
    <w:rsid w:val="001E5E48"/>
    <w:rsid w:val="001E6366"/>
    <w:rsid w:val="001E6396"/>
    <w:rsid w:val="001E7067"/>
    <w:rsid w:val="001E724A"/>
    <w:rsid w:val="001E75FD"/>
    <w:rsid w:val="001F27F9"/>
    <w:rsid w:val="001F317F"/>
    <w:rsid w:val="001F3741"/>
    <w:rsid w:val="001F557E"/>
    <w:rsid w:val="001F56CA"/>
    <w:rsid w:val="002009B3"/>
    <w:rsid w:val="00200AD4"/>
    <w:rsid w:val="00200D7D"/>
    <w:rsid w:val="002010A6"/>
    <w:rsid w:val="002036C3"/>
    <w:rsid w:val="002037FA"/>
    <w:rsid w:val="00203FFE"/>
    <w:rsid w:val="00204180"/>
    <w:rsid w:val="002047F3"/>
    <w:rsid w:val="00205F9C"/>
    <w:rsid w:val="002062E6"/>
    <w:rsid w:val="002073F8"/>
    <w:rsid w:val="00207A11"/>
    <w:rsid w:val="0021002F"/>
    <w:rsid w:val="002102DC"/>
    <w:rsid w:val="00210F34"/>
    <w:rsid w:val="00211D52"/>
    <w:rsid w:val="00213A60"/>
    <w:rsid w:val="00217047"/>
    <w:rsid w:val="00217ADF"/>
    <w:rsid w:val="002205E7"/>
    <w:rsid w:val="00220F6B"/>
    <w:rsid w:val="002227B3"/>
    <w:rsid w:val="00223881"/>
    <w:rsid w:val="00226D34"/>
    <w:rsid w:val="00226DA7"/>
    <w:rsid w:val="002305B5"/>
    <w:rsid w:val="002328F6"/>
    <w:rsid w:val="00232CEF"/>
    <w:rsid w:val="00232E64"/>
    <w:rsid w:val="002337D9"/>
    <w:rsid w:val="00233A6A"/>
    <w:rsid w:val="00233AFF"/>
    <w:rsid w:val="002349A5"/>
    <w:rsid w:val="00234B48"/>
    <w:rsid w:val="00234EE8"/>
    <w:rsid w:val="00235D1A"/>
    <w:rsid w:val="002367C9"/>
    <w:rsid w:val="00237049"/>
    <w:rsid w:val="00237979"/>
    <w:rsid w:val="002408F0"/>
    <w:rsid w:val="00240B85"/>
    <w:rsid w:val="00241675"/>
    <w:rsid w:val="002419C0"/>
    <w:rsid w:val="002422FF"/>
    <w:rsid w:val="00242C05"/>
    <w:rsid w:val="002440C2"/>
    <w:rsid w:val="002444DB"/>
    <w:rsid w:val="00244C84"/>
    <w:rsid w:val="00245301"/>
    <w:rsid w:val="00245D8B"/>
    <w:rsid w:val="00245F34"/>
    <w:rsid w:val="002467CF"/>
    <w:rsid w:val="0024762E"/>
    <w:rsid w:val="00247D89"/>
    <w:rsid w:val="0025151E"/>
    <w:rsid w:val="00251E17"/>
    <w:rsid w:val="00251E89"/>
    <w:rsid w:val="0025304B"/>
    <w:rsid w:val="002534BF"/>
    <w:rsid w:val="002545A6"/>
    <w:rsid w:val="002557E9"/>
    <w:rsid w:val="0025730D"/>
    <w:rsid w:val="002601C4"/>
    <w:rsid w:val="0026068A"/>
    <w:rsid w:val="00262539"/>
    <w:rsid w:val="002631D3"/>
    <w:rsid w:val="002634DD"/>
    <w:rsid w:val="0026372C"/>
    <w:rsid w:val="00263BCB"/>
    <w:rsid w:val="0026400B"/>
    <w:rsid w:val="00264EEC"/>
    <w:rsid w:val="00265FF2"/>
    <w:rsid w:val="002667C2"/>
    <w:rsid w:val="00266DD0"/>
    <w:rsid w:val="00272ABD"/>
    <w:rsid w:val="00272F5D"/>
    <w:rsid w:val="002747E8"/>
    <w:rsid w:val="00274DDD"/>
    <w:rsid w:val="00275450"/>
    <w:rsid w:val="002761A8"/>
    <w:rsid w:val="0027741B"/>
    <w:rsid w:val="00277BB9"/>
    <w:rsid w:val="0028070F"/>
    <w:rsid w:val="00281806"/>
    <w:rsid w:val="002829A2"/>
    <w:rsid w:val="00284663"/>
    <w:rsid w:val="00285085"/>
    <w:rsid w:val="00285556"/>
    <w:rsid w:val="00285DC2"/>
    <w:rsid w:val="00286029"/>
    <w:rsid w:val="00287B94"/>
    <w:rsid w:val="00287F3E"/>
    <w:rsid w:val="0029048B"/>
    <w:rsid w:val="00293C53"/>
    <w:rsid w:val="00295781"/>
    <w:rsid w:val="002962E4"/>
    <w:rsid w:val="002966B0"/>
    <w:rsid w:val="00296A12"/>
    <w:rsid w:val="002A036E"/>
    <w:rsid w:val="002A10AE"/>
    <w:rsid w:val="002A13AF"/>
    <w:rsid w:val="002A225E"/>
    <w:rsid w:val="002A2B97"/>
    <w:rsid w:val="002A2E16"/>
    <w:rsid w:val="002A34A1"/>
    <w:rsid w:val="002A3B36"/>
    <w:rsid w:val="002A5304"/>
    <w:rsid w:val="002A701A"/>
    <w:rsid w:val="002A7902"/>
    <w:rsid w:val="002B1140"/>
    <w:rsid w:val="002B11CF"/>
    <w:rsid w:val="002B1360"/>
    <w:rsid w:val="002B1D00"/>
    <w:rsid w:val="002B241D"/>
    <w:rsid w:val="002B2D95"/>
    <w:rsid w:val="002B4BA4"/>
    <w:rsid w:val="002B54A5"/>
    <w:rsid w:val="002B5548"/>
    <w:rsid w:val="002B63F4"/>
    <w:rsid w:val="002B7BEE"/>
    <w:rsid w:val="002C1392"/>
    <w:rsid w:val="002C1C44"/>
    <w:rsid w:val="002C5361"/>
    <w:rsid w:val="002C546E"/>
    <w:rsid w:val="002C645E"/>
    <w:rsid w:val="002C6627"/>
    <w:rsid w:val="002C7CC3"/>
    <w:rsid w:val="002D014B"/>
    <w:rsid w:val="002D09FA"/>
    <w:rsid w:val="002D7918"/>
    <w:rsid w:val="002E095D"/>
    <w:rsid w:val="002E1C10"/>
    <w:rsid w:val="002E3AB5"/>
    <w:rsid w:val="002E457F"/>
    <w:rsid w:val="002E5D11"/>
    <w:rsid w:val="002E6EC8"/>
    <w:rsid w:val="002E7DAC"/>
    <w:rsid w:val="002F0774"/>
    <w:rsid w:val="002F2651"/>
    <w:rsid w:val="002F2E94"/>
    <w:rsid w:val="002F3219"/>
    <w:rsid w:val="002F323B"/>
    <w:rsid w:val="002F329E"/>
    <w:rsid w:val="002F32A5"/>
    <w:rsid w:val="002F3A64"/>
    <w:rsid w:val="002F3B3C"/>
    <w:rsid w:val="002F4372"/>
    <w:rsid w:val="002F687F"/>
    <w:rsid w:val="002F7F31"/>
    <w:rsid w:val="00301883"/>
    <w:rsid w:val="00301BFB"/>
    <w:rsid w:val="00301FA2"/>
    <w:rsid w:val="00302A79"/>
    <w:rsid w:val="00302F80"/>
    <w:rsid w:val="00302FFB"/>
    <w:rsid w:val="00303053"/>
    <w:rsid w:val="0030337E"/>
    <w:rsid w:val="0030351C"/>
    <w:rsid w:val="00303923"/>
    <w:rsid w:val="00303A86"/>
    <w:rsid w:val="00303BB6"/>
    <w:rsid w:val="00304A32"/>
    <w:rsid w:val="00304B2B"/>
    <w:rsid w:val="00304EE3"/>
    <w:rsid w:val="00310C84"/>
    <w:rsid w:val="003114C6"/>
    <w:rsid w:val="00311A93"/>
    <w:rsid w:val="00312F68"/>
    <w:rsid w:val="0031341C"/>
    <w:rsid w:val="003140AE"/>
    <w:rsid w:val="003147FE"/>
    <w:rsid w:val="0031509A"/>
    <w:rsid w:val="0031560C"/>
    <w:rsid w:val="003178FB"/>
    <w:rsid w:val="00317DCD"/>
    <w:rsid w:val="0032175C"/>
    <w:rsid w:val="003222A6"/>
    <w:rsid w:val="003223B3"/>
    <w:rsid w:val="00322F4F"/>
    <w:rsid w:val="0032375E"/>
    <w:rsid w:val="0032406D"/>
    <w:rsid w:val="003243E7"/>
    <w:rsid w:val="003254B9"/>
    <w:rsid w:val="00326033"/>
    <w:rsid w:val="0032679F"/>
    <w:rsid w:val="003310FA"/>
    <w:rsid w:val="003317E0"/>
    <w:rsid w:val="00332D3B"/>
    <w:rsid w:val="003335CA"/>
    <w:rsid w:val="0033397A"/>
    <w:rsid w:val="003349AE"/>
    <w:rsid w:val="00335285"/>
    <w:rsid w:val="00336221"/>
    <w:rsid w:val="00340492"/>
    <w:rsid w:val="003407CA"/>
    <w:rsid w:val="003410BB"/>
    <w:rsid w:val="0034191E"/>
    <w:rsid w:val="00341C31"/>
    <w:rsid w:val="003444FC"/>
    <w:rsid w:val="00344C2B"/>
    <w:rsid w:val="00344EF8"/>
    <w:rsid w:val="00345828"/>
    <w:rsid w:val="00346109"/>
    <w:rsid w:val="003469C8"/>
    <w:rsid w:val="0035121C"/>
    <w:rsid w:val="0035205C"/>
    <w:rsid w:val="00352072"/>
    <w:rsid w:val="00352361"/>
    <w:rsid w:val="00352621"/>
    <w:rsid w:val="00352732"/>
    <w:rsid w:val="00354F9A"/>
    <w:rsid w:val="00355E6D"/>
    <w:rsid w:val="003565B3"/>
    <w:rsid w:val="00356F1A"/>
    <w:rsid w:val="00356F3A"/>
    <w:rsid w:val="003574A7"/>
    <w:rsid w:val="00357CE9"/>
    <w:rsid w:val="0036039E"/>
    <w:rsid w:val="00360C49"/>
    <w:rsid w:val="00361618"/>
    <w:rsid w:val="0036173E"/>
    <w:rsid w:val="003622EE"/>
    <w:rsid w:val="00363230"/>
    <w:rsid w:val="00363CE0"/>
    <w:rsid w:val="0036435B"/>
    <w:rsid w:val="003644BA"/>
    <w:rsid w:val="00364CB1"/>
    <w:rsid w:val="00365406"/>
    <w:rsid w:val="00365413"/>
    <w:rsid w:val="00365D91"/>
    <w:rsid w:val="003700D9"/>
    <w:rsid w:val="00370FAB"/>
    <w:rsid w:val="00371F62"/>
    <w:rsid w:val="00372FD0"/>
    <w:rsid w:val="003735A3"/>
    <w:rsid w:val="003739E6"/>
    <w:rsid w:val="003753F2"/>
    <w:rsid w:val="003755B1"/>
    <w:rsid w:val="00377D34"/>
    <w:rsid w:val="0038079F"/>
    <w:rsid w:val="00380CC4"/>
    <w:rsid w:val="00380FCB"/>
    <w:rsid w:val="0038170E"/>
    <w:rsid w:val="00381949"/>
    <w:rsid w:val="0038322B"/>
    <w:rsid w:val="00383AF6"/>
    <w:rsid w:val="00383AF7"/>
    <w:rsid w:val="00383D67"/>
    <w:rsid w:val="003849DE"/>
    <w:rsid w:val="003851A3"/>
    <w:rsid w:val="00385B1E"/>
    <w:rsid w:val="003866DF"/>
    <w:rsid w:val="003867B5"/>
    <w:rsid w:val="00387190"/>
    <w:rsid w:val="00387812"/>
    <w:rsid w:val="00387901"/>
    <w:rsid w:val="00387CD4"/>
    <w:rsid w:val="003906B0"/>
    <w:rsid w:val="00391D79"/>
    <w:rsid w:val="00391DB5"/>
    <w:rsid w:val="00392031"/>
    <w:rsid w:val="003926F0"/>
    <w:rsid w:val="00396307"/>
    <w:rsid w:val="003972CB"/>
    <w:rsid w:val="00397D00"/>
    <w:rsid w:val="003A027F"/>
    <w:rsid w:val="003A09FA"/>
    <w:rsid w:val="003A147E"/>
    <w:rsid w:val="003A1FD7"/>
    <w:rsid w:val="003A4BEA"/>
    <w:rsid w:val="003A4FBA"/>
    <w:rsid w:val="003A7A50"/>
    <w:rsid w:val="003B02F4"/>
    <w:rsid w:val="003B0A01"/>
    <w:rsid w:val="003B1793"/>
    <w:rsid w:val="003B2170"/>
    <w:rsid w:val="003B272D"/>
    <w:rsid w:val="003B2B35"/>
    <w:rsid w:val="003B3444"/>
    <w:rsid w:val="003B3969"/>
    <w:rsid w:val="003B3CEA"/>
    <w:rsid w:val="003B614D"/>
    <w:rsid w:val="003B70B9"/>
    <w:rsid w:val="003B784F"/>
    <w:rsid w:val="003B7E01"/>
    <w:rsid w:val="003C0659"/>
    <w:rsid w:val="003C0F43"/>
    <w:rsid w:val="003C12AB"/>
    <w:rsid w:val="003C1CD7"/>
    <w:rsid w:val="003C2670"/>
    <w:rsid w:val="003C2ECA"/>
    <w:rsid w:val="003C411A"/>
    <w:rsid w:val="003C4BEF"/>
    <w:rsid w:val="003C50D9"/>
    <w:rsid w:val="003C519A"/>
    <w:rsid w:val="003C56DB"/>
    <w:rsid w:val="003C6AC2"/>
    <w:rsid w:val="003C6CC7"/>
    <w:rsid w:val="003C6E29"/>
    <w:rsid w:val="003D06BA"/>
    <w:rsid w:val="003D14B1"/>
    <w:rsid w:val="003D201D"/>
    <w:rsid w:val="003D2B7C"/>
    <w:rsid w:val="003D33E4"/>
    <w:rsid w:val="003D421F"/>
    <w:rsid w:val="003D4AEC"/>
    <w:rsid w:val="003D55B8"/>
    <w:rsid w:val="003D6954"/>
    <w:rsid w:val="003D6F09"/>
    <w:rsid w:val="003D76F2"/>
    <w:rsid w:val="003D7A1A"/>
    <w:rsid w:val="003E00B0"/>
    <w:rsid w:val="003E0496"/>
    <w:rsid w:val="003E103E"/>
    <w:rsid w:val="003E2846"/>
    <w:rsid w:val="003E36A7"/>
    <w:rsid w:val="003E3784"/>
    <w:rsid w:val="003E3E46"/>
    <w:rsid w:val="003E4CDA"/>
    <w:rsid w:val="003E554E"/>
    <w:rsid w:val="003E5C8A"/>
    <w:rsid w:val="003E6528"/>
    <w:rsid w:val="003E6E1E"/>
    <w:rsid w:val="003E7565"/>
    <w:rsid w:val="003E7B76"/>
    <w:rsid w:val="003E7DFA"/>
    <w:rsid w:val="003F0C0B"/>
    <w:rsid w:val="003F0C81"/>
    <w:rsid w:val="003F328B"/>
    <w:rsid w:val="003F32AE"/>
    <w:rsid w:val="003F437D"/>
    <w:rsid w:val="003F4BA6"/>
    <w:rsid w:val="003F4EC1"/>
    <w:rsid w:val="003F625F"/>
    <w:rsid w:val="003F697E"/>
    <w:rsid w:val="003F6CC4"/>
    <w:rsid w:val="003F6E1A"/>
    <w:rsid w:val="003F7E3C"/>
    <w:rsid w:val="00401F28"/>
    <w:rsid w:val="00402417"/>
    <w:rsid w:val="00404FA7"/>
    <w:rsid w:val="0040763B"/>
    <w:rsid w:val="00407E3F"/>
    <w:rsid w:val="004110F1"/>
    <w:rsid w:val="00411AD7"/>
    <w:rsid w:val="00412EE6"/>
    <w:rsid w:val="004132C7"/>
    <w:rsid w:val="00413776"/>
    <w:rsid w:val="00413C34"/>
    <w:rsid w:val="00413D98"/>
    <w:rsid w:val="00413F22"/>
    <w:rsid w:val="00414DD0"/>
    <w:rsid w:val="0041584A"/>
    <w:rsid w:val="0041680F"/>
    <w:rsid w:val="00416BA4"/>
    <w:rsid w:val="00416D77"/>
    <w:rsid w:val="00420648"/>
    <w:rsid w:val="00424E19"/>
    <w:rsid w:val="00426849"/>
    <w:rsid w:val="00432073"/>
    <w:rsid w:val="00433779"/>
    <w:rsid w:val="004339A9"/>
    <w:rsid w:val="00433DA1"/>
    <w:rsid w:val="00434A36"/>
    <w:rsid w:val="004356AB"/>
    <w:rsid w:val="004406AB"/>
    <w:rsid w:val="00442B9D"/>
    <w:rsid w:val="00442D1B"/>
    <w:rsid w:val="004445FD"/>
    <w:rsid w:val="0044481B"/>
    <w:rsid w:val="00444925"/>
    <w:rsid w:val="00445626"/>
    <w:rsid w:val="00445AE2"/>
    <w:rsid w:val="00446FA0"/>
    <w:rsid w:val="0045068C"/>
    <w:rsid w:val="00450B9F"/>
    <w:rsid w:val="00451DA5"/>
    <w:rsid w:val="00451F0F"/>
    <w:rsid w:val="00454165"/>
    <w:rsid w:val="004548C2"/>
    <w:rsid w:val="00455484"/>
    <w:rsid w:val="004573F5"/>
    <w:rsid w:val="00457861"/>
    <w:rsid w:val="00460251"/>
    <w:rsid w:val="004606B7"/>
    <w:rsid w:val="00461798"/>
    <w:rsid w:val="004618A0"/>
    <w:rsid w:val="004632B9"/>
    <w:rsid w:val="0046485D"/>
    <w:rsid w:val="0046733C"/>
    <w:rsid w:val="00467757"/>
    <w:rsid w:val="00470B9F"/>
    <w:rsid w:val="004711DF"/>
    <w:rsid w:val="00471938"/>
    <w:rsid w:val="00472298"/>
    <w:rsid w:val="00472B3E"/>
    <w:rsid w:val="00474552"/>
    <w:rsid w:val="004758DF"/>
    <w:rsid w:val="00475926"/>
    <w:rsid w:val="004759D4"/>
    <w:rsid w:val="004767BB"/>
    <w:rsid w:val="00477741"/>
    <w:rsid w:val="00477E8F"/>
    <w:rsid w:val="0048075E"/>
    <w:rsid w:val="004808F8"/>
    <w:rsid w:val="00481714"/>
    <w:rsid w:val="0048257B"/>
    <w:rsid w:val="00482D2A"/>
    <w:rsid w:val="004875DE"/>
    <w:rsid w:val="004907CC"/>
    <w:rsid w:val="00491334"/>
    <w:rsid w:val="00492693"/>
    <w:rsid w:val="00493852"/>
    <w:rsid w:val="00493A58"/>
    <w:rsid w:val="00494BFB"/>
    <w:rsid w:val="00495C85"/>
    <w:rsid w:val="004962F0"/>
    <w:rsid w:val="004963FF"/>
    <w:rsid w:val="004A03AC"/>
    <w:rsid w:val="004A244C"/>
    <w:rsid w:val="004A267A"/>
    <w:rsid w:val="004A2912"/>
    <w:rsid w:val="004A3574"/>
    <w:rsid w:val="004A401F"/>
    <w:rsid w:val="004A54ED"/>
    <w:rsid w:val="004A7E7F"/>
    <w:rsid w:val="004B0781"/>
    <w:rsid w:val="004B0B6F"/>
    <w:rsid w:val="004B110D"/>
    <w:rsid w:val="004B2877"/>
    <w:rsid w:val="004B28BC"/>
    <w:rsid w:val="004B3C78"/>
    <w:rsid w:val="004B45F5"/>
    <w:rsid w:val="004B51DA"/>
    <w:rsid w:val="004B687B"/>
    <w:rsid w:val="004B72F0"/>
    <w:rsid w:val="004B771A"/>
    <w:rsid w:val="004C0665"/>
    <w:rsid w:val="004C074A"/>
    <w:rsid w:val="004C0D63"/>
    <w:rsid w:val="004C0F0C"/>
    <w:rsid w:val="004C191D"/>
    <w:rsid w:val="004C43B9"/>
    <w:rsid w:val="004C4978"/>
    <w:rsid w:val="004C53A5"/>
    <w:rsid w:val="004C53C3"/>
    <w:rsid w:val="004C56E5"/>
    <w:rsid w:val="004C5D3F"/>
    <w:rsid w:val="004D0206"/>
    <w:rsid w:val="004D2010"/>
    <w:rsid w:val="004D26F3"/>
    <w:rsid w:val="004D3D9F"/>
    <w:rsid w:val="004D3FDB"/>
    <w:rsid w:val="004D50F0"/>
    <w:rsid w:val="004D6E67"/>
    <w:rsid w:val="004D6EF7"/>
    <w:rsid w:val="004E0560"/>
    <w:rsid w:val="004E090A"/>
    <w:rsid w:val="004E0C55"/>
    <w:rsid w:val="004E13F8"/>
    <w:rsid w:val="004E1848"/>
    <w:rsid w:val="004E1958"/>
    <w:rsid w:val="004E2804"/>
    <w:rsid w:val="004E2938"/>
    <w:rsid w:val="004E35A5"/>
    <w:rsid w:val="004E380D"/>
    <w:rsid w:val="004E46F2"/>
    <w:rsid w:val="004E4E48"/>
    <w:rsid w:val="004E54CD"/>
    <w:rsid w:val="004E6A04"/>
    <w:rsid w:val="004E6B95"/>
    <w:rsid w:val="004F131F"/>
    <w:rsid w:val="004F29E2"/>
    <w:rsid w:val="004F3499"/>
    <w:rsid w:val="004F38A6"/>
    <w:rsid w:val="004F3A57"/>
    <w:rsid w:val="004F3D59"/>
    <w:rsid w:val="004F593C"/>
    <w:rsid w:val="004F5F15"/>
    <w:rsid w:val="004F6E5C"/>
    <w:rsid w:val="004F7317"/>
    <w:rsid w:val="00500E63"/>
    <w:rsid w:val="005031FF"/>
    <w:rsid w:val="005034F3"/>
    <w:rsid w:val="00503984"/>
    <w:rsid w:val="00504946"/>
    <w:rsid w:val="00506EBE"/>
    <w:rsid w:val="00507122"/>
    <w:rsid w:val="00507328"/>
    <w:rsid w:val="005109F6"/>
    <w:rsid w:val="00510AB4"/>
    <w:rsid w:val="00511DE7"/>
    <w:rsid w:val="0051206F"/>
    <w:rsid w:val="005120ED"/>
    <w:rsid w:val="00515CE4"/>
    <w:rsid w:val="005160F9"/>
    <w:rsid w:val="005166D8"/>
    <w:rsid w:val="005171C6"/>
    <w:rsid w:val="005204BC"/>
    <w:rsid w:val="00520FC7"/>
    <w:rsid w:val="00522918"/>
    <w:rsid w:val="005229CD"/>
    <w:rsid w:val="00522BB1"/>
    <w:rsid w:val="00524183"/>
    <w:rsid w:val="0052441F"/>
    <w:rsid w:val="005245A0"/>
    <w:rsid w:val="00524F55"/>
    <w:rsid w:val="00525702"/>
    <w:rsid w:val="005261C1"/>
    <w:rsid w:val="0052737F"/>
    <w:rsid w:val="0053133A"/>
    <w:rsid w:val="00531DC1"/>
    <w:rsid w:val="005331AE"/>
    <w:rsid w:val="00533493"/>
    <w:rsid w:val="00535A8D"/>
    <w:rsid w:val="00535C49"/>
    <w:rsid w:val="00535DBB"/>
    <w:rsid w:val="00536361"/>
    <w:rsid w:val="00537732"/>
    <w:rsid w:val="0054037F"/>
    <w:rsid w:val="005406E4"/>
    <w:rsid w:val="005409EF"/>
    <w:rsid w:val="00541BA7"/>
    <w:rsid w:val="005426C7"/>
    <w:rsid w:val="00542D5D"/>
    <w:rsid w:val="005435FC"/>
    <w:rsid w:val="00543CE3"/>
    <w:rsid w:val="00544196"/>
    <w:rsid w:val="00544298"/>
    <w:rsid w:val="005452B6"/>
    <w:rsid w:val="0054581A"/>
    <w:rsid w:val="005458F3"/>
    <w:rsid w:val="00551CAD"/>
    <w:rsid w:val="0055472C"/>
    <w:rsid w:val="00554E73"/>
    <w:rsid w:val="00555960"/>
    <w:rsid w:val="005560F3"/>
    <w:rsid w:val="00556799"/>
    <w:rsid w:val="00556EAA"/>
    <w:rsid w:val="0055752D"/>
    <w:rsid w:val="005579F3"/>
    <w:rsid w:val="00560E06"/>
    <w:rsid w:val="00560F4F"/>
    <w:rsid w:val="00562706"/>
    <w:rsid w:val="00562C2F"/>
    <w:rsid w:val="00563CCE"/>
    <w:rsid w:val="00565625"/>
    <w:rsid w:val="0056619B"/>
    <w:rsid w:val="005703AD"/>
    <w:rsid w:val="005722FD"/>
    <w:rsid w:val="00573CAC"/>
    <w:rsid w:val="00575563"/>
    <w:rsid w:val="00575E2D"/>
    <w:rsid w:val="005768C9"/>
    <w:rsid w:val="00580729"/>
    <w:rsid w:val="00581299"/>
    <w:rsid w:val="00582982"/>
    <w:rsid w:val="0058308A"/>
    <w:rsid w:val="00583C94"/>
    <w:rsid w:val="00584496"/>
    <w:rsid w:val="0058580F"/>
    <w:rsid w:val="005858C9"/>
    <w:rsid w:val="0058680C"/>
    <w:rsid w:val="00587355"/>
    <w:rsid w:val="00590526"/>
    <w:rsid w:val="00590E41"/>
    <w:rsid w:val="005941AD"/>
    <w:rsid w:val="00594802"/>
    <w:rsid w:val="00594A9B"/>
    <w:rsid w:val="00595527"/>
    <w:rsid w:val="0059654C"/>
    <w:rsid w:val="00597E3C"/>
    <w:rsid w:val="005A0AF1"/>
    <w:rsid w:val="005A11BE"/>
    <w:rsid w:val="005A17E5"/>
    <w:rsid w:val="005A1B2F"/>
    <w:rsid w:val="005A3061"/>
    <w:rsid w:val="005A366E"/>
    <w:rsid w:val="005A51FA"/>
    <w:rsid w:val="005A59CC"/>
    <w:rsid w:val="005A6403"/>
    <w:rsid w:val="005A656F"/>
    <w:rsid w:val="005A7779"/>
    <w:rsid w:val="005A7A15"/>
    <w:rsid w:val="005A7D76"/>
    <w:rsid w:val="005B06D4"/>
    <w:rsid w:val="005B1D25"/>
    <w:rsid w:val="005B343F"/>
    <w:rsid w:val="005C03EA"/>
    <w:rsid w:val="005C0BE6"/>
    <w:rsid w:val="005C148D"/>
    <w:rsid w:val="005C19EE"/>
    <w:rsid w:val="005C2FEB"/>
    <w:rsid w:val="005C3A32"/>
    <w:rsid w:val="005C4FFD"/>
    <w:rsid w:val="005C5321"/>
    <w:rsid w:val="005C5579"/>
    <w:rsid w:val="005C6BD5"/>
    <w:rsid w:val="005C7068"/>
    <w:rsid w:val="005C7714"/>
    <w:rsid w:val="005D13AB"/>
    <w:rsid w:val="005D1A2B"/>
    <w:rsid w:val="005D278C"/>
    <w:rsid w:val="005D3674"/>
    <w:rsid w:val="005D3B79"/>
    <w:rsid w:val="005D4442"/>
    <w:rsid w:val="005D46D2"/>
    <w:rsid w:val="005D77D6"/>
    <w:rsid w:val="005E02AA"/>
    <w:rsid w:val="005E06D7"/>
    <w:rsid w:val="005E263A"/>
    <w:rsid w:val="005E57AA"/>
    <w:rsid w:val="005E7372"/>
    <w:rsid w:val="005F1AB9"/>
    <w:rsid w:val="005F1B49"/>
    <w:rsid w:val="005F2DC3"/>
    <w:rsid w:val="005F301B"/>
    <w:rsid w:val="005F3A78"/>
    <w:rsid w:val="005F3CBA"/>
    <w:rsid w:val="005F41D3"/>
    <w:rsid w:val="005F4C27"/>
    <w:rsid w:val="005F5ADF"/>
    <w:rsid w:val="005F60FD"/>
    <w:rsid w:val="005F7879"/>
    <w:rsid w:val="005F7BFB"/>
    <w:rsid w:val="005F7D5C"/>
    <w:rsid w:val="00600125"/>
    <w:rsid w:val="00600608"/>
    <w:rsid w:val="00601BC2"/>
    <w:rsid w:val="00603238"/>
    <w:rsid w:val="006035A3"/>
    <w:rsid w:val="00604A70"/>
    <w:rsid w:val="00604DAB"/>
    <w:rsid w:val="00605283"/>
    <w:rsid w:val="00605697"/>
    <w:rsid w:val="0060605D"/>
    <w:rsid w:val="00607644"/>
    <w:rsid w:val="00607833"/>
    <w:rsid w:val="00607E2B"/>
    <w:rsid w:val="0061114F"/>
    <w:rsid w:val="00612624"/>
    <w:rsid w:val="0061306E"/>
    <w:rsid w:val="0061524A"/>
    <w:rsid w:val="006153A9"/>
    <w:rsid w:val="006167A1"/>
    <w:rsid w:val="00617960"/>
    <w:rsid w:val="00621C6A"/>
    <w:rsid w:val="0062551C"/>
    <w:rsid w:val="0062568A"/>
    <w:rsid w:val="00625FCE"/>
    <w:rsid w:val="0062627E"/>
    <w:rsid w:val="006269E1"/>
    <w:rsid w:val="00627226"/>
    <w:rsid w:val="0062750E"/>
    <w:rsid w:val="006275FF"/>
    <w:rsid w:val="006278F1"/>
    <w:rsid w:val="0063067E"/>
    <w:rsid w:val="00630C7B"/>
    <w:rsid w:val="00632013"/>
    <w:rsid w:val="006337CB"/>
    <w:rsid w:val="00633B69"/>
    <w:rsid w:val="00635234"/>
    <w:rsid w:val="00635B49"/>
    <w:rsid w:val="0063758D"/>
    <w:rsid w:val="00637816"/>
    <w:rsid w:val="006378FC"/>
    <w:rsid w:val="00637E89"/>
    <w:rsid w:val="0064081E"/>
    <w:rsid w:val="006417F3"/>
    <w:rsid w:val="00642683"/>
    <w:rsid w:val="00642AFE"/>
    <w:rsid w:val="00643B44"/>
    <w:rsid w:val="00644356"/>
    <w:rsid w:val="00644544"/>
    <w:rsid w:val="0064499F"/>
    <w:rsid w:val="00645B44"/>
    <w:rsid w:val="0064624D"/>
    <w:rsid w:val="006467F0"/>
    <w:rsid w:val="006472A4"/>
    <w:rsid w:val="00647419"/>
    <w:rsid w:val="006478A6"/>
    <w:rsid w:val="00647AF8"/>
    <w:rsid w:val="006506D4"/>
    <w:rsid w:val="00650ABE"/>
    <w:rsid w:val="006511BE"/>
    <w:rsid w:val="006516AC"/>
    <w:rsid w:val="00652BCE"/>
    <w:rsid w:val="00657DF6"/>
    <w:rsid w:val="00660CE5"/>
    <w:rsid w:val="006612B0"/>
    <w:rsid w:val="006627D4"/>
    <w:rsid w:val="006630D3"/>
    <w:rsid w:val="006640D2"/>
    <w:rsid w:val="0066417F"/>
    <w:rsid w:val="00664366"/>
    <w:rsid w:val="006659D1"/>
    <w:rsid w:val="00665E17"/>
    <w:rsid w:val="00665E43"/>
    <w:rsid w:val="006666FA"/>
    <w:rsid w:val="006669DE"/>
    <w:rsid w:val="00666F30"/>
    <w:rsid w:val="0066723C"/>
    <w:rsid w:val="006674C7"/>
    <w:rsid w:val="00667793"/>
    <w:rsid w:val="00667FE2"/>
    <w:rsid w:val="006705B1"/>
    <w:rsid w:val="0067231A"/>
    <w:rsid w:val="00673350"/>
    <w:rsid w:val="00673BA0"/>
    <w:rsid w:val="00674690"/>
    <w:rsid w:val="00674C7F"/>
    <w:rsid w:val="00675102"/>
    <w:rsid w:val="006770DB"/>
    <w:rsid w:val="006779DE"/>
    <w:rsid w:val="00680A48"/>
    <w:rsid w:val="00680E0F"/>
    <w:rsid w:val="00682D5F"/>
    <w:rsid w:val="00683E90"/>
    <w:rsid w:val="00685557"/>
    <w:rsid w:val="00686312"/>
    <w:rsid w:val="00686CD7"/>
    <w:rsid w:val="006903A5"/>
    <w:rsid w:val="0069099E"/>
    <w:rsid w:val="00690A19"/>
    <w:rsid w:val="006915C1"/>
    <w:rsid w:val="00692613"/>
    <w:rsid w:val="0069434A"/>
    <w:rsid w:val="0069529B"/>
    <w:rsid w:val="006955B9"/>
    <w:rsid w:val="006975E9"/>
    <w:rsid w:val="00697935"/>
    <w:rsid w:val="006979B1"/>
    <w:rsid w:val="006A11E6"/>
    <w:rsid w:val="006A144B"/>
    <w:rsid w:val="006A1EE1"/>
    <w:rsid w:val="006A1F1B"/>
    <w:rsid w:val="006A2DF6"/>
    <w:rsid w:val="006A4EA1"/>
    <w:rsid w:val="006A5118"/>
    <w:rsid w:val="006A689E"/>
    <w:rsid w:val="006A7487"/>
    <w:rsid w:val="006A79A5"/>
    <w:rsid w:val="006B15C1"/>
    <w:rsid w:val="006B1794"/>
    <w:rsid w:val="006B40A4"/>
    <w:rsid w:val="006B65A6"/>
    <w:rsid w:val="006B6F93"/>
    <w:rsid w:val="006C15C3"/>
    <w:rsid w:val="006C3DC4"/>
    <w:rsid w:val="006C57CE"/>
    <w:rsid w:val="006C5CBD"/>
    <w:rsid w:val="006C6BBE"/>
    <w:rsid w:val="006C6CB4"/>
    <w:rsid w:val="006D2794"/>
    <w:rsid w:val="006D4188"/>
    <w:rsid w:val="006D42F7"/>
    <w:rsid w:val="006D5954"/>
    <w:rsid w:val="006D68D7"/>
    <w:rsid w:val="006D7520"/>
    <w:rsid w:val="006D7BE5"/>
    <w:rsid w:val="006E0157"/>
    <w:rsid w:val="006E0495"/>
    <w:rsid w:val="006E1AF5"/>
    <w:rsid w:val="006E2657"/>
    <w:rsid w:val="006E3009"/>
    <w:rsid w:val="006E45E5"/>
    <w:rsid w:val="006E4853"/>
    <w:rsid w:val="006E6523"/>
    <w:rsid w:val="006E6705"/>
    <w:rsid w:val="006E72BE"/>
    <w:rsid w:val="006F01A3"/>
    <w:rsid w:val="006F15EF"/>
    <w:rsid w:val="006F317C"/>
    <w:rsid w:val="006F4021"/>
    <w:rsid w:val="006F4288"/>
    <w:rsid w:val="006F640E"/>
    <w:rsid w:val="006F6505"/>
    <w:rsid w:val="00700914"/>
    <w:rsid w:val="00702016"/>
    <w:rsid w:val="00702F6A"/>
    <w:rsid w:val="007037A0"/>
    <w:rsid w:val="00703900"/>
    <w:rsid w:val="00703B9C"/>
    <w:rsid w:val="00703DDC"/>
    <w:rsid w:val="007044B8"/>
    <w:rsid w:val="007045DF"/>
    <w:rsid w:val="007047BA"/>
    <w:rsid w:val="00704D2F"/>
    <w:rsid w:val="00705166"/>
    <w:rsid w:val="00705C7E"/>
    <w:rsid w:val="00707022"/>
    <w:rsid w:val="007079C6"/>
    <w:rsid w:val="00710DD7"/>
    <w:rsid w:val="007117FB"/>
    <w:rsid w:val="00711D3D"/>
    <w:rsid w:val="00711EA6"/>
    <w:rsid w:val="00711FA6"/>
    <w:rsid w:val="00714197"/>
    <w:rsid w:val="007143B3"/>
    <w:rsid w:val="00714BC0"/>
    <w:rsid w:val="00714D1A"/>
    <w:rsid w:val="0071591D"/>
    <w:rsid w:val="00716B72"/>
    <w:rsid w:val="00717BE8"/>
    <w:rsid w:val="00717F27"/>
    <w:rsid w:val="00720980"/>
    <w:rsid w:val="00720C89"/>
    <w:rsid w:val="007216DE"/>
    <w:rsid w:val="007221CA"/>
    <w:rsid w:val="00730FC9"/>
    <w:rsid w:val="007314CA"/>
    <w:rsid w:val="0073271E"/>
    <w:rsid w:val="00733581"/>
    <w:rsid w:val="00733C31"/>
    <w:rsid w:val="00733E48"/>
    <w:rsid w:val="00733E74"/>
    <w:rsid w:val="007372E4"/>
    <w:rsid w:val="00737970"/>
    <w:rsid w:val="00740507"/>
    <w:rsid w:val="00740CA5"/>
    <w:rsid w:val="00740E53"/>
    <w:rsid w:val="00741386"/>
    <w:rsid w:val="00741492"/>
    <w:rsid w:val="00744094"/>
    <w:rsid w:val="007444C2"/>
    <w:rsid w:val="00744CAC"/>
    <w:rsid w:val="007462AC"/>
    <w:rsid w:val="00753B68"/>
    <w:rsid w:val="00754BF2"/>
    <w:rsid w:val="00755119"/>
    <w:rsid w:val="007553B7"/>
    <w:rsid w:val="00755A47"/>
    <w:rsid w:val="007567B6"/>
    <w:rsid w:val="00756D0F"/>
    <w:rsid w:val="007575A2"/>
    <w:rsid w:val="0075785E"/>
    <w:rsid w:val="00760968"/>
    <w:rsid w:val="007616B4"/>
    <w:rsid w:val="00761DE4"/>
    <w:rsid w:val="0076319C"/>
    <w:rsid w:val="0076496F"/>
    <w:rsid w:val="007662C4"/>
    <w:rsid w:val="007672FC"/>
    <w:rsid w:val="00770234"/>
    <w:rsid w:val="00770519"/>
    <w:rsid w:val="00770AA6"/>
    <w:rsid w:val="0077214B"/>
    <w:rsid w:val="007724C0"/>
    <w:rsid w:val="00772FB9"/>
    <w:rsid w:val="00773CA8"/>
    <w:rsid w:val="00774198"/>
    <w:rsid w:val="00774AA8"/>
    <w:rsid w:val="00774AB7"/>
    <w:rsid w:val="00775119"/>
    <w:rsid w:val="00775E64"/>
    <w:rsid w:val="00776E1D"/>
    <w:rsid w:val="00781ACF"/>
    <w:rsid w:val="00781E74"/>
    <w:rsid w:val="00782B23"/>
    <w:rsid w:val="00783226"/>
    <w:rsid w:val="00784288"/>
    <w:rsid w:val="007876F8"/>
    <w:rsid w:val="00787D5F"/>
    <w:rsid w:val="007928A3"/>
    <w:rsid w:val="007928AE"/>
    <w:rsid w:val="00793743"/>
    <w:rsid w:val="007972E7"/>
    <w:rsid w:val="00797461"/>
    <w:rsid w:val="00797996"/>
    <w:rsid w:val="007A5AE8"/>
    <w:rsid w:val="007A647E"/>
    <w:rsid w:val="007A709C"/>
    <w:rsid w:val="007A7FB9"/>
    <w:rsid w:val="007B02A2"/>
    <w:rsid w:val="007B0977"/>
    <w:rsid w:val="007B142C"/>
    <w:rsid w:val="007B15C4"/>
    <w:rsid w:val="007B5814"/>
    <w:rsid w:val="007B6BA2"/>
    <w:rsid w:val="007B7FEE"/>
    <w:rsid w:val="007C0512"/>
    <w:rsid w:val="007C2039"/>
    <w:rsid w:val="007C2E7E"/>
    <w:rsid w:val="007C3D2C"/>
    <w:rsid w:val="007C4101"/>
    <w:rsid w:val="007C41E4"/>
    <w:rsid w:val="007C51B7"/>
    <w:rsid w:val="007C57B4"/>
    <w:rsid w:val="007C5F17"/>
    <w:rsid w:val="007C7809"/>
    <w:rsid w:val="007C7CD2"/>
    <w:rsid w:val="007D093A"/>
    <w:rsid w:val="007D09D5"/>
    <w:rsid w:val="007D0AB1"/>
    <w:rsid w:val="007D2516"/>
    <w:rsid w:val="007D2BEF"/>
    <w:rsid w:val="007D4DC2"/>
    <w:rsid w:val="007D58B7"/>
    <w:rsid w:val="007D5F33"/>
    <w:rsid w:val="007D7408"/>
    <w:rsid w:val="007E0A75"/>
    <w:rsid w:val="007E0F52"/>
    <w:rsid w:val="007E20F6"/>
    <w:rsid w:val="007E2969"/>
    <w:rsid w:val="007E31E1"/>
    <w:rsid w:val="007E517B"/>
    <w:rsid w:val="007E7586"/>
    <w:rsid w:val="007E7BDD"/>
    <w:rsid w:val="007E7EBD"/>
    <w:rsid w:val="007F0AB0"/>
    <w:rsid w:val="007F0F87"/>
    <w:rsid w:val="007F2C3D"/>
    <w:rsid w:val="007F432D"/>
    <w:rsid w:val="007F49BA"/>
    <w:rsid w:val="007F7025"/>
    <w:rsid w:val="007F7168"/>
    <w:rsid w:val="007F71B3"/>
    <w:rsid w:val="008003D8"/>
    <w:rsid w:val="00800796"/>
    <w:rsid w:val="008007C8"/>
    <w:rsid w:val="008009B4"/>
    <w:rsid w:val="00800D1D"/>
    <w:rsid w:val="008022B3"/>
    <w:rsid w:val="00802D85"/>
    <w:rsid w:val="00804013"/>
    <w:rsid w:val="00804183"/>
    <w:rsid w:val="008047C6"/>
    <w:rsid w:val="00804DF1"/>
    <w:rsid w:val="008052A7"/>
    <w:rsid w:val="008052EB"/>
    <w:rsid w:val="008059CD"/>
    <w:rsid w:val="008062C5"/>
    <w:rsid w:val="00806303"/>
    <w:rsid w:val="0080632D"/>
    <w:rsid w:val="00807055"/>
    <w:rsid w:val="00807581"/>
    <w:rsid w:val="00810976"/>
    <w:rsid w:val="008116F0"/>
    <w:rsid w:val="00813FC8"/>
    <w:rsid w:val="00814748"/>
    <w:rsid w:val="00814ED5"/>
    <w:rsid w:val="00815120"/>
    <w:rsid w:val="00815565"/>
    <w:rsid w:val="008177FD"/>
    <w:rsid w:val="008178FB"/>
    <w:rsid w:val="00817BB3"/>
    <w:rsid w:val="00821D45"/>
    <w:rsid w:val="0082259B"/>
    <w:rsid w:val="008235F0"/>
    <w:rsid w:val="00823DC5"/>
    <w:rsid w:val="0082477C"/>
    <w:rsid w:val="0082499F"/>
    <w:rsid w:val="00824F46"/>
    <w:rsid w:val="00825093"/>
    <w:rsid w:val="00825701"/>
    <w:rsid w:val="00825A5C"/>
    <w:rsid w:val="00825B7D"/>
    <w:rsid w:val="00826910"/>
    <w:rsid w:val="00826E53"/>
    <w:rsid w:val="00827DE6"/>
    <w:rsid w:val="00827E5F"/>
    <w:rsid w:val="008318D4"/>
    <w:rsid w:val="00831D72"/>
    <w:rsid w:val="00832F72"/>
    <w:rsid w:val="00833178"/>
    <w:rsid w:val="008338D1"/>
    <w:rsid w:val="00833FCA"/>
    <w:rsid w:val="00834B0C"/>
    <w:rsid w:val="00835A99"/>
    <w:rsid w:val="00835BA4"/>
    <w:rsid w:val="008369A0"/>
    <w:rsid w:val="00837068"/>
    <w:rsid w:val="008379FE"/>
    <w:rsid w:val="00837F23"/>
    <w:rsid w:val="00837F69"/>
    <w:rsid w:val="0084027B"/>
    <w:rsid w:val="008405F9"/>
    <w:rsid w:val="0084179B"/>
    <w:rsid w:val="00842653"/>
    <w:rsid w:val="00842864"/>
    <w:rsid w:val="0084335A"/>
    <w:rsid w:val="00845681"/>
    <w:rsid w:val="00846F17"/>
    <w:rsid w:val="00847A3A"/>
    <w:rsid w:val="008518E1"/>
    <w:rsid w:val="0085191B"/>
    <w:rsid w:val="008530EA"/>
    <w:rsid w:val="00854E0B"/>
    <w:rsid w:val="008556F2"/>
    <w:rsid w:val="0085600A"/>
    <w:rsid w:val="008565EF"/>
    <w:rsid w:val="008575E6"/>
    <w:rsid w:val="008602E7"/>
    <w:rsid w:val="008604E3"/>
    <w:rsid w:val="00860E5D"/>
    <w:rsid w:val="00861708"/>
    <w:rsid w:val="00862019"/>
    <w:rsid w:val="008626FB"/>
    <w:rsid w:val="0086296B"/>
    <w:rsid w:val="008633AC"/>
    <w:rsid w:val="00863AEE"/>
    <w:rsid w:val="00865ED4"/>
    <w:rsid w:val="00866266"/>
    <w:rsid w:val="00867359"/>
    <w:rsid w:val="00867786"/>
    <w:rsid w:val="00870FDF"/>
    <w:rsid w:val="0087177B"/>
    <w:rsid w:val="00871AF9"/>
    <w:rsid w:val="00871B1D"/>
    <w:rsid w:val="008731B0"/>
    <w:rsid w:val="008734DB"/>
    <w:rsid w:val="00874B60"/>
    <w:rsid w:val="00875E23"/>
    <w:rsid w:val="00876126"/>
    <w:rsid w:val="00880AEE"/>
    <w:rsid w:val="00880C70"/>
    <w:rsid w:val="0088122B"/>
    <w:rsid w:val="008814CE"/>
    <w:rsid w:val="00881FC6"/>
    <w:rsid w:val="008821D2"/>
    <w:rsid w:val="00882BA9"/>
    <w:rsid w:val="00882C48"/>
    <w:rsid w:val="00882CE0"/>
    <w:rsid w:val="00882D30"/>
    <w:rsid w:val="0088365D"/>
    <w:rsid w:val="00883893"/>
    <w:rsid w:val="00883A27"/>
    <w:rsid w:val="00884DE2"/>
    <w:rsid w:val="00884F8F"/>
    <w:rsid w:val="00886112"/>
    <w:rsid w:val="0088678E"/>
    <w:rsid w:val="00886A58"/>
    <w:rsid w:val="00887CFA"/>
    <w:rsid w:val="00887D58"/>
    <w:rsid w:val="00893395"/>
    <w:rsid w:val="00895178"/>
    <w:rsid w:val="008962E0"/>
    <w:rsid w:val="008A09E7"/>
    <w:rsid w:val="008A0B9D"/>
    <w:rsid w:val="008A0E87"/>
    <w:rsid w:val="008A124E"/>
    <w:rsid w:val="008A1A20"/>
    <w:rsid w:val="008A44E9"/>
    <w:rsid w:val="008A450D"/>
    <w:rsid w:val="008A4ED8"/>
    <w:rsid w:val="008A59E0"/>
    <w:rsid w:val="008A6628"/>
    <w:rsid w:val="008B0CBD"/>
    <w:rsid w:val="008B2441"/>
    <w:rsid w:val="008B590C"/>
    <w:rsid w:val="008B5B04"/>
    <w:rsid w:val="008B68C6"/>
    <w:rsid w:val="008B7B1D"/>
    <w:rsid w:val="008C129A"/>
    <w:rsid w:val="008C1E2B"/>
    <w:rsid w:val="008C1F44"/>
    <w:rsid w:val="008C32BD"/>
    <w:rsid w:val="008C4471"/>
    <w:rsid w:val="008D15EE"/>
    <w:rsid w:val="008D2013"/>
    <w:rsid w:val="008D2442"/>
    <w:rsid w:val="008D2CE0"/>
    <w:rsid w:val="008D3028"/>
    <w:rsid w:val="008D46D5"/>
    <w:rsid w:val="008D5482"/>
    <w:rsid w:val="008E0051"/>
    <w:rsid w:val="008E222B"/>
    <w:rsid w:val="008E2250"/>
    <w:rsid w:val="008E2CE2"/>
    <w:rsid w:val="008E360C"/>
    <w:rsid w:val="008E4015"/>
    <w:rsid w:val="008E4D13"/>
    <w:rsid w:val="008E5D89"/>
    <w:rsid w:val="008E74E5"/>
    <w:rsid w:val="008F03C7"/>
    <w:rsid w:val="008F2042"/>
    <w:rsid w:val="008F2A15"/>
    <w:rsid w:val="008F3A7F"/>
    <w:rsid w:val="008F4E3B"/>
    <w:rsid w:val="008F4F39"/>
    <w:rsid w:val="008F5653"/>
    <w:rsid w:val="008F672A"/>
    <w:rsid w:val="008F7F9F"/>
    <w:rsid w:val="00900F51"/>
    <w:rsid w:val="00901442"/>
    <w:rsid w:val="00902557"/>
    <w:rsid w:val="00903491"/>
    <w:rsid w:val="00903DCF"/>
    <w:rsid w:val="00903E7B"/>
    <w:rsid w:val="009048B3"/>
    <w:rsid w:val="00904E9C"/>
    <w:rsid w:val="00905E4A"/>
    <w:rsid w:val="00906603"/>
    <w:rsid w:val="00907AE6"/>
    <w:rsid w:val="00910163"/>
    <w:rsid w:val="0091024C"/>
    <w:rsid w:val="00910F57"/>
    <w:rsid w:val="00912A2B"/>
    <w:rsid w:val="00912E0A"/>
    <w:rsid w:val="00913D0D"/>
    <w:rsid w:val="00914DF6"/>
    <w:rsid w:val="0091642F"/>
    <w:rsid w:val="009170FE"/>
    <w:rsid w:val="00917A22"/>
    <w:rsid w:val="00917BC3"/>
    <w:rsid w:val="009200DA"/>
    <w:rsid w:val="00920885"/>
    <w:rsid w:val="00921D36"/>
    <w:rsid w:val="009235C0"/>
    <w:rsid w:val="00926809"/>
    <w:rsid w:val="00926C91"/>
    <w:rsid w:val="00927232"/>
    <w:rsid w:val="009273CD"/>
    <w:rsid w:val="00927EBD"/>
    <w:rsid w:val="00930445"/>
    <w:rsid w:val="0093087A"/>
    <w:rsid w:val="00930D0F"/>
    <w:rsid w:val="0093180D"/>
    <w:rsid w:val="009325EF"/>
    <w:rsid w:val="00933A2B"/>
    <w:rsid w:val="0093433D"/>
    <w:rsid w:val="0093516C"/>
    <w:rsid w:val="00935E31"/>
    <w:rsid w:val="009376A6"/>
    <w:rsid w:val="0093772B"/>
    <w:rsid w:val="00937E3F"/>
    <w:rsid w:val="00940229"/>
    <w:rsid w:val="00940839"/>
    <w:rsid w:val="00940A6E"/>
    <w:rsid w:val="0094155E"/>
    <w:rsid w:val="0094344B"/>
    <w:rsid w:val="009454A2"/>
    <w:rsid w:val="00945F22"/>
    <w:rsid w:val="00945F4A"/>
    <w:rsid w:val="00947552"/>
    <w:rsid w:val="00951526"/>
    <w:rsid w:val="0095308C"/>
    <w:rsid w:val="009530C2"/>
    <w:rsid w:val="009538F2"/>
    <w:rsid w:val="009551D3"/>
    <w:rsid w:val="00955A04"/>
    <w:rsid w:val="009560D4"/>
    <w:rsid w:val="00956BF8"/>
    <w:rsid w:val="00957166"/>
    <w:rsid w:val="00957966"/>
    <w:rsid w:val="0096188D"/>
    <w:rsid w:val="00961CC1"/>
    <w:rsid w:val="00962F16"/>
    <w:rsid w:val="00963F49"/>
    <w:rsid w:val="009643F5"/>
    <w:rsid w:val="0096660F"/>
    <w:rsid w:val="00966754"/>
    <w:rsid w:val="00966D3D"/>
    <w:rsid w:val="00966D57"/>
    <w:rsid w:val="009675C5"/>
    <w:rsid w:val="00970140"/>
    <w:rsid w:val="00970839"/>
    <w:rsid w:val="00970A61"/>
    <w:rsid w:val="00970FA7"/>
    <w:rsid w:val="009711E0"/>
    <w:rsid w:val="00971F6B"/>
    <w:rsid w:val="00973206"/>
    <w:rsid w:val="009742B9"/>
    <w:rsid w:val="0097544C"/>
    <w:rsid w:val="00977F83"/>
    <w:rsid w:val="009821C2"/>
    <w:rsid w:val="00982528"/>
    <w:rsid w:val="0098407B"/>
    <w:rsid w:val="00984098"/>
    <w:rsid w:val="009854CF"/>
    <w:rsid w:val="009856E8"/>
    <w:rsid w:val="0098628C"/>
    <w:rsid w:val="00986585"/>
    <w:rsid w:val="009903C1"/>
    <w:rsid w:val="0099138C"/>
    <w:rsid w:val="009913FA"/>
    <w:rsid w:val="0099151A"/>
    <w:rsid w:val="009920AE"/>
    <w:rsid w:val="00992B40"/>
    <w:rsid w:val="00992BE3"/>
    <w:rsid w:val="00993224"/>
    <w:rsid w:val="009934A0"/>
    <w:rsid w:val="00995C88"/>
    <w:rsid w:val="00997943"/>
    <w:rsid w:val="00997F4F"/>
    <w:rsid w:val="009A1033"/>
    <w:rsid w:val="009A1F58"/>
    <w:rsid w:val="009A3DD7"/>
    <w:rsid w:val="009A4AC6"/>
    <w:rsid w:val="009A58BD"/>
    <w:rsid w:val="009A605A"/>
    <w:rsid w:val="009A728B"/>
    <w:rsid w:val="009B02CA"/>
    <w:rsid w:val="009B11CD"/>
    <w:rsid w:val="009B12D9"/>
    <w:rsid w:val="009B1FA8"/>
    <w:rsid w:val="009B2CB6"/>
    <w:rsid w:val="009B3604"/>
    <w:rsid w:val="009B52E0"/>
    <w:rsid w:val="009B7474"/>
    <w:rsid w:val="009B7F5A"/>
    <w:rsid w:val="009C33B1"/>
    <w:rsid w:val="009C4AC6"/>
    <w:rsid w:val="009C5427"/>
    <w:rsid w:val="009C7806"/>
    <w:rsid w:val="009C79D1"/>
    <w:rsid w:val="009C7D20"/>
    <w:rsid w:val="009D0491"/>
    <w:rsid w:val="009D0A0D"/>
    <w:rsid w:val="009D176E"/>
    <w:rsid w:val="009D2E42"/>
    <w:rsid w:val="009D2F30"/>
    <w:rsid w:val="009D3A42"/>
    <w:rsid w:val="009D3A84"/>
    <w:rsid w:val="009D5622"/>
    <w:rsid w:val="009D6B5B"/>
    <w:rsid w:val="009D6E2C"/>
    <w:rsid w:val="009D7CDB"/>
    <w:rsid w:val="009E0073"/>
    <w:rsid w:val="009E016F"/>
    <w:rsid w:val="009E023F"/>
    <w:rsid w:val="009E0AD0"/>
    <w:rsid w:val="009E0DC3"/>
    <w:rsid w:val="009E2054"/>
    <w:rsid w:val="009E3E1E"/>
    <w:rsid w:val="009E4DB9"/>
    <w:rsid w:val="009E5854"/>
    <w:rsid w:val="009E6FD0"/>
    <w:rsid w:val="009E7AD4"/>
    <w:rsid w:val="009F0032"/>
    <w:rsid w:val="009F2222"/>
    <w:rsid w:val="009F2A4E"/>
    <w:rsid w:val="009F36E8"/>
    <w:rsid w:val="009F4B8D"/>
    <w:rsid w:val="009F51B7"/>
    <w:rsid w:val="009F55A1"/>
    <w:rsid w:val="009F5E02"/>
    <w:rsid w:val="009F6F59"/>
    <w:rsid w:val="009F77EB"/>
    <w:rsid w:val="00A0102F"/>
    <w:rsid w:val="00A0144B"/>
    <w:rsid w:val="00A0184E"/>
    <w:rsid w:val="00A02DAB"/>
    <w:rsid w:val="00A03294"/>
    <w:rsid w:val="00A03FDA"/>
    <w:rsid w:val="00A04EC2"/>
    <w:rsid w:val="00A053A0"/>
    <w:rsid w:val="00A05541"/>
    <w:rsid w:val="00A05AAB"/>
    <w:rsid w:val="00A05E6D"/>
    <w:rsid w:val="00A068AD"/>
    <w:rsid w:val="00A077D1"/>
    <w:rsid w:val="00A10832"/>
    <w:rsid w:val="00A111F4"/>
    <w:rsid w:val="00A1128F"/>
    <w:rsid w:val="00A11BE6"/>
    <w:rsid w:val="00A121F1"/>
    <w:rsid w:val="00A126E8"/>
    <w:rsid w:val="00A13FE8"/>
    <w:rsid w:val="00A14108"/>
    <w:rsid w:val="00A14AB9"/>
    <w:rsid w:val="00A158AF"/>
    <w:rsid w:val="00A174FD"/>
    <w:rsid w:val="00A20075"/>
    <w:rsid w:val="00A21642"/>
    <w:rsid w:val="00A21C7B"/>
    <w:rsid w:val="00A2319B"/>
    <w:rsid w:val="00A23E26"/>
    <w:rsid w:val="00A24BDB"/>
    <w:rsid w:val="00A24D87"/>
    <w:rsid w:val="00A26B44"/>
    <w:rsid w:val="00A274D3"/>
    <w:rsid w:val="00A30F8B"/>
    <w:rsid w:val="00A31FD8"/>
    <w:rsid w:val="00A32232"/>
    <w:rsid w:val="00A3256D"/>
    <w:rsid w:val="00A32E30"/>
    <w:rsid w:val="00A33A7A"/>
    <w:rsid w:val="00A33D1F"/>
    <w:rsid w:val="00A34DCC"/>
    <w:rsid w:val="00A37238"/>
    <w:rsid w:val="00A37D48"/>
    <w:rsid w:val="00A4120B"/>
    <w:rsid w:val="00A413D4"/>
    <w:rsid w:val="00A41611"/>
    <w:rsid w:val="00A41797"/>
    <w:rsid w:val="00A430FE"/>
    <w:rsid w:val="00A432A8"/>
    <w:rsid w:val="00A448B6"/>
    <w:rsid w:val="00A462A9"/>
    <w:rsid w:val="00A4757E"/>
    <w:rsid w:val="00A47CF4"/>
    <w:rsid w:val="00A50847"/>
    <w:rsid w:val="00A51A89"/>
    <w:rsid w:val="00A5302B"/>
    <w:rsid w:val="00A53392"/>
    <w:rsid w:val="00A563A2"/>
    <w:rsid w:val="00A56E2F"/>
    <w:rsid w:val="00A57079"/>
    <w:rsid w:val="00A57389"/>
    <w:rsid w:val="00A57479"/>
    <w:rsid w:val="00A576A2"/>
    <w:rsid w:val="00A604AA"/>
    <w:rsid w:val="00A60A36"/>
    <w:rsid w:val="00A61068"/>
    <w:rsid w:val="00A613DB"/>
    <w:rsid w:val="00A61419"/>
    <w:rsid w:val="00A63D94"/>
    <w:rsid w:val="00A64345"/>
    <w:rsid w:val="00A648FB"/>
    <w:rsid w:val="00A65165"/>
    <w:rsid w:val="00A6549C"/>
    <w:rsid w:val="00A6575C"/>
    <w:rsid w:val="00A65872"/>
    <w:rsid w:val="00A65A09"/>
    <w:rsid w:val="00A661DD"/>
    <w:rsid w:val="00A67B6E"/>
    <w:rsid w:val="00A703BC"/>
    <w:rsid w:val="00A703F3"/>
    <w:rsid w:val="00A70798"/>
    <w:rsid w:val="00A712C8"/>
    <w:rsid w:val="00A713FA"/>
    <w:rsid w:val="00A71B8E"/>
    <w:rsid w:val="00A72476"/>
    <w:rsid w:val="00A73E45"/>
    <w:rsid w:val="00A73EB3"/>
    <w:rsid w:val="00A741DF"/>
    <w:rsid w:val="00A7420B"/>
    <w:rsid w:val="00A759BE"/>
    <w:rsid w:val="00A761EE"/>
    <w:rsid w:val="00A769B5"/>
    <w:rsid w:val="00A80BF2"/>
    <w:rsid w:val="00A82FB8"/>
    <w:rsid w:val="00A84927"/>
    <w:rsid w:val="00A85832"/>
    <w:rsid w:val="00A85C7B"/>
    <w:rsid w:val="00A86763"/>
    <w:rsid w:val="00A87958"/>
    <w:rsid w:val="00A8797B"/>
    <w:rsid w:val="00A9060C"/>
    <w:rsid w:val="00A91778"/>
    <w:rsid w:val="00A921E7"/>
    <w:rsid w:val="00A927ED"/>
    <w:rsid w:val="00A9414F"/>
    <w:rsid w:val="00A9438A"/>
    <w:rsid w:val="00A95655"/>
    <w:rsid w:val="00A9658A"/>
    <w:rsid w:val="00A96FEC"/>
    <w:rsid w:val="00A97472"/>
    <w:rsid w:val="00A974F0"/>
    <w:rsid w:val="00AA08EB"/>
    <w:rsid w:val="00AA0B1E"/>
    <w:rsid w:val="00AA0F39"/>
    <w:rsid w:val="00AA1959"/>
    <w:rsid w:val="00AA2C08"/>
    <w:rsid w:val="00AA2D0C"/>
    <w:rsid w:val="00AA455D"/>
    <w:rsid w:val="00AA6309"/>
    <w:rsid w:val="00AA7CA2"/>
    <w:rsid w:val="00AB0936"/>
    <w:rsid w:val="00AB0B59"/>
    <w:rsid w:val="00AB0FFC"/>
    <w:rsid w:val="00AB1630"/>
    <w:rsid w:val="00AB17FF"/>
    <w:rsid w:val="00AB28D9"/>
    <w:rsid w:val="00AB2E43"/>
    <w:rsid w:val="00AB3EF0"/>
    <w:rsid w:val="00AB44F8"/>
    <w:rsid w:val="00AB5D79"/>
    <w:rsid w:val="00AB63A2"/>
    <w:rsid w:val="00AB6A15"/>
    <w:rsid w:val="00AB6F0E"/>
    <w:rsid w:val="00AB7173"/>
    <w:rsid w:val="00AB7B7A"/>
    <w:rsid w:val="00AC0CDA"/>
    <w:rsid w:val="00AC2D5C"/>
    <w:rsid w:val="00AC33B4"/>
    <w:rsid w:val="00AC38D6"/>
    <w:rsid w:val="00AC3C51"/>
    <w:rsid w:val="00AC505A"/>
    <w:rsid w:val="00AC553F"/>
    <w:rsid w:val="00AC55B9"/>
    <w:rsid w:val="00AC7E49"/>
    <w:rsid w:val="00AD137D"/>
    <w:rsid w:val="00AD22C0"/>
    <w:rsid w:val="00AD22FC"/>
    <w:rsid w:val="00AD272F"/>
    <w:rsid w:val="00AD2956"/>
    <w:rsid w:val="00AD3892"/>
    <w:rsid w:val="00AD44A6"/>
    <w:rsid w:val="00AD68F4"/>
    <w:rsid w:val="00AD7D47"/>
    <w:rsid w:val="00AE0879"/>
    <w:rsid w:val="00AE147C"/>
    <w:rsid w:val="00AE220F"/>
    <w:rsid w:val="00AE34AE"/>
    <w:rsid w:val="00AE3FCA"/>
    <w:rsid w:val="00AE422C"/>
    <w:rsid w:val="00AE4BD7"/>
    <w:rsid w:val="00AE57A0"/>
    <w:rsid w:val="00AE79C7"/>
    <w:rsid w:val="00AF32D0"/>
    <w:rsid w:val="00AF5367"/>
    <w:rsid w:val="00AF5A53"/>
    <w:rsid w:val="00AF68A0"/>
    <w:rsid w:val="00AF71DF"/>
    <w:rsid w:val="00AF72E4"/>
    <w:rsid w:val="00AF7E3B"/>
    <w:rsid w:val="00B00336"/>
    <w:rsid w:val="00B01029"/>
    <w:rsid w:val="00B01564"/>
    <w:rsid w:val="00B05476"/>
    <w:rsid w:val="00B056C4"/>
    <w:rsid w:val="00B056EA"/>
    <w:rsid w:val="00B05DDB"/>
    <w:rsid w:val="00B07EA1"/>
    <w:rsid w:val="00B134E1"/>
    <w:rsid w:val="00B13A6C"/>
    <w:rsid w:val="00B1505B"/>
    <w:rsid w:val="00B1607F"/>
    <w:rsid w:val="00B16B6D"/>
    <w:rsid w:val="00B16DE4"/>
    <w:rsid w:val="00B17001"/>
    <w:rsid w:val="00B17BD0"/>
    <w:rsid w:val="00B2439D"/>
    <w:rsid w:val="00B250E9"/>
    <w:rsid w:val="00B26097"/>
    <w:rsid w:val="00B26B63"/>
    <w:rsid w:val="00B26C0C"/>
    <w:rsid w:val="00B27F8B"/>
    <w:rsid w:val="00B31922"/>
    <w:rsid w:val="00B32226"/>
    <w:rsid w:val="00B32E21"/>
    <w:rsid w:val="00B3363A"/>
    <w:rsid w:val="00B3372B"/>
    <w:rsid w:val="00B33ED8"/>
    <w:rsid w:val="00B33FE6"/>
    <w:rsid w:val="00B34052"/>
    <w:rsid w:val="00B34225"/>
    <w:rsid w:val="00B34CA5"/>
    <w:rsid w:val="00B356DD"/>
    <w:rsid w:val="00B36573"/>
    <w:rsid w:val="00B376DD"/>
    <w:rsid w:val="00B37C7E"/>
    <w:rsid w:val="00B4023D"/>
    <w:rsid w:val="00B41B48"/>
    <w:rsid w:val="00B439F4"/>
    <w:rsid w:val="00B44039"/>
    <w:rsid w:val="00B443EF"/>
    <w:rsid w:val="00B45183"/>
    <w:rsid w:val="00B452A3"/>
    <w:rsid w:val="00B4760D"/>
    <w:rsid w:val="00B4789B"/>
    <w:rsid w:val="00B50DD1"/>
    <w:rsid w:val="00B51F54"/>
    <w:rsid w:val="00B522E2"/>
    <w:rsid w:val="00B52537"/>
    <w:rsid w:val="00B52953"/>
    <w:rsid w:val="00B55934"/>
    <w:rsid w:val="00B5765E"/>
    <w:rsid w:val="00B57A90"/>
    <w:rsid w:val="00B602CD"/>
    <w:rsid w:val="00B60599"/>
    <w:rsid w:val="00B612F0"/>
    <w:rsid w:val="00B61C00"/>
    <w:rsid w:val="00B62514"/>
    <w:rsid w:val="00B62C4B"/>
    <w:rsid w:val="00B62D3D"/>
    <w:rsid w:val="00B6426A"/>
    <w:rsid w:val="00B64BEA"/>
    <w:rsid w:val="00B64D40"/>
    <w:rsid w:val="00B65C9E"/>
    <w:rsid w:val="00B662C5"/>
    <w:rsid w:val="00B665A4"/>
    <w:rsid w:val="00B67344"/>
    <w:rsid w:val="00B67B2E"/>
    <w:rsid w:val="00B67EB2"/>
    <w:rsid w:val="00B7007A"/>
    <w:rsid w:val="00B70EA5"/>
    <w:rsid w:val="00B7558A"/>
    <w:rsid w:val="00B757E0"/>
    <w:rsid w:val="00B76D5C"/>
    <w:rsid w:val="00B778A5"/>
    <w:rsid w:val="00B77E36"/>
    <w:rsid w:val="00B80160"/>
    <w:rsid w:val="00B80D54"/>
    <w:rsid w:val="00B80ED0"/>
    <w:rsid w:val="00B8163A"/>
    <w:rsid w:val="00B82A34"/>
    <w:rsid w:val="00B836ED"/>
    <w:rsid w:val="00B83ACB"/>
    <w:rsid w:val="00B83B2A"/>
    <w:rsid w:val="00B840C7"/>
    <w:rsid w:val="00B84822"/>
    <w:rsid w:val="00B85651"/>
    <w:rsid w:val="00B85AB9"/>
    <w:rsid w:val="00B8665E"/>
    <w:rsid w:val="00B90598"/>
    <w:rsid w:val="00B9101D"/>
    <w:rsid w:val="00B92AD7"/>
    <w:rsid w:val="00B92B38"/>
    <w:rsid w:val="00B9543D"/>
    <w:rsid w:val="00B959E0"/>
    <w:rsid w:val="00B961D3"/>
    <w:rsid w:val="00B9703A"/>
    <w:rsid w:val="00BA16D8"/>
    <w:rsid w:val="00BA3F0F"/>
    <w:rsid w:val="00BA4BB4"/>
    <w:rsid w:val="00BA5688"/>
    <w:rsid w:val="00BA5C76"/>
    <w:rsid w:val="00BA6C4A"/>
    <w:rsid w:val="00BA763C"/>
    <w:rsid w:val="00BA775C"/>
    <w:rsid w:val="00BB06A8"/>
    <w:rsid w:val="00BB0F82"/>
    <w:rsid w:val="00BB3191"/>
    <w:rsid w:val="00BB35D9"/>
    <w:rsid w:val="00BB5383"/>
    <w:rsid w:val="00BB599A"/>
    <w:rsid w:val="00BB5D6A"/>
    <w:rsid w:val="00BB65E6"/>
    <w:rsid w:val="00BB7122"/>
    <w:rsid w:val="00BC163D"/>
    <w:rsid w:val="00BC2ACE"/>
    <w:rsid w:val="00BC35EE"/>
    <w:rsid w:val="00BC3FAA"/>
    <w:rsid w:val="00BC4696"/>
    <w:rsid w:val="00BC47F3"/>
    <w:rsid w:val="00BC5D5A"/>
    <w:rsid w:val="00BC72C5"/>
    <w:rsid w:val="00BC75F3"/>
    <w:rsid w:val="00BC79B8"/>
    <w:rsid w:val="00BD0407"/>
    <w:rsid w:val="00BD119A"/>
    <w:rsid w:val="00BD2987"/>
    <w:rsid w:val="00BD2C7B"/>
    <w:rsid w:val="00BD50AA"/>
    <w:rsid w:val="00BD5B82"/>
    <w:rsid w:val="00BD6528"/>
    <w:rsid w:val="00BD68E4"/>
    <w:rsid w:val="00BD73C2"/>
    <w:rsid w:val="00BE28B8"/>
    <w:rsid w:val="00BE3EA0"/>
    <w:rsid w:val="00BE4275"/>
    <w:rsid w:val="00BE5FAC"/>
    <w:rsid w:val="00BE73A3"/>
    <w:rsid w:val="00BE7CF1"/>
    <w:rsid w:val="00BF0BEA"/>
    <w:rsid w:val="00BF1249"/>
    <w:rsid w:val="00BF2472"/>
    <w:rsid w:val="00BF2C26"/>
    <w:rsid w:val="00BF4123"/>
    <w:rsid w:val="00BF44F5"/>
    <w:rsid w:val="00BF4F86"/>
    <w:rsid w:val="00BF5527"/>
    <w:rsid w:val="00BF56A4"/>
    <w:rsid w:val="00BF5B32"/>
    <w:rsid w:val="00BF6E0F"/>
    <w:rsid w:val="00BF7E21"/>
    <w:rsid w:val="00C00D6C"/>
    <w:rsid w:val="00C011A8"/>
    <w:rsid w:val="00C03277"/>
    <w:rsid w:val="00C0333A"/>
    <w:rsid w:val="00C04757"/>
    <w:rsid w:val="00C049AA"/>
    <w:rsid w:val="00C05DB3"/>
    <w:rsid w:val="00C07894"/>
    <w:rsid w:val="00C07F5C"/>
    <w:rsid w:val="00C1012D"/>
    <w:rsid w:val="00C10563"/>
    <w:rsid w:val="00C111B8"/>
    <w:rsid w:val="00C1253D"/>
    <w:rsid w:val="00C12728"/>
    <w:rsid w:val="00C13B0C"/>
    <w:rsid w:val="00C146F5"/>
    <w:rsid w:val="00C15A1A"/>
    <w:rsid w:val="00C17305"/>
    <w:rsid w:val="00C20E94"/>
    <w:rsid w:val="00C2211D"/>
    <w:rsid w:val="00C221FF"/>
    <w:rsid w:val="00C23412"/>
    <w:rsid w:val="00C23738"/>
    <w:rsid w:val="00C24483"/>
    <w:rsid w:val="00C24FB0"/>
    <w:rsid w:val="00C2732E"/>
    <w:rsid w:val="00C273EF"/>
    <w:rsid w:val="00C32616"/>
    <w:rsid w:val="00C337AA"/>
    <w:rsid w:val="00C33B73"/>
    <w:rsid w:val="00C34168"/>
    <w:rsid w:val="00C34684"/>
    <w:rsid w:val="00C34E33"/>
    <w:rsid w:val="00C35310"/>
    <w:rsid w:val="00C35509"/>
    <w:rsid w:val="00C355F0"/>
    <w:rsid w:val="00C37A5C"/>
    <w:rsid w:val="00C37F8C"/>
    <w:rsid w:val="00C42E1D"/>
    <w:rsid w:val="00C449A2"/>
    <w:rsid w:val="00C469EC"/>
    <w:rsid w:val="00C504F2"/>
    <w:rsid w:val="00C5083C"/>
    <w:rsid w:val="00C52711"/>
    <w:rsid w:val="00C5278D"/>
    <w:rsid w:val="00C52E1C"/>
    <w:rsid w:val="00C53BEE"/>
    <w:rsid w:val="00C53E07"/>
    <w:rsid w:val="00C54542"/>
    <w:rsid w:val="00C5500B"/>
    <w:rsid w:val="00C550BF"/>
    <w:rsid w:val="00C55381"/>
    <w:rsid w:val="00C55BF9"/>
    <w:rsid w:val="00C564BC"/>
    <w:rsid w:val="00C577ED"/>
    <w:rsid w:val="00C6078E"/>
    <w:rsid w:val="00C61D67"/>
    <w:rsid w:val="00C61E41"/>
    <w:rsid w:val="00C632B3"/>
    <w:rsid w:val="00C64AC2"/>
    <w:rsid w:val="00C653D9"/>
    <w:rsid w:val="00C662AC"/>
    <w:rsid w:val="00C66452"/>
    <w:rsid w:val="00C66642"/>
    <w:rsid w:val="00C66939"/>
    <w:rsid w:val="00C66B53"/>
    <w:rsid w:val="00C67B3A"/>
    <w:rsid w:val="00C7206F"/>
    <w:rsid w:val="00C72307"/>
    <w:rsid w:val="00C75339"/>
    <w:rsid w:val="00C7605C"/>
    <w:rsid w:val="00C777A9"/>
    <w:rsid w:val="00C8076B"/>
    <w:rsid w:val="00C81088"/>
    <w:rsid w:val="00C81881"/>
    <w:rsid w:val="00C81DA8"/>
    <w:rsid w:val="00C82387"/>
    <w:rsid w:val="00C82F0B"/>
    <w:rsid w:val="00C838A3"/>
    <w:rsid w:val="00C85A50"/>
    <w:rsid w:val="00C866FD"/>
    <w:rsid w:val="00C8683D"/>
    <w:rsid w:val="00C90794"/>
    <w:rsid w:val="00C90CEF"/>
    <w:rsid w:val="00C90F14"/>
    <w:rsid w:val="00C9156C"/>
    <w:rsid w:val="00C92869"/>
    <w:rsid w:val="00C92D71"/>
    <w:rsid w:val="00C93F7E"/>
    <w:rsid w:val="00C97051"/>
    <w:rsid w:val="00C976F5"/>
    <w:rsid w:val="00C97722"/>
    <w:rsid w:val="00C9786D"/>
    <w:rsid w:val="00C97E2D"/>
    <w:rsid w:val="00CA035C"/>
    <w:rsid w:val="00CA0AD8"/>
    <w:rsid w:val="00CA0BF8"/>
    <w:rsid w:val="00CA0D2B"/>
    <w:rsid w:val="00CA1C5D"/>
    <w:rsid w:val="00CA1D56"/>
    <w:rsid w:val="00CA2912"/>
    <w:rsid w:val="00CA3FDD"/>
    <w:rsid w:val="00CA4609"/>
    <w:rsid w:val="00CA4A67"/>
    <w:rsid w:val="00CA6DD2"/>
    <w:rsid w:val="00CA7D80"/>
    <w:rsid w:val="00CB0E84"/>
    <w:rsid w:val="00CB246B"/>
    <w:rsid w:val="00CB3950"/>
    <w:rsid w:val="00CB6E87"/>
    <w:rsid w:val="00CB7767"/>
    <w:rsid w:val="00CC21F9"/>
    <w:rsid w:val="00CC2916"/>
    <w:rsid w:val="00CC2973"/>
    <w:rsid w:val="00CC3019"/>
    <w:rsid w:val="00CC3190"/>
    <w:rsid w:val="00CC560D"/>
    <w:rsid w:val="00CC5699"/>
    <w:rsid w:val="00CC60F2"/>
    <w:rsid w:val="00CC61ED"/>
    <w:rsid w:val="00CC6A2D"/>
    <w:rsid w:val="00CC6A2F"/>
    <w:rsid w:val="00CC6FEF"/>
    <w:rsid w:val="00CC7234"/>
    <w:rsid w:val="00CC73A3"/>
    <w:rsid w:val="00CD22B6"/>
    <w:rsid w:val="00CD2450"/>
    <w:rsid w:val="00CD4C3D"/>
    <w:rsid w:val="00CD4C7C"/>
    <w:rsid w:val="00CD603B"/>
    <w:rsid w:val="00CE0852"/>
    <w:rsid w:val="00CE1ED0"/>
    <w:rsid w:val="00CE2073"/>
    <w:rsid w:val="00CE32D4"/>
    <w:rsid w:val="00CE33F7"/>
    <w:rsid w:val="00CE47B6"/>
    <w:rsid w:val="00CE51AF"/>
    <w:rsid w:val="00CE51B3"/>
    <w:rsid w:val="00CE5F5E"/>
    <w:rsid w:val="00CF0681"/>
    <w:rsid w:val="00CF1CB1"/>
    <w:rsid w:val="00CF3648"/>
    <w:rsid w:val="00CF3922"/>
    <w:rsid w:val="00CF39D8"/>
    <w:rsid w:val="00CF4B8B"/>
    <w:rsid w:val="00CF4CE5"/>
    <w:rsid w:val="00CF6206"/>
    <w:rsid w:val="00CF654B"/>
    <w:rsid w:val="00D01CF7"/>
    <w:rsid w:val="00D037F9"/>
    <w:rsid w:val="00D0403F"/>
    <w:rsid w:val="00D048A1"/>
    <w:rsid w:val="00D04FE1"/>
    <w:rsid w:val="00D05BB5"/>
    <w:rsid w:val="00D06D62"/>
    <w:rsid w:val="00D07313"/>
    <w:rsid w:val="00D074E6"/>
    <w:rsid w:val="00D10D73"/>
    <w:rsid w:val="00D11335"/>
    <w:rsid w:val="00D119FB"/>
    <w:rsid w:val="00D12626"/>
    <w:rsid w:val="00D12B45"/>
    <w:rsid w:val="00D133C6"/>
    <w:rsid w:val="00D13C90"/>
    <w:rsid w:val="00D14296"/>
    <w:rsid w:val="00D1600F"/>
    <w:rsid w:val="00D165E6"/>
    <w:rsid w:val="00D16608"/>
    <w:rsid w:val="00D16847"/>
    <w:rsid w:val="00D16CAC"/>
    <w:rsid w:val="00D17088"/>
    <w:rsid w:val="00D20864"/>
    <w:rsid w:val="00D21EAA"/>
    <w:rsid w:val="00D229F3"/>
    <w:rsid w:val="00D2363F"/>
    <w:rsid w:val="00D2418F"/>
    <w:rsid w:val="00D24C67"/>
    <w:rsid w:val="00D25185"/>
    <w:rsid w:val="00D274C9"/>
    <w:rsid w:val="00D2789F"/>
    <w:rsid w:val="00D27A46"/>
    <w:rsid w:val="00D27E34"/>
    <w:rsid w:val="00D27EB6"/>
    <w:rsid w:val="00D31B95"/>
    <w:rsid w:val="00D324E6"/>
    <w:rsid w:val="00D32836"/>
    <w:rsid w:val="00D32B10"/>
    <w:rsid w:val="00D33ABF"/>
    <w:rsid w:val="00D33F02"/>
    <w:rsid w:val="00D353EE"/>
    <w:rsid w:val="00D355BE"/>
    <w:rsid w:val="00D360C9"/>
    <w:rsid w:val="00D42713"/>
    <w:rsid w:val="00D42A72"/>
    <w:rsid w:val="00D42C93"/>
    <w:rsid w:val="00D42F05"/>
    <w:rsid w:val="00D436AC"/>
    <w:rsid w:val="00D437CE"/>
    <w:rsid w:val="00D43F59"/>
    <w:rsid w:val="00D442E2"/>
    <w:rsid w:val="00D44719"/>
    <w:rsid w:val="00D4641E"/>
    <w:rsid w:val="00D46497"/>
    <w:rsid w:val="00D46A05"/>
    <w:rsid w:val="00D46A4C"/>
    <w:rsid w:val="00D471CC"/>
    <w:rsid w:val="00D472F9"/>
    <w:rsid w:val="00D475F7"/>
    <w:rsid w:val="00D477E7"/>
    <w:rsid w:val="00D510F6"/>
    <w:rsid w:val="00D5698D"/>
    <w:rsid w:val="00D56BFD"/>
    <w:rsid w:val="00D6014E"/>
    <w:rsid w:val="00D60638"/>
    <w:rsid w:val="00D61E04"/>
    <w:rsid w:val="00D61FE9"/>
    <w:rsid w:val="00D63EA1"/>
    <w:rsid w:val="00D645CB"/>
    <w:rsid w:val="00D64EA4"/>
    <w:rsid w:val="00D664EA"/>
    <w:rsid w:val="00D6669C"/>
    <w:rsid w:val="00D66FDF"/>
    <w:rsid w:val="00D673C2"/>
    <w:rsid w:val="00D67CE7"/>
    <w:rsid w:val="00D71DC4"/>
    <w:rsid w:val="00D73517"/>
    <w:rsid w:val="00D73661"/>
    <w:rsid w:val="00D738E7"/>
    <w:rsid w:val="00D73987"/>
    <w:rsid w:val="00D74815"/>
    <w:rsid w:val="00D7708A"/>
    <w:rsid w:val="00D77C27"/>
    <w:rsid w:val="00D77D13"/>
    <w:rsid w:val="00D82969"/>
    <w:rsid w:val="00D82A20"/>
    <w:rsid w:val="00D82B11"/>
    <w:rsid w:val="00D83DAD"/>
    <w:rsid w:val="00D841DA"/>
    <w:rsid w:val="00D850A1"/>
    <w:rsid w:val="00D85BD9"/>
    <w:rsid w:val="00D85E35"/>
    <w:rsid w:val="00D86403"/>
    <w:rsid w:val="00D87CEE"/>
    <w:rsid w:val="00D90654"/>
    <w:rsid w:val="00D90D7B"/>
    <w:rsid w:val="00D914E0"/>
    <w:rsid w:val="00D916C4"/>
    <w:rsid w:val="00D9180F"/>
    <w:rsid w:val="00D93731"/>
    <w:rsid w:val="00D94F0C"/>
    <w:rsid w:val="00D951AF"/>
    <w:rsid w:val="00D96CD4"/>
    <w:rsid w:val="00D97B9A"/>
    <w:rsid w:val="00DA05B0"/>
    <w:rsid w:val="00DA0854"/>
    <w:rsid w:val="00DA13FD"/>
    <w:rsid w:val="00DA14D0"/>
    <w:rsid w:val="00DA2386"/>
    <w:rsid w:val="00DA30D1"/>
    <w:rsid w:val="00DA3880"/>
    <w:rsid w:val="00DA464C"/>
    <w:rsid w:val="00DA4E8A"/>
    <w:rsid w:val="00DA5D93"/>
    <w:rsid w:val="00DA70AF"/>
    <w:rsid w:val="00DA7E81"/>
    <w:rsid w:val="00DB0A4F"/>
    <w:rsid w:val="00DB0AAE"/>
    <w:rsid w:val="00DB19FB"/>
    <w:rsid w:val="00DB22B8"/>
    <w:rsid w:val="00DB2C52"/>
    <w:rsid w:val="00DB2DE0"/>
    <w:rsid w:val="00DB3D7F"/>
    <w:rsid w:val="00DB47DB"/>
    <w:rsid w:val="00DB4EA5"/>
    <w:rsid w:val="00DB4F9B"/>
    <w:rsid w:val="00DB5C00"/>
    <w:rsid w:val="00DB6533"/>
    <w:rsid w:val="00DB698C"/>
    <w:rsid w:val="00DB6A3F"/>
    <w:rsid w:val="00DB7D44"/>
    <w:rsid w:val="00DC02E7"/>
    <w:rsid w:val="00DC52B2"/>
    <w:rsid w:val="00DC572A"/>
    <w:rsid w:val="00DC5B8E"/>
    <w:rsid w:val="00DC6759"/>
    <w:rsid w:val="00DC7538"/>
    <w:rsid w:val="00DD02E4"/>
    <w:rsid w:val="00DD0CD5"/>
    <w:rsid w:val="00DD202D"/>
    <w:rsid w:val="00DD21B4"/>
    <w:rsid w:val="00DD23B7"/>
    <w:rsid w:val="00DD2668"/>
    <w:rsid w:val="00DD354F"/>
    <w:rsid w:val="00DD4182"/>
    <w:rsid w:val="00DD45B2"/>
    <w:rsid w:val="00DD50D7"/>
    <w:rsid w:val="00DD54D1"/>
    <w:rsid w:val="00DD55A4"/>
    <w:rsid w:val="00DD5C0F"/>
    <w:rsid w:val="00DD65D6"/>
    <w:rsid w:val="00DD6C55"/>
    <w:rsid w:val="00DD74A2"/>
    <w:rsid w:val="00DE07ED"/>
    <w:rsid w:val="00DE3489"/>
    <w:rsid w:val="00DE3A4F"/>
    <w:rsid w:val="00DE453A"/>
    <w:rsid w:val="00DE64A2"/>
    <w:rsid w:val="00DE6DE4"/>
    <w:rsid w:val="00DF02C2"/>
    <w:rsid w:val="00DF0443"/>
    <w:rsid w:val="00DF0CE4"/>
    <w:rsid w:val="00DF107C"/>
    <w:rsid w:val="00DF1093"/>
    <w:rsid w:val="00DF167E"/>
    <w:rsid w:val="00DF2C43"/>
    <w:rsid w:val="00DF2ED5"/>
    <w:rsid w:val="00DF37D0"/>
    <w:rsid w:val="00DF4978"/>
    <w:rsid w:val="00DF5852"/>
    <w:rsid w:val="00DF58FE"/>
    <w:rsid w:val="00DF5949"/>
    <w:rsid w:val="00DF6708"/>
    <w:rsid w:val="00DF6C80"/>
    <w:rsid w:val="00E006BF"/>
    <w:rsid w:val="00E00771"/>
    <w:rsid w:val="00E011D9"/>
    <w:rsid w:val="00E01612"/>
    <w:rsid w:val="00E02204"/>
    <w:rsid w:val="00E0247C"/>
    <w:rsid w:val="00E026C1"/>
    <w:rsid w:val="00E026D3"/>
    <w:rsid w:val="00E028FD"/>
    <w:rsid w:val="00E0490B"/>
    <w:rsid w:val="00E050E3"/>
    <w:rsid w:val="00E1278A"/>
    <w:rsid w:val="00E12CE6"/>
    <w:rsid w:val="00E12E9B"/>
    <w:rsid w:val="00E13312"/>
    <w:rsid w:val="00E13315"/>
    <w:rsid w:val="00E13947"/>
    <w:rsid w:val="00E13D76"/>
    <w:rsid w:val="00E143E7"/>
    <w:rsid w:val="00E14492"/>
    <w:rsid w:val="00E16A73"/>
    <w:rsid w:val="00E17A5A"/>
    <w:rsid w:val="00E2048E"/>
    <w:rsid w:val="00E20F29"/>
    <w:rsid w:val="00E21819"/>
    <w:rsid w:val="00E21A49"/>
    <w:rsid w:val="00E220D5"/>
    <w:rsid w:val="00E22309"/>
    <w:rsid w:val="00E225E3"/>
    <w:rsid w:val="00E22697"/>
    <w:rsid w:val="00E23AF2"/>
    <w:rsid w:val="00E23B19"/>
    <w:rsid w:val="00E23DBC"/>
    <w:rsid w:val="00E25F91"/>
    <w:rsid w:val="00E26433"/>
    <w:rsid w:val="00E26736"/>
    <w:rsid w:val="00E26816"/>
    <w:rsid w:val="00E27273"/>
    <w:rsid w:val="00E30CD1"/>
    <w:rsid w:val="00E30E4F"/>
    <w:rsid w:val="00E3112B"/>
    <w:rsid w:val="00E31C4C"/>
    <w:rsid w:val="00E31C9B"/>
    <w:rsid w:val="00E33BE6"/>
    <w:rsid w:val="00E33D20"/>
    <w:rsid w:val="00E34112"/>
    <w:rsid w:val="00E34F39"/>
    <w:rsid w:val="00E352B2"/>
    <w:rsid w:val="00E3543C"/>
    <w:rsid w:val="00E3587E"/>
    <w:rsid w:val="00E403D4"/>
    <w:rsid w:val="00E406BE"/>
    <w:rsid w:val="00E412EA"/>
    <w:rsid w:val="00E416AE"/>
    <w:rsid w:val="00E41C23"/>
    <w:rsid w:val="00E421F1"/>
    <w:rsid w:val="00E4228F"/>
    <w:rsid w:val="00E4232A"/>
    <w:rsid w:val="00E44F52"/>
    <w:rsid w:val="00E4728A"/>
    <w:rsid w:val="00E4731F"/>
    <w:rsid w:val="00E47892"/>
    <w:rsid w:val="00E47EA7"/>
    <w:rsid w:val="00E5018A"/>
    <w:rsid w:val="00E50B59"/>
    <w:rsid w:val="00E50B81"/>
    <w:rsid w:val="00E513C6"/>
    <w:rsid w:val="00E53A88"/>
    <w:rsid w:val="00E53EC1"/>
    <w:rsid w:val="00E53FBF"/>
    <w:rsid w:val="00E55349"/>
    <w:rsid w:val="00E55A21"/>
    <w:rsid w:val="00E55F40"/>
    <w:rsid w:val="00E56166"/>
    <w:rsid w:val="00E5741B"/>
    <w:rsid w:val="00E6076E"/>
    <w:rsid w:val="00E6206A"/>
    <w:rsid w:val="00E6267F"/>
    <w:rsid w:val="00E6278B"/>
    <w:rsid w:val="00E62FE9"/>
    <w:rsid w:val="00E63301"/>
    <w:rsid w:val="00E63C06"/>
    <w:rsid w:val="00E64AE0"/>
    <w:rsid w:val="00E667E0"/>
    <w:rsid w:val="00E70932"/>
    <w:rsid w:val="00E72762"/>
    <w:rsid w:val="00E73203"/>
    <w:rsid w:val="00E7395C"/>
    <w:rsid w:val="00E74725"/>
    <w:rsid w:val="00E74ACF"/>
    <w:rsid w:val="00E74AFE"/>
    <w:rsid w:val="00E757D7"/>
    <w:rsid w:val="00E75B92"/>
    <w:rsid w:val="00E7642D"/>
    <w:rsid w:val="00E76D65"/>
    <w:rsid w:val="00E801B5"/>
    <w:rsid w:val="00E803F8"/>
    <w:rsid w:val="00E80707"/>
    <w:rsid w:val="00E82012"/>
    <w:rsid w:val="00E82392"/>
    <w:rsid w:val="00E839CA"/>
    <w:rsid w:val="00E83C4D"/>
    <w:rsid w:val="00E83F2A"/>
    <w:rsid w:val="00E84A2D"/>
    <w:rsid w:val="00E84D66"/>
    <w:rsid w:val="00E85E7F"/>
    <w:rsid w:val="00E86E8E"/>
    <w:rsid w:val="00E86F77"/>
    <w:rsid w:val="00E87B98"/>
    <w:rsid w:val="00E908A1"/>
    <w:rsid w:val="00E90C77"/>
    <w:rsid w:val="00E91A28"/>
    <w:rsid w:val="00E91AAA"/>
    <w:rsid w:val="00E92FD9"/>
    <w:rsid w:val="00E94B19"/>
    <w:rsid w:val="00E94BF8"/>
    <w:rsid w:val="00E9579F"/>
    <w:rsid w:val="00E95AD3"/>
    <w:rsid w:val="00E97575"/>
    <w:rsid w:val="00EA0C61"/>
    <w:rsid w:val="00EA1C8C"/>
    <w:rsid w:val="00EA20C3"/>
    <w:rsid w:val="00EA358D"/>
    <w:rsid w:val="00EA3D94"/>
    <w:rsid w:val="00EA4CCA"/>
    <w:rsid w:val="00EA5C1C"/>
    <w:rsid w:val="00EA6C75"/>
    <w:rsid w:val="00EA729C"/>
    <w:rsid w:val="00EA77CD"/>
    <w:rsid w:val="00EA77FF"/>
    <w:rsid w:val="00EA7FDC"/>
    <w:rsid w:val="00EB1701"/>
    <w:rsid w:val="00EB1FAD"/>
    <w:rsid w:val="00EB265B"/>
    <w:rsid w:val="00EB278F"/>
    <w:rsid w:val="00EB5745"/>
    <w:rsid w:val="00EB61FA"/>
    <w:rsid w:val="00EC03B1"/>
    <w:rsid w:val="00EC0FF8"/>
    <w:rsid w:val="00EC14C4"/>
    <w:rsid w:val="00EC1560"/>
    <w:rsid w:val="00EC26C0"/>
    <w:rsid w:val="00EC2DDD"/>
    <w:rsid w:val="00EC336A"/>
    <w:rsid w:val="00EC4AAC"/>
    <w:rsid w:val="00EC5E9F"/>
    <w:rsid w:val="00EC5F92"/>
    <w:rsid w:val="00EC6238"/>
    <w:rsid w:val="00EC663F"/>
    <w:rsid w:val="00EC7AA3"/>
    <w:rsid w:val="00EC7CE2"/>
    <w:rsid w:val="00EC7E83"/>
    <w:rsid w:val="00ED0BE9"/>
    <w:rsid w:val="00ED0F05"/>
    <w:rsid w:val="00ED0FF9"/>
    <w:rsid w:val="00ED160D"/>
    <w:rsid w:val="00ED1D19"/>
    <w:rsid w:val="00ED1FC2"/>
    <w:rsid w:val="00ED28D6"/>
    <w:rsid w:val="00ED3568"/>
    <w:rsid w:val="00ED417C"/>
    <w:rsid w:val="00ED42DF"/>
    <w:rsid w:val="00ED4A23"/>
    <w:rsid w:val="00ED4D62"/>
    <w:rsid w:val="00ED5352"/>
    <w:rsid w:val="00ED53A2"/>
    <w:rsid w:val="00ED5586"/>
    <w:rsid w:val="00ED788E"/>
    <w:rsid w:val="00EE3B61"/>
    <w:rsid w:val="00EE4514"/>
    <w:rsid w:val="00EE45BF"/>
    <w:rsid w:val="00EE4E71"/>
    <w:rsid w:val="00EE6797"/>
    <w:rsid w:val="00EE6B65"/>
    <w:rsid w:val="00EE6BF1"/>
    <w:rsid w:val="00EE6FE7"/>
    <w:rsid w:val="00EE73D1"/>
    <w:rsid w:val="00EE76F5"/>
    <w:rsid w:val="00EE78FD"/>
    <w:rsid w:val="00EE7ECB"/>
    <w:rsid w:val="00EF1160"/>
    <w:rsid w:val="00EF1938"/>
    <w:rsid w:val="00EF20F9"/>
    <w:rsid w:val="00EF2E86"/>
    <w:rsid w:val="00EF3398"/>
    <w:rsid w:val="00EF4D62"/>
    <w:rsid w:val="00EF52E4"/>
    <w:rsid w:val="00EF5C7A"/>
    <w:rsid w:val="00EF667B"/>
    <w:rsid w:val="00F004D4"/>
    <w:rsid w:val="00F008C7"/>
    <w:rsid w:val="00F00D96"/>
    <w:rsid w:val="00F01D2E"/>
    <w:rsid w:val="00F032E0"/>
    <w:rsid w:val="00F0344F"/>
    <w:rsid w:val="00F04548"/>
    <w:rsid w:val="00F10281"/>
    <w:rsid w:val="00F10C4C"/>
    <w:rsid w:val="00F11C02"/>
    <w:rsid w:val="00F121FF"/>
    <w:rsid w:val="00F12229"/>
    <w:rsid w:val="00F14A0A"/>
    <w:rsid w:val="00F15156"/>
    <w:rsid w:val="00F16111"/>
    <w:rsid w:val="00F16401"/>
    <w:rsid w:val="00F169F2"/>
    <w:rsid w:val="00F17304"/>
    <w:rsid w:val="00F203D1"/>
    <w:rsid w:val="00F206A7"/>
    <w:rsid w:val="00F21211"/>
    <w:rsid w:val="00F218E6"/>
    <w:rsid w:val="00F233F8"/>
    <w:rsid w:val="00F2371B"/>
    <w:rsid w:val="00F23FA4"/>
    <w:rsid w:val="00F23FBC"/>
    <w:rsid w:val="00F24376"/>
    <w:rsid w:val="00F266FB"/>
    <w:rsid w:val="00F277D0"/>
    <w:rsid w:val="00F30634"/>
    <w:rsid w:val="00F32700"/>
    <w:rsid w:val="00F3487C"/>
    <w:rsid w:val="00F34995"/>
    <w:rsid w:val="00F34F66"/>
    <w:rsid w:val="00F36203"/>
    <w:rsid w:val="00F36793"/>
    <w:rsid w:val="00F36DDF"/>
    <w:rsid w:val="00F405FB"/>
    <w:rsid w:val="00F45237"/>
    <w:rsid w:val="00F454C5"/>
    <w:rsid w:val="00F45E2D"/>
    <w:rsid w:val="00F46AAD"/>
    <w:rsid w:val="00F46E92"/>
    <w:rsid w:val="00F47109"/>
    <w:rsid w:val="00F47ED7"/>
    <w:rsid w:val="00F47F1B"/>
    <w:rsid w:val="00F50DF6"/>
    <w:rsid w:val="00F535AD"/>
    <w:rsid w:val="00F54A58"/>
    <w:rsid w:val="00F56206"/>
    <w:rsid w:val="00F56BCA"/>
    <w:rsid w:val="00F57359"/>
    <w:rsid w:val="00F57FD9"/>
    <w:rsid w:val="00F60216"/>
    <w:rsid w:val="00F60471"/>
    <w:rsid w:val="00F60C8D"/>
    <w:rsid w:val="00F61182"/>
    <w:rsid w:val="00F61BFC"/>
    <w:rsid w:val="00F61C53"/>
    <w:rsid w:val="00F62287"/>
    <w:rsid w:val="00F63262"/>
    <w:rsid w:val="00F64218"/>
    <w:rsid w:val="00F647CB"/>
    <w:rsid w:val="00F65434"/>
    <w:rsid w:val="00F656D9"/>
    <w:rsid w:val="00F664E0"/>
    <w:rsid w:val="00F66E35"/>
    <w:rsid w:val="00F673AC"/>
    <w:rsid w:val="00F67A4C"/>
    <w:rsid w:val="00F67D0E"/>
    <w:rsid w:val="00F712CE"/>
    <w:rsid w:val="00F714B4"/>
    <w:rsid w:val="00F716F3"/>
    <w:rsid w:val="00F72151"/>
    <w:rsid w:val="00F72E84"/>
    <w:rsid w:val="00F7300E"/>
    <w:rsid w:val="00F735E6"/>
    <w:rsid w:val="00F73CC9"/>
    <w:rsid w:val="00F73DDE"/>
    <w:rsid w:val="00F73FA4"/>
    <w:rsid w:val="00F746A8"/>
    <w:rsid w:val="00F7494C"/>
    <w:rsid w:val="00F759DE"/>
    <w:rsid w:val="00F7617C"/>
    <w:rsid w:val="00F768BA"/>
    <w:rsid w:val="00F7759F"/>
    <w:rsid w:val="00F81246"/>
    <w:rsid w:val="00F81619"/>
    <w:rsid w:val="00F81AEF"/>
    <w:rsid w:val="00F83868"/>
    <w:rsid w:val="00F83B12"/>
    <w:rsid w:val="00F83E76"/>
    <w:rsid w:val="00F841AA"/>
    <w:rsid w:val="00F85E05"/>
    <w:rsid w:val="00F867E0"/>
    <w:rsid w:val="00F870CC"/>
    <w:rsid w:val="00F87753"/>
    <w:rsid w:val="00F87885"/>
    <w:rsid w:val="00F90320"/>
    <w:rsid w:val="00F9089B"/>
    <w:rsid w:val="00F91099"/>
    <w:rsid w:val="00F91441"/>
    <w:rsid w:val="00F91963"/>
    <w:rsid w:val="00F91F55"/>
    <w:rsid w:val="00F92487"/>
    <w:rsid w:val="00F92A2C"/>
    <w:rsid w:val="00F93A86"/>
    <w:rsid w:val="00F940CD"/>
    <w:rsid w:val="00F94939"/>
    <w:rsid w:val="00F95955"/>
    <w:rsid w:val="00F9651A"/>
    <w:rsid w:val="00F96BE7"/>
    <w:rsid w:val="00F97271"/>
    <w:rsid w:val="00F97A79"/>
    <w:rsid w:val="00FA01B2"/>
    <w:rsid w:val="00FA0650"/>
    <w:rsid w:val="00FA0E1D"/>
    <w:rsid w:val="00FA48EF"/>
    <w:rsid w:val="00FA5532"/>
    <w:rsid w:val="00FA5A35"/>
    <w:rsid w:val="00FA6AE1"/>
    <w:rsid w:val="00FA76B3"/>
    <w:rsid w:val="00FB06DD"/>
    <w:rsid w:val="00FB0E1F"/>
    <w:rsid w:val="00FB1325"/>
    <w:rsid w:val="00FB14CC"/>
    <w:rsid w:val="00FB1D1E"/>
    <w:rsid w:val="00FB31EE"/>
    <w:rsid w:val="00FB48BF"/>
    <w:rsid w:val="00FB4A44"/>
    <w:rsid w:val="00FB4B9C"/>
    <w:rsid w:val="00FB5CA7"/>
    <w:rsid w:val="00FB5FA5"/>
    <w:rsid w:val="00FC0BB5"/>
    <w:rsid w:val="00FC39C7"/>
    <w:rsid w:val="00FC43AE"/>
    <w:rsid w:val="00FC51CF"/>
    <w:rsid w:val="00FC5EA8"/>
    <w:rsid w:val="00FD183E"/>
    <w:rsid w:val="00FD1DAA"/>
    <w:rsid w:val="00FD4626"/>
    <w:rsid w:val="00FD4720"/>
    <w:rsid w:val="00FD4CA4"/>
    <w:rsid w:val="00FD54C9"/>
    <w:rsid w:val="00FD5715"/>
    <w:rsid w:val="00FD5747"/>
    <w:rsid w:val="00FD5E91"/>
    <w:rsid w:val="00FD5FCA"/>
    <w:rsid w:val="00FD63E2"/>
    <w:rsid w:val="00FD652D"/>
    <w:rsid w:val="00FD7027"/>
    <w:rsid w:val="00FD781E"/>
    <w:rsid w:val="00FD79C8"/>
    <w:rsid w:val="00FD7A02"/>
    <w:rsid w:val="00FE01A7"/>
    <w:rsid w:val="00FE0B51"/>
    <w:rsid w:val="00FE1780"/>
    <w:rsid w:val="00FE24A5"/>
    <w:rsid w:val="00FE2CEF"/>
    <w:rsid w:val="00FE51C0"/>
    <w:rsid w:val="00FE5AB1"/>
    <w:rsid w:val="00FE7769"/>
    <w:rsid w:val="00FE7B64"/>
    <w:rsid w:val="00FE7D90"/>
    <w:rsid w:val="00FF1EC6"/>
    <w:rsid w:val="00FF2C8D"/>
    <w:rsid w:val="00FF32A9"/>
    <w:rsid w:val="00FF43C6"/>
    <w:rsid w:val="00FF49F0"/>
    <w:rsid w:val="00FF7774"/>
    <w:rsid w:val="00FF7A7E"/>
    <w:rsid w:val="012C3069"/>
    <w:rsid w:val="017A4914"/>
    <w:rsid w:val="017A6B99"/>
    <w:rsid w:val="01B56BB7"/>
    <w:rsid w:val="01D37272"/>
    <w:rsid w:val="01F82835"/>
    <w:rsid w:val="01F959FD"/>
    <w:rsid w:val="02691A6A"/>
    <w:rsid w:val="02702D13"/>
    <w:rsid w:val="02813BE4"/>
    <w:rsid w:val="02EE6D81"/>
    <w:rsid w:val="02F92D08"/>
    <w:rsid w:val="03227026"/>
    <w:rsid w:val="037920C9"/>
    <w:rsid w:val="03896172"/>
    <w:rsid w:val="039D4F3C"/>
    <w:rsid w:val="03CF3D75"/>
    <w:rsid w:val="04255C85"/>
    <w:rsid w:val="04571F8F"/>
    <w:rsid w:val="04CE1CB1"/>
    <w:rsid w:val="04FA57C1"/>
    <w:rsid w:val="056E462D"/>
    <w:rsid w:val="0587001A"/>
    <w:rsid w:val="06371796"/>
    <w:rsid w:val="068C293B"/>
    <w:rsid w:val="06D25D4A"/>
    <w:rsid w:val="071D4AEC"/>
    <w:rsid w:val="075E2A06"/>
    <w:rsid w:val="0777598F"/>
    <w:rsid w:val="07D9187C"/>
    <w:rsid w:val="07D977C5"/>
    <w:rsid w:val="07E653B4"/>
    <w:rsid w:val="08062F20"/>
    <w:rsid w:val="08272CB2"/>
    <w:rsid w:val="086A5B0F"/>
    <w:rsid w:val="08C97978"/>
    <w:rsid w:val="090D131F"/>
    <w:rsid w:val="096D3B08"/>
    <w:rsid w:val="0A2A760E"/>
    <w:rsid w:val="0A5A791B"/>
    <w:rsid w:val="0ADF4308"/>
    <w:rsid w:val="0B051E6A"/>
    <w:rsid w:val="0B1D50BA"/>
    <w:rsid w:val="0B3643CE"/>
    <w:rsid w:val="0B57681E"/>
    <w:rsid w:val="0B9A61E3"/>
    <w:rsid w:val="0B9F50FC"/>
    <w:rsid w:val="0BBE6493"/>
    <w:rsid w:val="0C3B1975"/>
    <w:rsid w:val="0C7005B1"/>
    <w:rsid w:val="0C981AC4"/>
    <w:rsid w:val="0D05794F"/>
    <w:rsid w:val="0D06452F"/>
    <w:rsid w:val="0D8B1103"/>
    <w:rsid w:val="0DAB2E51"/>
    <w:rsid w:val="0E8F62CF"/>
    <w:rsid w:val="0EA26052"/>
    <w:rsid w:val="0EFB2815"/>
    <w:rsid w:val="0F127FA2"/>
    <w:rsid w:val="0F26585B"/>
    <w:rsid w:val="0F2C6214"/>
    <w:rsid w:val="0F8E595A"/>
    <w:rsid w:val="0FFB6610"/>
    <w:rsid w:val="10001ADF"/>
    <w:rsid w:val="10B71B0D"/>
    <w:rsid w:val="10F62635"/>
    <w:rsid w:val="11555F29"/>
    <w:rsid w:val="11B44D85"/>
    <w:rsid w:val="11E26751"/>
    <w:rsid w:val="12403B60"/>
    <w:rsid w:val="1285358C"/>
    <w:rsid w:val="12BB3B36"/>
    <w:rsid w:val="12E11118"/>
    <w:rsid w:val="131A3A72"/>
    <w:rsid w:val="131C6F68"/>
    <w:rsid w:val="137F4DD8"/>
    <w:rsid w:val="13966A26"/>
    <w:rsid w:val="13E24B70"/>
    <w:rsid w:val="14164D9C"/>
    <w:rsid w:val="14226CE6"/>
    <w:rsid w:val="143A4F2F"/>
    <w:rsid w:val="145F42FA"/>
    <w:rsid w:val="149E54BE"/>
    <w:rsid w:val="14C5263F"/>
    <w:rsid w:val="14D56E0B"/>
    <w:rsid w:val="15337B56"/>
    <w:rsid w:val="15787ABD"/>
    <w:rsid w:val="15B36D47"/>
    <w:rsid w:val="15E81623"/>
    <w:rsid w:val="15F80BFE"/>
    <w:rsid w:val="16254A2F"/>
    <w:rsid w:val="163F2E74"/>
    <w:rsid w:val="167A1BEE"/>
    <w:rsid w:val="16AD44AA"/>
    <w:rsid w:val="16B234A2"/>
    <w:rsid w:val="170B4961"/>
    <w:rsid w:val="176208A9"/>
    <w:rsid w:val="18330F7E"/>
    <w:rsid w:val="186F0C49"/>
    <w:rsid w:val="186F14D3"/>
    <w:rsid w:val="18AD0F2F"/>
    <w:rsid w:val="190A3122"/>
    <w:rsid w:val="1A0062D3"/>
    <w:rsid w:val="1A2D65F9"/>
    <w:rsid w:val="1A743D11"/>
    <w:rsid w:val="1AB53A83"/>
    <w:rsid w:val="1B147757"/>
    <w:rsid w:val="1B1F09DB"/>
    <w:rsid w:val="1B29773E"/>
    <w:rsid w:val="1B8E652C"/>
    <w:rsid w:val="1C107AF5"/>
    <w:rsid w:val="1C224C26"/>
    <w:rsid w:val="1C306812"/>
    <w:rsid w:val="1C4D7F6B"/>
    <w:rsid w:val="1C827473"/>
    <w:rsid w:val="1C84143D"/>
    <w:rsid w:val="1CB82E95"/>
    <w:rsid w:val="1CBA1211"/>
    <w:rsid w:val="1CFD4D4B"/>
    <w:rsid w:val="1CFE69B3"/>
    <w:rsid w:val="1D4D061F"/>
    <w:rsid w:val="1D967500"/>
    <w:rsid w:val="1DDB5CE6"/>
    <w:rsid w:val="1DFE7C1A"/>
    <w:rsid w:val="1E58492F"/>
    <w:rsid w:val="1E5E5132"/>
    <w:rsid w:val="1E727405"/>
    <w:rsid w:val="1E8E2043"/>
    <w:rsid w:val="1F1067AC"/>
    <w:rsid w:val="1F1A7E37"/>
    <w:rsid w:val="1F344BAE"/>
    <w:rsid w:val="1F36528B"/>
    <w:rsid w:val="1F445962"/>
    <w:rsid w:val="1F5465C4"/>
    <w:rsid w:val="1F6D61B8"/>
    <w:rsid w:val="1FD618C6"/>
    <w:rsid w:val="2002696D"/>
    <w:rsid w:val="20A86338"/>
    <w:rsid w:val="20DB3E3C"/>
    <w:rsid w:val="20E97AC1"/>
    <w:rsid w:val="20F14BC7"/>
    <w:rsid w:val="219D0E63"/>
    <w:rsid w:val="21D75573"/>
    <w:rsid w:val="21F93D33"/>
    <w:rsid w:val="220459F0"/>
    <w:rsid w:val="2223375B"/>
    <w:rsid w:val="22521696"/>
    <w:rsid w:val="228E46B3"/>
    <w:rsid w:val="22EE13BE"/>
    <w:rsid w:val="23370443"/>
    <w:rsid w:val="235A7969"/>
    <w:rsid w:val="23931F66"/>
    <w:rsid w:val="24A94030"/>
    <w:rsid w:val="259A1A4D"/>
    <w:rsid w:val="25A12A6D"/>
    <w:rsid w:val="25B45DFF"/>
    <w:rsid w:val="25D72DB2"/>
    <w:rsid w:val="25E6702F"/>
    <w:rsid w:val="261970A8"/>
    <w:rsid w:val="262B6708"/>
    <w:rsid w:val="26345C82"/>
    <w:rsid w:val="26591245"/>
    <w:rsid w:val="265C2847"/>
    <w:rsid w:val="265F2D43"/>
    <w:rsid w:val="266D2DC9"/>
    <w:rsid w:val="267267AA"/>
    <w:rsid w:val="26982D38"/>
    <w:rsid w:val="2786250D"/>
    <w:rsid w:val="27910EB2"/>
    <w:rsid w:val="27B72E8D"/>
    <w:rsid w:val="28252BE3"/>
    <w:rsid w:val="2844214C"/>
    <w:rsid w:val="28AB4052"/>
    <w:rsid w:val="28BD4D74"/>
    <w:rsid w:val="29082466"/>
    <w:rsid w:val="29127DD1"/>
    <w:rsid w:val="294E6BEB"/>
    <w:rsid w:val="296B6C14"/>
    <w:rsid w:val="296D357B"/>
    <w:rsid w:val="29791CCE"/>
    <w:rsid w:val="29B656CD"/>
    <w:rsid w:val="29F034B9"/>
    <w:rsid w:val="2A0E67EA"/>
    <w:rsid w:val="2A373E07"/>
    <w:rsid w:val="2A646A64"/>
    <w:rsid w:val="2A816FBC"/>
    <w:rsid w:val="2A8645D2"/>
    <w:rsid w:val="2AA3583A"/>
    <w:rsid w:val="2AB75D0E"/>
    <w:rsid w:val="2B395AE8"/>
    <w:rsid w:val="2C2E6F4A"/>
    <w:rsid w:val="2C5D75B5"/>
    <w:rsid w:val="2CBB10EC"/>
    <w:rsid w:val="2CC211FD"/>
    <w:rsid w:val="2D363454"/>
    <w:rsid w:val="2D5859C2"/>
    <w:rsid w:val="2D596622"/>
    <w:rsid w:val="2D621398"/>
    <w:rsid w:val="2D7B4415"/>
    <w:rsid w:val="2E232CA5"/>
    <w:rsid w:val="2E254E3A"/>
    <w:rsid w:val="2E3B49A1"/>
    <w:rsid w:val="2EA7602B"/>
    <w:rsid w:val="2F1200C0"/>
    <w:rsid w:val="2F28119F"/>
    <w:rsid w:val="2F67606A"/>
    <w:rsid w:val="2F6B53D3"/>
    <w:rsid w:val="2F703D4D"/>
    <w:rsid w:val="2F93612B"/>
    <w:rsid w:val="2FC07A03"/>
    <w:rsid w:val="30263C22"/>
    <w:rsid w:val="30275F10"/>
    <w:rsid w:val="309B06AC"/>
    <w:rsid w:val="30CC4846"/>
    <w:rsid w:val="313B1FEF"/>
    <w:rsid w:val="315C3A11"/>
    <w:rsid w:val="3164280A"/>
    <w:rsid w:val="318D7F55"/>
    <w:rsid w:val="31A735CA"/>
    <w:rsid w:val="31D00A9B"/>
    <w:rsid w:val="322F2BD8"/>
    <w:rsid w:val="32305A2C"/>
    <w:rsid w:val="329830F5"/>
    <w:rsid w:val="32C035CE"/>
    <w:rsid w:val="32FA4FA3"/>
    <w:rsid w:val="32FD042C"/>
    <w:rsid w:val="32FD1773"/>
    <w:rsid w:val="33114C55"/>
    <w:rsid w:val="331942F4"/>
    <w:rsid w:val="331F4491"/>
    <w:rsid w:val="3341553A"/>
    <w:rsid w:val="33707845"/>
    <w:rsid w:val="33EA5916"/>
    <w:rsid w:val="34024590"/>
    <w:rsid w:val="34673FBA"/>
    <w:rsid w:val="349925D1"/>
    <w:rsid w:val="34D2071B"/>
    <w:rsid w:val="3518029D"/>
    <w:rsid w:val="352B64A2"/>
    <w:rsid w:val="35300DF6"/>
    <w:rsid w:val="355A712A"/>
    <w:rsid w:val="359E47E6"/>
    <w:rsid w:val="36BD75CE"/>
    <w:rsid w:val="3710594F"/>
    <w:rsid w:val="374F3A25"/>
    <w:rsid w:val="37732382"/>
    <w:rsid w:val="37836A18"/>
    <w:rsid w:val="37E312B6"/>
    <w:rsid w:val="37F039D3"/>
    <w:rsid w:val="380B6F59"/>
    <w:rsid w:val="382F62A9"/>
    <w:rsid w:val="38591578"/>
    <w:rsid w:val="38B56D91"/>
    <w:rsid w:val="390A4E85"/>
    <w:rsid w:val="395808A9"/>
    <w:rsid w:val="39D72754"/>
    <w:rsid w:val="39FA3E05"/>
    <w:rsid w:val="3A056ACA"/>
    <w:rsid w:val="3A3A3C67"/>
    <w:rsid w:val="3A5B5E87"/>
    <w:rsid w:val="3AA30140"/>
    <w:rsid w:val="3AB94861"/>
    <w:rsid w:val="3AF745D3"/>
    <w:rsid w:val="3B494A65"/>
    <w:rsid w:val="3BB84753"/>
    <w:rsid w:val="3BC43386"/>
    <w:rsid w:val="3BE5385B"/>
    <w:rsid w:val="3BEA4D3B"/>
    <w:rsid w:val="3C3C52B5"/>
    <w:rsid w:val="3C7F58D0"/>
    <w:rsid w:val="3CB11983"/>
    <w:rsid w:val="3CCA6993"/>
    <w:rsid w:val="3CF60293"/>
    <w:rsid w:val="3CFF2D2C"/>
    <w:rsid w:val="3D3028D6"/>
    <w:rsid w:val="3D696368"/>
    <w:rsid w:val="3D6F788E"/>
    <w:rsid w:val="3D776A30"/>
    <w:rsid w:val="3DC079A3"/>
    <w:rsid w:val="3DE6740A"/>
    <w:rsid w:val="3E25633F"/>
    <w:rsid w:val="3E686071"/>
    <w:rsid w:val="3EA80B63"/>
    <w:rsid w:val="3ED01E68"/>
    <w:rsid w:val="3F4E45F5"/>
    <w:rsid w:val="3FDB7A0D"/>
    <w:rsid w:val="40B23EEC"/>
    <w:rsid w:val="40BE13EC"/>
    <w:rsid w:val="40D453E3"/>
    <w:rsid w:val="40F462E2"/>
    <w:rsid w:val="415E7BFF"/>
    <w:rsid w:val="41766310"/>
    <w:rsid w:val="41835A80"/>
    <w:rsid w:val="42062E54"/>
    <w:rsid w:val="42070F19"/>
    <w:rsid w:val="422A02B8"/>
    <w:rsid w:val="4240567D"/>
    <w:rsid w:val="429A651D"/>
    <w:rsid w:val="42C7597A"/>
    <w:rsid w:val="433927A3"/>
    <w:rsid w:val="439073D4"/>
    <w:rsid w:val="43B23CC8"/>
    <w:rsid w:val="442E1B0B"/>
    <w:rsid w:val="44A13060"/>
    <w:rsid w:val="44A1408B"/>
    <w:rsid w:val="44EE6AAE"/>
    <w:rsid w:val="45576E3F"/>
    <w:rsid w:val="457C563C"/>
    <w:rsid w:val="45A7579D"/>
    <w:rsid w:val="4649105F"/>
    <w:rsid w:val="468945C4"/>
    <w:rsid w:val="46A2058E"/>
    <w:rsid w:val="46B71DD9"/>
    <w:rsid w:val="46C73B51"/>
    <w:rsid w:val="471634EF"/>
    <w:rsid w:val="477F5D15"/>
    <w:rsid w:val="478E5E5B"/>
    <w:rsid w:val="47AD1731"/>
    <w:rsid w:val="47B82745"/>
    <w:rsid w:val="47F15329"/>
    <w:rsid w:val="48003367"/>
    <w:rsid w:val="482D2959"/>
    <w:rsid w:val="483671E0"/>
    <w:rsid w:val="48FB5D34"/>
    <w:rsid w:val="496164DE"/>
    <w:rsid w:val="498521CD"/>
    <w:rsid w:val="499C7517"/>
    <w:rsid w:val="4A301A0D"/>
    <w:rsid w:val="4A503A4D"/>
    <w:rsid w:val="4A5A69D6"/>
    <w:rsid w:val="4AA0085C"/>
    <w:rsid w:val="4AED7781"/>
    <w:rsid w:val="4B386908"/>
    <w:rsid w:val="4B9C1A50"/>
    <w:rsid w:val="4BC114B6"/>
    <w:rsid w:val="4BC62629"/>
    <w:rsid w:val="4BC66911"/>
    <w:rsid w:val="4C742085"/>
    <w:rsid w:val="4C926136"/>
    <w:rsid w:val="4CAA71F0"/>
    <w:rsid w:val="4CE06773"/>
    <w:rsid w:val="4D572B22"/>
    <w:rsid w:val="4D7311B2"/>
    <w:rsid w:val="4E460F5A"/>
    <w:rsid w:val="4ED55B51"/>
    <w:rsid w:val="4F064F22"/>
    <w:rsid w:val="4F0D76AD"/>
    <w:rsid w:val="4FC31BB1"/>
    <w:rsid w:val="4FC75412"/>
    <w:rsid w:val="4FDC6145"/>
    <w:rsid w:val="4FE63299"/>
    <w:rsid w:val="502B02F9"/>
    <w:rsid w:val="506C0F51"/>
    <w:rsid w:val="508A58C1"/>
    <w:rsid w:val="50D37CC2"/>
    <w:rsid w:val="50E43195"/>
    <w:rsid w:val="515B7CB7"/>
    <w:rsid w:val="51A927D1"/>
    <w:rsid w:val="51D92B35"/>
    <w:rsid w:val="52701DA3"/>
    <w:rsid w:val="527A279A"/>
    <w:rsid w:val="527E1EAF"/>
    <w:rsid w:val="52A82D82"/>
    <w:rsid w:val="52F7005F"/>
    <w:rsid w:val="533267F6"/>
    <w:rsid w:val="536F6650"/>
    <w:rsid w:val="53807561"/>
    <w:rsid w:val="53D20576"/>
    <w:rsid w:val="53E2646E"/>
    <w:rsid w:val="53E47AF0"/>
    <w:rsid w:val="53EE6BC1"/>
    <w:rsid w:val="53FA1825"/>
    <w:rsid w:val="54041F40"/>
    <w:rsid w:val="541C1980"/>
    <w:rsid w:val="54216B80"/>
    <w:rsid w:val="542958D0"/>
    <w:rsid w:val="5455186B"/>
    <w:rsid w:val="54CE7B97"/>
    <w:rsid w:val="5523289A"/>
    <w:rsid w:val="55381ED8"/>
    <w:rsid w:val="55A35789"/>
    <w:rsid w:val="55E24503"/>
    <w:rsid w:val="55EC35D4"/>
    <w:rsid w:val="5616609F"/>
    <w:rsid w:val="561F6C9A"/>
    <w:rsid w:val="563071F4"/>
    <w:rsid w:val="56560343"/>
    <w:rsid w:val="56576C9F"/>
    <w:rsid w:val="56677D4E"/>
    <w:rsid w:val="56BB64C5"/>
    <w:rsid w:val="5755384A"/>
    <w:rsid w:val="575F3311"/>
    <w:rsid w:val="57C541D3"/>
    <w:rsid w:val="57F95B34"/>
    <w:rsid w:val="581C633A"/>
    <w:rsid w:val="583118B4"/>
    <w:rsid w:val="58424ED2"/>
    <w:rsid w:val="58587659"/>
    <w:rsid w:val="586B343A"/>
    <w:rsid w:val="586E02D0"/>
    <w:rsid w:val="58964B4C"/>
    <w:rsid w:val="58EF1859"/>
    <w:rsid w:val="597E5C23"/>
    <w:rsid w:val="59E03A7A"/>
    <w:rsid w:val="5A7445FC"/>
    <w:rsid w:val="5AAC05DB"/>
    <w:rsid w:val="5B2D0BB2"/>
    <w:rsid w:val="5B412F0F"/>
    <w:rsid w:val="5B647768"/>
    <w:rsid w:val="5BA16F7A"/>
    <w:rsid w:val="5BB842E9"/>
    <w:rsid w:val="5BE251E0"/>
    <w:rsid w:val="5C3E5661"/>
    <w:rsid w:val="5CA9047F"/>
    <w:rsid w:val="5CF54B1C"/>
    <w:rsid w:val="5D0D6A62"/>
    <w:rsid w:val="5D5B7195"/>
    <w:rsid w:val="5D611BCA"/>
    <w:rsid w:val="5E231D6D"/>
    <w:rsid w:val="5E2D6537"/>
    <w:rsid w:val="5E4F0B33"/>
    <w:rsid w:val="5E6B2A1F"/>
    <w:rsid w:val="5EF236E4"/>
    <w:rsid w:val="5F141327"/>
    <w:rsid w:val="5F27742B"/>
    <w:rsid w:val="5F4D55B4"/>
    <w:rsid w:val="5FA42829"/>
    <w:rsid w:val="5FBF16D5"/>
    <w:rsid w:val="5FD0262E"/>
    <w:rsid w:val="609F60CD"/>
    <w:rsid w:val="61467485"/>
    <w:rsid w:val="61610110"/>
    <w:rsid w:val="61717CD3"/>
    <w:rsid w:val="61E63838"/>
    <w:rsid w:val="62392916"/>
    <w:rsid w:val="62462F7A"/>
    <w:rsid w:val="625D7F64"/>
    <w:rsid w:val="62B25553"/>
    <w:rsid w:val="62DC1CDC"/>
    <w:rsid w:val="632E6FDA"/>
    <w:rsid w:val="63422A85"/>
    <w:rsid w:val="63641504"/>
    <w:rsid w:val="6377539F"/>
    <w:rsid w:val="63BA177C"/>
    <w:rsid w:val="63C73D69"/>
    <w:rsid w:val="63FE281D"/>
    <w:rsid w:val="64267CB1"/>
    <w:rsid w:val="644C7DC9"/>
    <w:rsid w:val="653D4544"/>
    <w:rsid w:val="667E4200"/>
    <w:rsid w:val="66905290"/>
    <w:rsid w:val="672F6913"/>
    <w:rsid w:val="678168A7"/>
    <w:rsid w:val="67BE384A"/>
    <w:rsid w:val="68093B71"/>
    <w:rsid w:val="685D012E"/>
    <w:rsid w:val="68AB14B7"/>
    <w:rsid w:val="68AF7D58"/>
    <w:rsid w:val="68B94BF4"/>
    <w:rsid w:val="68CE7CA4"/>
    <w:rsid w:val="690F234A"/>
    <w:rsid w:val="6945200C"/>
    <w:rsid w:val="695A0B28"/>
    <w:rsid w:val="6967673E"/>
    <w:rsid w:val="69B53FB1"/>
    <w:rsid w:val="6A470981"/>
    <w:rsid w:val="6A857C87"/>
    <w:rsid w:val="6AD9782B"/>
    <w:rsid w:val="6AE306AA"/>
    <w:rsid w:val="6B747BE4"/>
    <w:rsid w:val="6C7A6F81"/>
    <w:rsid w:val="6CBA4151"/>
    <w:rsid w:val="6D526EEE"/>
    <w:rsid w:val="6D8E5C9D"/>
    <w:rsid w:val="6D9B332A"/>
    <w:rsid w:val="6DC347C2"/>
    <w:rsid w:val="6E265BB1"/>
    <w:rsid w:val="6ECB24F8"/>
    <w:rsid w:val="6F621190"/>
    <w:rsid w:val="6F946EE3"/>
    <w:rsid w:val="705E0E84"/>
    <w:rsid w:val="70633AD1"/>
    <w:rsid w:val="70746E68"/>
    <w:rsid w:val="70E05EF0"/>
    <w:rsid w:val="70F02C80"/>
    <w:rsid w:val="717F2B17"/>
    <w:rsid w:val="71B12624"/>
    <w:rsid w:val="7235134C"/>
    <w:rsid w:val="725C1EBB"/>
    <w:rsid w:val="72A710CA"/>
    <w:rsid w:val="72E01973"/>
    <w:rsid w:val="72FF004B"/>
    <w:rsid w:val="730D0C7F"/>
    <w:rsid w:val="732F3B04"/>
    <w:rsid w:val="73614861"/>
    <w:rsid w:val="736377CF"/>
    <w:rsid w:val="736D0D51"/>
    <w:rsid w:val="741C203C"/>
    <w:rsid w:val="742207FC"/>
    <w:rsid w:val="742931CE"/>
    <w:rsid w:val="749F7D5A"/>
    <w:rsid w:val="74C61F0A"/>
    <w:rsid w:val="74E859DA"/>
    <w:rsid w:val="74EB7469"/>
    <w:rsid w:val="750029C5"/>
    <w:rsid w:val="75292BE2"/>
    <w:rsid w:val="753D2261"/>
    <w:rsid w:val="75752846"/>
    <w:rsid w:val="75AF0F7C"/>
    <w:rsid w:val="767A5837"/>
    <w:rsid w:val="76BA0E58"/>
    <w:rsid w:val="772938E8"/>
    <w:rsid w:val="773C19FE"/>
    <w:rsid w:val="774E6DB2"/>
    <w:rsid w:val="775D0AA1"/>
    <w:rsid w:val="77B021B5"/>
    <w:rsid w:val="77D711FF"/>
    <w:rsid w:val="78144598"/>
    <w:rsid w:val="7879418F"/>
    <w:rsid w:val="78B2375E"/>
    <w:rsid w:val="78DB6E64"/>
    <w:rsid w:val="78F94974"/>
    <w:rsid w:val="792C5912"/>
    <w:rsid w:val="79836996"/>
    <w:rsid w:val="79852114"/>
    <w:rsid w:val="799E0B3B"/>
    <w:rsid w:val="79D73ACF"/>
    <w:rsid w:val="79E461EC"/>
    <w:rsid w:val="79F20909"/>
    <w:rsid w:val="79F97F36"/>
    <w:rsid w:val="7A081B15"/>
    <w:rsid w:val="7A255326"/>
    <w:rsid w:val="7A3C1B84"/>
    <w:rsid w:val="7A553489"/>
    <w:rsid w:val="7A8A05F8"/>
    <w:rsid w:val="7AB112A4"/>
    <w:rsid w:val="7B9B52B6"/>
    <w:rsid w:val="7BE20BD0"/>
    <w:rsid w:val="7C904F3D"/>
    <w:rsid w:val="7C914409"/>
    <w:rsid w:val="7CB14101"/>
    <w:rsid w:val="7CB65C1E"/>
    <w:rsid w:val="7D1F52F8"/>
    <w:rsid w:val="7D2309D4"/>
    <w:rsid w:val="7D7004C3"/>
    <w:rsid w:val="7D722095"/>
    <w:rsid w:val="7D891DAD"/>
    <w:rsid w:val="7DB3059D"/>
    <w:rsid w:val="7E20235B"/>
    <w:rsid w:val="7E39417D"/>
    <w:rsid w:val="7E5C48EF"/>
    <w:rsid w:val="7E6C2A49"/>
    <w:rsid w:val="7EA72608"/>
    <w:rsid w:val="7EAB6060"/>
    <w:rsid w:val="7F0747C8"/>
    <w:rsid w:val="7F0D388D"/>
    <w:rsid w:val="7F461352"/>
    <w:rsid w:val="7F4E563C"/>
    <w:rsid w:val="7F6B2BC0"/>
    <w:rsid w:val="7FB14DC3"/>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9">
    <w:name w:val="Default Paragraph Font"/>
    <w:qFormat/>
    <w:uiPriority w:val="0"/>
    <w:rPr>
      <w:rFonts w:ascii="Times New Roman" w:hAnsi="Times New Roman" w:eastAsia="宋体" w:cs="Times New Roman"/>
    </w:rPr>
  </w:style>
  <w:style w:type="table" w:default="1" w:styleId="2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toa heading"/>
    <w:basedOn w:val="1"/>
    <w:next w:val="1"/>
    <w:qFormat/>
    <w:uiPriority w:val="99"/>
    <w:pPr>
      <w:spacing w:before="120"/>
    </w:pPr>
    <w:rPr>
      <w:rFonts w:ascii="Arial" w:hAnsi="Arial"/>
      <w:sz w:val="24"/>
      <w:szCs w:val="20"/>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jc w:val="center"/>
    </w:pPr>
    <w:rPr>
      <w:rFonts w:ascii="Times New Roman" w:hAnsi="Times New Roman" w:eastAsia="宋体" w:cs="Times New Roman"/>
      <w:b/>
      <w:bCs/>
      <w:sz w:val="44"/>
      <w:szCs w:val="20"/>
    </w:rPr>
  </w:style>
  <w:style w:type="paragraph" w:styleId="10">
    <w:name w:val="Body Text Indent"/>
    <w:basedOn w:val="1"/>
    <w:next w:val="11"/>
    <w:qFormat/>
    <w:uiPriority w:val="0"/>
    <w:pPr>
      <w:spacing w:line="500" w:lineRule="exact"/>
      <w:ind w:firstLine="538"/>
    </w:pPr>
    <w:rPr>
      <w:rFonts w:ascii="Times New Roman" w:hAnsi="Times New Roman" w:eastAsia="宋体" w:cs="Times New Roman"/>
      <w:sz w:val="28"/>
    </w:rPr>
  </w:style>
  <w:style w:type="paragraph" w:styleId="11">
    <w:name w:val="envelope return"/>
    <w:basedOn w:val="1"/>
    <w:next w:val="6"/>
    <w:qFormat/>
    <w:uiPriority w:val="0"/>
    <w:pPr>
      <w:snapToGrid w:val="0"/>
    </w:pPr>
    <w:rPr>
      <w:rFonts w:ascii="Arial" w:hAnsi="Arial" w:eastAsia="宋体" w:cs="Times New Roman"/>
    </w:rPr>
  </w:style>
  <w:style w:type="paragraph" w:styleId="12">
    <w:name w:val="Block Text"/>
    <w:basedOn w:val="1"/>
    <w:qFormat/>
    <w:uiPriority w:val="0"/>
    <w:pPr>
      <w:spacing w:line="400" w:lineRule="exact"/>
      <w:ind w:left="-359" w:leftChars="-171" w:right="31" w:rightChars="15" w:firstLine="980" w:firstLineChars="350"/>
    </w:pPr>
    <w:rPr>
      <w:rFonts w:ascii="宋体" w:hAnsi="宋体" w:eastAsia="宋体" w:cs="Times New Roman"/>
      <w:sz w:val="28"/>
      <w:szCs w:val="32"/>
    </w:rPr>
  </w:style>
  <w:style w:type="paragraph" w:styleId="13">
    <w:name w:val="index 4"/>
    <w:basedOn w:val="1"/>
    <w:next w:val="1"/>
    <w:qFormat/>
    <w:uiPriority w:val="0"/>
    <w:pPr>
      <w:ind w:left="600" w:leftChars="600"/>
    </w:pPr>
  </w:style>
  <w:style w:type="paragraph" w:styleId="14">
    <w:name w:val="Plain Text"/>
    <w:basedOn w:val="1"/>
    <w:next w:val="1"/>
    <w:qFormat/>
    <w:uiPriority w:val="0"/>
    <w:rPr>
      <w:rFonts w:ascii="宋体"/>
      <w:color w:val="000000"/>
      <w:szCs w:val="20"/>
    </w:rPr>
  </w:style>
  <w:style w:type="paragraph" w:styleId="15">
    <w:name w:val="Date"/>
    <w:basedOn w:val="1"/>
    <w:next w:val="1"/>
    <w:link w:val="44"/>
    <w:qFormat/>
    <w:uiPriority w:val="0"/>
    <w:rPr>
      <w:rFonts w:ascii="仿宋_GB2312" w:hAnsi="Times New Roman" w:eastAsia="仿宋_GB2312" w:cs="Times New Roman"/>
      <w:sz w:val="30"/>
      <w:szCs w:val="20"/>
    </w:rPr>
  </w:style>
  <w:style w:type="paragraph" w:styleId="16">
    <w:name w:val="Body Text Indent 2"/>
    <w:basedOn w:val="1"/>
    <w:qFormat/>
    <w:uiPriority w:val="0"/>
    <w:pPr>
      <w:spacing w:line="360" w:lineRule="exact"/>
      <w:ind w:firstLine="600" w:firstLineChars="250"/>
      <w:jc w:val="left"/>
    </w:pPr>
    <w:rPr>
      <w:rFonts w:ascii="Times New Roman" w:hAnsi="Times New Roman" w:eastAsia="宋体" w:cs="Times New Roman"/>
      <w:sz w:val="24"/>
    </w:rPr>
  </w:style>
  <w:style w:type="paragraph" w:styleId="17">
    <w:name w:val="Balloon Text"/>
    <w:basedOn w:val="1"/>
    <w:qFormat/>
    <w:uiPriority w:val="0"/>
    <w:rPr>
      <w:rFonts w:ascii="Times New Roman" w:hAnsi="Times New Roman" w:eastAsia="宋体" w:cs="Times New Roman"/>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0"/>
    <w:rPr>
      <w:rFonts w:ascii="Times New Roman" w:hAnsi="Times New Roman" w:eastAsia="宋体" w:cs="Times New Roman"/>
    </w:rPr>
  </w:style>
  <w:style w:type="paragraph" w:styleId="21">
    <w:name w:val="List"/>
    <w:basedOn w:val="1"/>
    <w:qFormat/>
    <w:uiPriority w:val="0"/>
    <w:pPr>
      <w:ind w:left="420" w:hanging="420"/>
    </w:pPr>
    <w:rPr>
      <w:rFonts w:ascii="Arial" w:hAnsi="Arial" w:eastAsia="楷体_GB2312" w:cs="Times New Roman"/>
      <w:sz w:val="28"/>
    </w:rPr>
  </w:style>
  <w:style w:type="paragraph" w:styleId="22">
    <w:name w:val="toc 2"/>
    <w:basedOn w:val="1"/>
    <w:next w:val="1"/>
    <w:qFormat/>
    <w:uiPriority w:val="0"/>
    <w:pPr>
      <w:ind w:left="420" w:leftChars="200"/>
    </w:pPr>
    <w:rPr>
      <w:rFonts w:ascii="Times New Roman" w:hAnsi="Times New Roman" w:eastAsia="宋体" w:cs="Times New Roman"/>
    </w:rPr>
  </w:style>
  <w:style w:type="paragraph" w:styleId="23">
    <w:name w:val="Body Text 2"/>
    <w:basedOn w:val="1"/>
    <w:qFormat/>
    <w:uiPriority w:val="0"/>
    <w:pPr>
      <w:spacing w:line="440" w:lineRule="exact"/>
    </w:pPr>
    <w:rPr>
      <w:rFonts w:ascii="Times New Roman" w:hAnsi="Times New Roman" w:eastAsia="宋体" w:cs="Times New Roman"/>
      <w:sz w:val="28"/>
    </w:r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0"/>
    <w:pPr>
      <w:widowControl/>
      <w:jc w:val="left"/>
    </w:pPr>
    <w:rPr>
      <w:rFonts w:ascii="宋体" w:hAnsi="宋体" w:eastAsia="宋体" w:cs="宋体"/>
      <w:kern w:val="0"/>
      <w:sz w:val="18"/>
      <w:szCs w:val="18"/>
    </w:rPr>
  </w:style>
  <w:style w:type="paragraph" w:styleId="26">
    <w:name w:val="Body Text First Indent 2"/>
    <w:basedOn w:val="10"/>
    <w:next w:val="1"/>
    <w:qFormat/>
    <w:uiPriority w:val="0"/>
    <w:pPr>
      <w:spacing w:line="360" w:lineRule="auto"/>
      <w:ind w:firstLine="200" w:firstLineChars="200"/>
    </w:pPr>
    <w:rPr>
      <w:rFonts w:ascii="宋体" w:hAnsi="Times New Roman" w:eastAsia="宋体" w:cs="Times New Roman"/>
      <w:szCs w:val="20"/>
    </w:rPr>
  </w:style>
  <w:style w:type="table" w:styleId="28">
    <w:name w:val="Table Grid"/>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rPr>
  </w:style>
  <w:style w:type="character" w:styleId="31">
    <w:name w:val="page number"/>
    <w:basedOn w:val="29"/>
    <w:qFormat/>
    <w:uiPriority w:val="0"/>
    <w:rPr>
      <w:rFonts w:ascii="Times New Roman" w:hAnsi="Times New Roman" w:eastAsia="宋体" w:cs="Times New Roman"/>
    </w:rPr>
  </w:style>
  <w:style w:type="character" w:styleId="32">
    <w:name w:val="FollowedHyperlink"/>
    <w:qFormat/>
    <w:uiPriority w:val="0"/>
    <w:rPr>
      <w:rFonts w:ascii="Times New Roman" w:hAnsi="Times New Roman" w:eastAsia="宋体" w:cs="Times New Roman"/>
      <w:color w:val="800080"/>
      <w:u w:val="none"/>
    </w:rPr>
  </w:style>
  <w:style w:type="character" w:styleId="33">
    <w:name w:val="Emphasis"/>
    <w:qFormat/>
    <w:uiPriority w:val="0"/>
    <w:rPr>
      <w:rFonts w:ascii="Times New Roman" w:hAnsi="Times New Roman" w:eastAsia="宋体" w:cs="Times New Roman"/>
    </w:rPr>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qFormat/>
    <w:uiPriority w:val="0"/>
    <w:rPr>
      <w:rFonts w:ascii="Times New Roman" w:hAnsi="Times New Roman" w:eastAsia="宋体" w:cs="Times New Roman"/>
      <w:color w:val="0000FF"/>
      <w:u w:val="none"/>
    </w:rPr>
  </w:style>
  <w:style w:type="character" w:styleId="39">
    <w:name w:val="HTML Code"/>
    <w:basedOn w:val="29"/>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29"/>
    <w:qFormat/>
    <w:uiPriority w:val="0"/>
  </w:style>
  <w:style w:type="character" w:styleId="42">
    <w:name w:val="HTML Keyboard"/>
    <w:basedOn w:val="29"/>
    <w:qFormat/>
    <w:uiPriority w:val="0"/>
    <w:rPr>
      <w:rFonts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character" w:customStyle="1" w:styleId="44">
    <w:name w:val="日期 Char"/>
    <w:link w:val="15"/>
    <w:qFormat/>
    <w:uiPriority w:val="0"/>
    <w:rPr>
      <w:rFonts w:ascii="仿宋_GB2312" w:hAnsi="Times New Roman" w:eastAsia="仿宋_GB2312" w:cs="Times New Roman"/>
      <w:kern w:val="2"/>
      <w:sz w:val="30"/>
      <w:lang w:val="en-US" w:eastAsia="zh-CN" w:bidi="ar-SA"/>
    </w:rPr>
  </w:style>
  <w:style w:type="paragraph" w:customStyle="1" w:styleId="4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6">
    <w:name w:val="TOC Heading1"/>
    <w:next w:val="1"/>
    <w:qFormat/>
    <w:uiPriority w:val="0"/>
    <w:pPr>
      <w:wordWrap w:val="0"/>
    </w:pPr>
    <w:rPr>
      <w:rFonts w:ascii="Calibri" w:hAnsi="Calibri" w:eastAsia="宋体" w:cs="Times New Roman"/>
      <w:sz w:val="32"/>
      <w:lang w:val="en-US" w:eastAsia="zh-CN" w:bidi="ar-SA"/>
    </w:rPr>
  </w:style>
  <w:style w:type="character" w:customStyle="1" w:styleId="4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8">
    <w:name w:val="BodyText1I2"/>
    <w:basedOn w:val="49"/>
    <w:next w:val="1"/>
    <w:qFormat/>
    <w:uiPriority w:val="0"/>
    <w:pPr>
      <w:spacing w:line="360" w:lineRule="auto"/>
      <w:ind w:firstLine="200" w:firstLineChars="200"/>
      <w:jc w:val="both"/>
      <w:textAlignment w:val="baseline"/>
    </w:pPr>
    <w:rPr>
      <w:rFonts w:ascii="宋体"/>
      <w:kern w:val="2"/>
      <w:sz w:val="28"/>
      <w:szCs w:val="20"/>
      <w:lang w:val="en-US" w:eastAsia="zh-CN" w:bidi="ar-SA"/>
    </w:rPr>
  </w:style>
  <w:style w:type="paragraph" w:customStyle="1" w:styleId="49">
    <w:name w:val="BodyTextIndent"/>
    <w:basedOn w:val="1"/>
    <w:next w:val="50"/>
    <w:qFormat/>
    <w:uiPriority w:val="0"/>
    <w:pPr>
      <w:spacing w:line="500" w:lineRule="exact"/>
      <w:ind w:firstLine="538"/>
      <w:jc w:val="both"/>
      <w:textAlignment w:val="baseline"/>
    </w:pPr>
    <w:rPr>
      <w:kern w:val="2"/>
      <w:sz w:val="28"/>
      <w:szCs w:val="24"/>
      <w:lang w:val="en-US" w:eastAsia="zh-CN" w:bidi="ar-SA"/>
    </w:rPr>
  </w:style>
  <w:style w:type="paragraph" w:customStyle="1" w:styleId="50">
    <w:name w:val="EnvelopeReturn"/>
    <w:basedOn w:val="1"/>
    <w:qFormat/>
    <w:uiPriority w:val="0"/>
    <w:pPr>
      <w:snapToGrid w:val="0"/>
      <w:jc w:val="both"/>
      <w:textAlignment w:val="baseline"/>
    </w:pPr>
    <w:rPr>
      <w:rFonts w:ascii="Arial" w:hAnsi="Arial"/>
      <w:kern w:val="2"/>
      <w:sz w:val="21"/>
      <w:szCs w:val="24"/>
      <w:lang w:val="en-US" w:eastAsia="zh-CN" w:bidi="ar-SA"/>
    </w:rPr>
  </w:style>
  <w:style w:type="paragraph" w:customStyle="1" w:styleId="51">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character" w:customStyle="1" w:styleId="52">
    <w:name w:val="last-child1"/>
    <w:basedOn w:val="29"/>
    <w:qFormat/>
    <w:uiPriority w:val="0"/>
    <w:rPr>
      <w:rFonts w:ascii="Times New Roman" w:hAnsi="Times New Roman" w:eastAsia="宋体" w:cs="Times New Roman"/>
    </w:rPr>
  </w:style>
  <w:style w:type="character" w:customStyle="1" w:styleId="53">
    <w:name w:val="result3"/>
    <w:basedOn w:val="29"/>
    <w:qFormat/>
    <w:uiPriority w:val="0"/>
    <w:rPr>
      <w:rFonts w:ascii="Times New Roman" w:hAnsi="Times New Roman" w:eastAsia="宋体" w:cs="Times New Roman"/>
    </w:rPr>
  </w:style>
  <w:style w:type="character" w:customStyle="1" w:styleId="54">
    <w:name w:val="active"/>
    <w:qFormat/>
    <w:uiPriority w:val="0"/>
    <w:rPr>
      <w:rFonts w:ascii="Times New Roman" w:hAnsi="Times New Roman" w:eastAsia="宋体" w:cs="Times New Roman"/>
      <w:color w:val="FFFFFF"/>
      <w:shd w:val="clear" w:color="auto" w:fill="F66262"/>
    </w:rPr>
  </w:style>
  <w:style w:type="character" w:customStyle="1" w:styleId="55">
    <w:name w:val="result_high_light"/>
    <w:qFormat/>
    <w:uiPriority w:val="0"/>
    <w:rPr>
      <w:rFonts w:ascii="Times New Roman" w:hAnsi="Times New Roman" w:eastAsia="宋体" w:cs="Times New Roman"/>
      <w:color w:val="D8453B"/>
    </w:rPr>
  </w:style>
  <w:style w:type="character" w:customStyle="1" w:styleId="56">
    <w:name w:val="result2"/>
    <w:basedOn w:val="29"/>
    <w:qFormat/>
    <w:uiPriority w:val="0"/>
    <w:rPr>
      <w:rFonts w:ascii="Times New Roman" w:hAnsi="Times New Roman" w:eastAsia="宋体" w:cs="Times New Roman"/>
    </w:rPr>
  </w:style>
  <w:style w:type="character" w:customStyle="1" w:styleId="57">
    <w:name w:val="bigfont"/>
    <w:basedOn w:val="29"/>
    <w:qFormat/>
    <w:uiPriority w:val="0"/>
    <w:rPr>
      <w:rFonts w:ascii="Times New Roman" w:hAnsi="Times New Roman" w:eastAsia="宋体" w:cs="Times New Roman"/>
    </w:rPr>
  </w:style>
  <w:style w:type="paragraph" w:customStyle="1" w:styleId="58">
    <w:name w:val="默认段落字体 Para Char Char Char Char"/>
    <w:basedOn w:val="1"/>
    <w:qFormat/>
    <w:uiPriority w:val="0"/>
    <w:rPr>
      <w:rFonts w:ascii="Times New Roman" w:hAnsi="Times New Roman" w:eastAsia="宋体" w:cs="Times New Roman"/>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Char"/>
    <w:basedOn w:val="1"/>
    <w:next w:val="1"/>
    <w:qFormat/>
    <w:uiPriority w:val="0"/>
    <w:pPr>
      <w:widowControl/>
      <w:spacing w:line="360" w:lineRule="auto"/>
      <w:jc w:val="left"/>
    </w:pPr>
    <w:rPr>
      <w:rFonts w:ascii="Times New Roman" w:hAnsi="Times New Roman" w:eastAsia="宋体" w:cs="Times New Roman"/>
    </w:rPr>
  </w:style>
  <w:style w:type="paragraph" w:customStyle="1" w:styleId="61">
    <w:name w:val=" Char"/>
    <w:basedOn w:val="1"/>
    <w:qFormat/>
    <w:uiPriority w:val="0"/>
    <w:rPr>
      <w:rFonts w:ascii="Tahoma" w:hAnsi="Tahoma" w:eastAsia="宋体" w:cs="Times New Roman"/>
      <w:sz w:val="24"/>
      <w:szCs w:val="20"/>
    </w:rPr>
  </w:style>
  <w:style w:type="paragraph" w:customStyle="1" w:styleId="62">
    <w:name w:val="result"/>
    <w:basedOn w:val="1"/>
    <w:qFormat/>
    <w:uiPriority w:val="0"/>
    <w:pPr>
      <w:jc w:val="left"/>
    </w:pPr>
    <w:rPr>
      <w:rFonts w:ascii="Times New Roman" w:hAnsi="Times New Roman" w:eastAsia="宋体" w:cs="Times New Roman"/>
      <w:kern w:val="0"/>
      <w:lang w:val="en-US" w:eastAsia="zh-CN" w:bidi="ar"/>
    </w:rPr>
  </w:style>
  <w:style w:type="paragraph" w:customStyle="1" w:styleId="63">
    <w:name w:val="WPSOffice手动目录 2"/>
    <w:qFormat/>
    <w:uiPriority w:val="0"/>
    <w:pPr>
      <w:ind w:leftChars="200"/>
    </w:pPr>
    <w:rPr>
      <w:rFonts w:ascii="Times New Roman" w:hAnsi="Times New Roman" w:eastAsia="宋体" w:cs="Times New Roman"/>
      <w:lang w:val="en-US" w:eastAsia="zh-CN" w:bidi="ar-SA"/>
    </w:rPr>
  </w:style>
  <w:style w:type="character" w:customStyle="1" w:styleId="64">
    <w:name w:val="first-child"/>
    <w:basedOn w:val="29"/>
    <w:qFormat/>
    <w:uiPriority w:val="0"/>
  </w:style>
  <w:style w:type="character" w:customStyle="1" w:styleId="65">
    <w:name w:val="layui-this"/>
    <w:basedOn w:val="29"/>
    <w:qFormat/>
    <w:uiPriority w:val="0"/>
    <w:rPr>
      <w:bdr w:val="single" w:color="EEEEEE" w:sz="6" w:space="0"/>
      <w:shd w:val="clear" w:color="auto" w:fill="FFFFFF"/>
    </w:rPr>
  </w:style>
  <w:style w:type="paragraph" w:customStyle="1" w:styleId="66">
    <w:name w:val="List Paragraph"/>
    <w:basedOn w:val="1"/>
    <w:qFormat/>
    <w:uiPriority w:val="0"/>
    <w:pPr>
      <w:widowControl w:val="0"/>
      <w:spacing w:line="240" w:lineRule="auto"/>
      <w:ind w:firstLine="420" w:firstLineChars="200"/>
      <w:textAlignment w:val="auto"/>
    </w:pPr>
    <w:rPr>
      <w:rFonts w:ascii="Calibri" w:hAnsi="Calibri"/>
      <w:color w:val="auto"/>
      <w:kern w:val="2"/>
      <w:szCs w:val="22"/>
      <w:u w:val="none" w:color="auto"/>
    </w:rPr>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页眉1"/>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customStyle="1" w:styleId="70">
    <w:name w:val="页脚1"/>
    <w:basedOn w:val="1"/>
    <w:qFormat/>
    <w:uiPriority w:val="0"/>
    <w:pPr>
      <w:tabs>
        <w:tab w:val="center" w:pos="4153"/>
        <w:tab w:val="right" w:pos="8306"/>
      </w:tabs>
      <w:snapToGrid w:val="0"/>
      <w:jc w:val="left"/>
    </w:pPr>
    <w:rPr>
      <w:sz w:val="18"/>
      <w:szCs w:val="18"/>
    </w:rPr>
  </w:style>
  <w:style w:type="character" w:customStyle="1" w:styleId="71">
    <w:name w:val="time"/>
    <w:basedOn w:val="29"/>
    <w:qFormat/>
    <w:uiPriority w:val="0"/>
  </w:style>
  <w:style w:type="character" w:customStyle="1" w:styleId="72">
    <w:name w:val="status"/>
    <w:basedOn w:val="29"/>
    <w:qFormat/>
    <w:uiPriority w:val="0"/>
    <w:rPr>
      <w:color w:val="0776DD"/>
    </w:rPr>
  </w:style>
  <w:style w:type="character" w:customStyle="1" w:styleId="73">
    <w:name w:val="mini-outputtext1"/>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18624</Words>
  <Characters>19777</Characters>
  <Lines>96</Lines>
  <Paragraphs>27</Paragraphs>
  <TotalTime>0</TotalTime>
  <ScaleCrop>false</ScaleCrop>
  <LinksUpToDate>false</LinksUpToDate>
  <CharactersWithSpaces>22729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2017-04-26T09:52:00Z</dcterms:created>
  <dc:creator>微软用户</dc:creator>
  <cp:lastModifiedBy>韦韦</cp:lastModifiedBy>
  <cp:lastPrinted>2024-07-09T00:33:00Z</cp:lastPrinted>
  <dcterms:modified xsi:type="dcterms:W3CDTF">2026-06-22T09:43:01Z</dcterms:modified>
  <dc:title>花亭路等道路绿化工程苗木比价采购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9DE5FF5A49474BC6851F1305817D702A_13</vt:lpwstr>
  </property>
  <property fmtid="{D5CDD505-2E9C-101B-9397-08002B2CF9AE}" pid="4" name="KSOTemplateDocerSaveRecord">
    <vt:lpwstr>eyJoZGlkIjoiZmQ5MGI3YTdkMjVkZTZjM2ZjZTQ5YjMxYTJjZjRlOWEiLCJ1c2VySWQiOiIzNjE4MjQ5In0=</vt:lpwstr>
  </property>
</Properties>
</file>