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E1E51CF">
      <w:pPr>
        <w:pStyle w:val="43"/>
        <w:ind w:left="0" w:leftChars="0" w:firstLine="0" w:firstLineChars="0"/>
        <w:jc w:val="center"/>
        <w:rPr>
          <w:rFonts w:ascii="宋体" w:hAnsi="宋体" w:cs="宋体"/>
          <w:b/>
          <w:bCs/>
          <w:color w:val="auto"/>
          <w:sz w:val="84"/>
          <w:szCs w:val="84"/>
          <w:highlight w:val="none"/>
          <w:vertAlign w:val="subscript"/>
        </w:rPr>
      </w:pPr>
      <w:r>
        <w:rPr>
          <w:rFonts w:hint="eastAsia" w:ascii="宋体" w:hAnsi="宋体" w:cs="宋体"/>
          <w:b/>
          <w:bCs/>
          <w:color w:val="auto"/>
          <w:sz w:val="84"/>
          <w:szCs w:val="84"/>
          <w:highlight w:val="none"/>
          <w:vertAlign w:val="subscript"/>
        </w:rPr>
        <w:t>滁州工投经开区光储制造基地测绘业务服务项目</w:t>
      </w:r>
    </w:p>
    <w:p w14:paraId="4C355002">
      <w:pPr>
        <w:spacing w:line="1200" w:lineRule="exact"/>
        <w:ind w:firstLine="2249" w:firstLineChars="700"/>
        <w:rPr>
          <w:rFonts w:ascii="宋体" w:hAnsi="宋体" w:cs="宋体"/>
          <w:b/>
          <w:bCs/>
          <w:color w:val="auto"/>
          <w:sz w:val="32"/>
          <w:szCs w:val="32"/>
          <w:highlight w:val="none"/>
          <w:u w:val="single"/>
        </w:rPr>
      </w:pPr>
    </w:p>
    <w:p w14:paraId="344B4674">
      <w:pPr>
        <w:spacing w:line="1200" w:lineRule="exact"/>
        <w:jc w:val="center"/>
        <w:rPr>
          <w:rFonts w:ascii="宋体" w:hAnsi="宋体" w:cs="宋体"/>
          <w:b/>
          <w:bCs/>
          <w:color w:val="auto"/>
          <w:sz w:val="66"/>
          <w:szCs w:val="66"/>
          <w:highlight w:val="none"/>
        </w:rPr>
      </w:pPr>
      <w:r>
        <w:rPr>
          <w:rFonts w:hint="eastAsia" w:ascii="宋体" w:hAnsi="宋体" w:cs="宋体"/>
          <w:b/>
          <w:bCs/>
          <w:color w:val="auto"/>
          <w:sz w:val="66"/>
          <w:szCs w:val="66"/>
          <w:highlight w:val="none"/>
        </w:rPr>
        <w:t>招标文件</w:t>
      </w:r>
    </w:p>
    <w:p w14:paraId="46DA8EEE">
      <w:pPr>
        <w:spacing w:line="600" w:lineRule="exact"/>
        <w:ind w:firstLine="3500" w:firstLineChars="1250"/>
        <w:jc w:val="center"/>
        <w:rPr>
          <w:rFonts w:ascii="宋体" w:hAnsi="宋体" w:cs="宋体"/>
          <w:color w:val="auto"/>
          <w:sz w:val="28"/>
          <w:szCs w:val="28"/>
          <w:highlight w:val="none"/>
        </w:rPr>
      </w:pPr>
    </w:p>
    <w:p w14:paraId="49AA228B">
      <w:pPr>
        <w:spacing w:line="600" w:lineRule="exact"/>
        <w:jc w:val="center"/>
        <w:rPr>
          <w:rFonts w:ascii="宋体" w:hAnsi="宋体" w:cs="宋体"/>
          <w:color w:val="auto"/>
          <w:sz w:val="28"/>
          <w:szCs w:val="28"/>
          <w:highlight w:val="none"/>
        </w:rPr>
      </w:pPr>
    </w:p>
    <w:p w14:paraId="1EFBFF6C">
      <w:pPr>
        <w:spacing w:line="800" w:lineRule="exact"/>
        <w:rPr>
          <w:rFonts w:ascii="宋体" w:hAnsi="宋体" w:cs="宋体"/>
          <w:b/>
          <w:bCs/>
          <w:color w:val="auto"/>
          <w:sz w:val="44"/>
          <w:szCs w:val="44"/>
          <w:highlight w:val="none"/>
        </w:rPr>
      </w:pPr>
    </w:p>
    <w:p w14:paraId="44828C4E">
      <w:pPr>
        <w:spacing w:line="800" w:lineRule="exact"/>
        <w:rPr>
          <w:rFonts w:ascii="宋体" w:hAnsi="宋体" w:cs="宋体"/>
          <w:b/>
          <w:bCs/>
          <w:color w:val="auto"/>
          <w:sz w:val="44"/>
          <w:szCs w:val="44"/>
          <w:highlight w:val="none"/>
        </w:rPr>
      </w:pPr>
    </w:p>
    <w:p w14:paraId="5F4D5D68">
      <w:pPr>
        <w:spacing w:line="800" w:lineRule="exact"/>
        <w:rPr>
          <w:rFonts w:ascii="宋体" w:hAnsi="宋体" w:cs="宋体"/>
          <w:b/>
          <w:bCs/>
          <w:color w:val="auto"/>
          <w:sz w:val="44"/>
          <w:szCs w:val="44"/>
          <w:highlight w:val="none"/>
        </w:rPr>
      </w:pPr>
    </w:p>
    <w:p w14:paraId="36054D27">
      <w:pPr>
        <w:spacing w:line="800" w:lineRule="exact"/>
        <w:rPr>
          <w:rFonts w:ascii="宋体" w:hAnsi="宋体" w:cs="宋体"/>
          <w:b/>
          <w:bCs/>
          <w:color w:val="auto"/>
          <w:sz w:val="44"/>
          <w:szCs w:val="44"/>
          <w:highlight w:val="none"/>
        </w:rPr>
      </w:pPr>
    </w:p>
    <w:p w14:paraId="046D9A01">
      <w:pPr>
        <w:ind w:firstLine="803" w:firstLineChars="250"/>
        <w:rPr>
          <w:rFonts w:ascii="宋体" w:hAnsi="宋体" w:cs="宋体"/>
          <w:b/>
          <w:color w:val="auto"/>
          <w:sz w:val="32"/>
          <w:szCs w:val="32"/>
          <w:highlight w:val="none"/>
        </w:rPr>
      </w:pPr>
    </w:p>
    <w:p w14:paraId="7BB9BAC1">
      <w:pPr>
        <w:ind w:firstLine="803" w:firstLineChars="250"/>
        <w:rPr>
          <w:rFonts w:ascii="宋体" w:hAnsi="宋体" w:cs="宋体"/>
          <w:b/>
          <w:color w:val="auto"/>
          <w:sz w:val="32"/>
          <w:szCs w:val="32"/>
          <w:highlight w:val="none"/>
        </w:rPr>
      </w:pPr>
      <w:r>
        <w:rPr>
          <w:rFonts w:hint="eastAsia" w:ascii="宋体" w:hAnsi="宋体" w:cs="宋体"/>
          <w:b/>
          <w:color w:val="auto"/>
          <w:sz w:val="32"/>
          <w:szCs w:val="32"/>
          <w:highlight w:val="none"/>
        </w:rPr>
        <w:t>招 标 单 位：</w:t>
      </w:r>
      <w:r>
        <w:rPr>
          <w:rFonts w:hint="eastAsia" w:ascii="宋体" w:hAnsi="宋体" w:cs="宋体"/>
          <w:b/>
          <w:bCs/>
          <w:color w:val="auto"/>
          <w:sz w:val="30"/>
          <w:szCs w:val="30"/>
          <w:highlight w:val="none"/>
          <w:u w:val="single"/>
        </w:rPr>
        <w:t>滁州工投创新科技产业园有限公司</w:t>
      </w:r>
      <w:r>
        <w:rPr>
          <w:rFonts w:hint="eastAsia" w:ascii="宋体" w:hAnsi="宋体" w:cs="宋体"/>
          <w:b/>
          <w:color w:val="auto"/>
          <w:sz w:val="32"/>
          <w:szCs w:val="32"/>
          <w:highlight w:val="none"/>
        </w:rPr>
        <w:t>（盖章）</w:t>
      </w:r>
    </w:p>
    <w:p w14:paraId="1F3E6644">
      <w:pPr>
        <w:spacing w:line="240" w:lineRule="exact"/>
        <w:ind w:firstLine="803" w:firstLineChars="250"/>
        <w:rPr>
          <w:rFonts w:ascii="宋体" w:hAnsi="宋体" w:cs="宋体"/>
          <w:b/>
          <w:color w:val="auto"/>
          <w:sz w:val="32"/>
          <w:szCs w:val="32"/>
          <w:highlight w:val="none"/>
        </w:rPr>
      </w:pPr>
    </w:p>
    <w:p w14:paraId="37E604C3">
      <w:pPr>
        <w:ind w:firstLine="803" w:firstLineChars="250"/>
        <w:rPr>
          <w:rFonts w:ascii="宋体" w:hAnsi="宋体" w:cs="宋体"/>
          <w:b/>
          <w:color w:val="auto"/>
          <w:w w:val="90"/>
          <w:sz w:val="32"/>
          <w:szCs w:val="32"/>
          <w:highlight w:val="none"/>
        </w:rPr>
      </w:pPr>
      <w:r>
        <w:rPr>
          <w:rFonts w:hint="eastAsia" w:ascii="宋体" w:hAnsi="宋体" w:cs="宋体"/>
          <w:b/>
          <w:color w:val="auto"/>
          <w:sz w:val="32"/>
          <w:szCs w:val="32"/>
          <w:highlight w:val="none"/>
        </w:rPr>
        <w:t>代 理 机 构：</w:t>
      </w:r>
      <w:r>
        <w:rPr>
          <w:rFonts w:hint="eastAsia" w:ascii="宋体" w:hAnsi="宋体" w:cs="宋体"/>
          <w:b/>
          <w:color w:val="auto"/>
          <w:w w:val="90"/>
          <w:sz w:val="32"/>
          <w:szCs w:val="32"/>
          <w:highlight w:val="none"/>
          <w:u w:val="single"/>
        </w:rPr>
        <w:t xml:space="preserve"> </w:t>
      </w:r>
      <w:r>
        <w:rPr>
          <w:rFonts w:hint="eastAsia" w:ascii="宋体" w:hAnsi="宋体" w:cs="宋体"/>
          <w:b/>
          <w:bCs/>
          <w:color w:val="auto"/>
          <w:sz w:val="30"/>
          <w:szCs w:val="30"/>
          <w:highlight w:val="none"/>
          <w:u w:val="single"/>
        </w:rPr>
        <w:t>滁州市城投工程咨询管理有限公司</w:t>
      </w:r>
      <w:r>
        <w:rPr>
          <w:rFonts w:hint="eastAsia" w:ascii="宋体" w:hAnsi="宋体" w:cs="宋体"/>
          <w:b/>
          <w:color w:val="auto"/>
          <w:w w:val="90"/>
          <w:sz w:val="32"/>
          <w:szCs w:val="32"/>
          <w:highlight w:val="none"/>
        </w:rPr>
        <w:t>（盖章）</w:t>
      </w:r>
    </w:p>
    <w:p w14:paraId="0E518050">
      <w:pPr>
        <w:spacing w:line="240" w:lineRule="exact"/>
        <w:ind w:firstLine="803" w:firstLineChars="250"/>
        <w:rPr>
          <w:rFonts w:ascii="宋体" w:hAnsi="宋体" w:cs="宋体"/>
          <w:b/>
          <w:color w:val="auto"/>
          <w:sz w:val="32"/>
          <w:szCs w:val="32"/>
          <w:highlight w:val="none"/>
        </w:rPr>
      </w:pPr>
    </w:p>
    <w:p w14:paraId="67B43DE0">
      <w:pPr>
        <w:jc w:val="center"/>
        <w:rPr>
          <w:rFonts w:ascii="宋体" w:hAnsi="宋体" w:cs="宋体"/>
          <w:b/>
          <w:color w:val="auto"/>
          <w:sz w:val="28"/>
          <w:szCs w:val="28"/>
          <w:highlight w:val="none"/>
        </w:rPr>
        <w:sectPr>
          <w:headerReference r:id="rId3" w:type="default"/>
          <w:footerReference r:id="rId4" w:type="default"/>
          <w:pgSz w:w="11906" w:h="16838"/>
          <w:pgMar w:top="1417" w:right="1304" w:bottom="1417" w:left="1304" w:header="851" w:footer="992" w:gutter="0"/>
          <w:cols w:space="720" w:num="1"/>
          <w:docGrid w:type="lines" w:linePitch="312" w:charSpace="0"/>
        </w:sectPr>
      </w:pPr>
      <w:r>
        <w:rPr>
          <w:rFonts w:hint="eastAsia" w:ascii="宋体" w:hAnsi="宋体" w:cs="宋体"/>
          <w:b/>
          <w:color w:val="auto"/>
          <w:sz w:val="32"/>
          <w:szCs w:val="32"/>
          <w:highlight w:val="none"/>
        </w:rPr>
        <w:t>2026年4月15日</w:t>
      </w:r>
    </w:p>
    <w:p w14:paraId="08B698CA">
      <w:pPr>
        <w:tabs>
          <w:tab w:val="left" w:pos="5042"/>
        </w:tabs>
        <w:jc w:val="left"/>
        <w:rPr>
          <w:rFonts w:ascii="宋体" w:hAnsi="宋体" w:cs="宋体"/>
          <w:color w:val="auto"/>
          <w:highlight w:val="none"/>
        </w:rPr>
      </w:pPr>
    </w:p>
    <w:p w14:paraId="60102BC3">
      <w:pPr>
        <w:adjustRightInd w:val="0"/>
        <w:snapToGrid w:val="0"/>
        <w:spacing w:line="460" w:lineRule="exact"/>
        <w:jc w:val="center"/>
        <w:rPr>
          <w:rFonts w:ascii="宋体" w:hAnsi="宋体" w:cs="宋体"/>
          <w:b/>
          <w:color w:val="auto"/>
          <w:spacing w:val="20"/>
          <w:sz w:val="32"/>
          <w:szCs w:val="32"/>
          <w:highlight w:val="none"/>
        </w:rPr>
      </w:pPr>
      <w:bookmarkStart w:id="0" w:name="OLE_LINK2"/>
      <w:bookmarkStart w:id="1" w:name="OLE_LINK3"/>
      <w:bookmarkStart w:id="2" w:name="OLE_LINK1"/>
      <w:bookmarkStart w:id="3" w:name="_Toc21247_WPSOffice_Level1"/>
      <w:r>
        <w:rPr>
          <w:rFonts w:hint="eastAsia" w:ascii="宋体" w:hAnsi="宋体" w:cs="宋体"/>
          <w:b/>
          <w:color w:val="auto"/>
          <w:spacing w:val="20"/>
          <w:sz w:val="32"/>
          <w:szCs w:val="32"/>
          <w:highlight w:val="none"/>
        </w:rPr>
        <w:t>目 录</w:t>
      </w:r>
    </w:p>
    <w:p w14:paraId="676BC263">
      <w:pPr>
        <w:pStyle w:val="43"/>
        <w:rPr>
          <w:rFonts w:ascii="宋体" w:hAnsi="宋体" w:cs="宋体"/>
          <w:color w:val="auto"/>
          <w:highlight w:val="none"/>
        </w:rPr>
      </w:pPr>
    </w:p>
    <w:p w14:paraId="2C0D350B">
      <w:pPr>
        <w:pStyle w:val="29"/>
        <w:tabs>
          <w:tab w:val="right" w:leader="dot" w:pos="9072"/>
        </w:tabs>
        <w:rPr>
          <w:rFonts w:ascii="宋体" w:hAnsi="宋体" w:cs="宋体"/>
          <w:b w:val="0"/>
          <w:color w:val="auto"/>
          <w:sz w:val="28"/>
          <w:szCs w:val="28"/>
          <w:highlight w:val="none"/>
        </w:rPr>
      </w:pPr>
      <w:r>
        <w:rPr>
          <w:rFonts w:hint="eastAsia" w:ascii="宋体" w:hAnsi="宋体" w:cs="宋体"/>
          <w:b w:val="0"/>
          <w:color w:val="auto"/>
          <w:spacing w:val="20"/>
          <w:sz w:val="28"/>
          <w:szCs w:val="28"/>
          <w:highlight w:val="none"/>
        </w:rPr>
        <w:fldChar w:fldCharType="begin"/>
      </w:r>
      <w:r>
        <w:rPr>
          <w:rFonts w:hint="eastAsia" w:ascii="宋体" w:hAnsi="宋体" w:cs="宋体"/>
          <w:b w:val="0"/>
          <w:color w:val="auto"/>
          <w:spacing w:val="20"/>
          <w:sz w:val="28"/>
          <w:szCs w:val="28"/>
          <w:highlight w:val="none"/>
        </w:rPr>
        <w:instrText xml:space="preserve">TOC \o "1-1" \h \u </w:instrText>
      </w:r>
      <w:r>
        <w:rPr>
          <w:rFonts w:hint="eastAsia" w:ascii="宋体" w:hAnsi="宋体" w:cs="宋体"/>
          <w:b w:val="0"/>
          <w:color w:val="auto"/>
          <w:spacing w:val="20"/>
          <w:sz w:val="28"/>
          <w:szCs w:val="28"/>
          <w:highlight w:val="none"/>
        </w:rPr>
        <w:fldChar w:fldCharType="separate"/>
      </w:r>
      <w:r>
        <w:rPr>
          <w:color w:val="auto"/>
          <w:highlight w:val="none"/>
        </w:rPr>
        <w:fldChar w:fldCharType="begin"/>
      </w:r>
      <w:r>
        <w:rPr>
          <w:color w:val="auto"/>
          <w:highlight w:val="none"/>
        </w:rPr>
        <w:instrText xml:space="preserve"> HYPERLINK \l "_Toc8334" </w:instrText>
      </w:r>
      <w:r>
        <w:rPr>
          <w:color w:val="auto"/>
          <w:highlight w:val="none"/>
        </w:rPr>
        <w:fldChar w:fldCharType="separate"/>
      </w:r>
      <w:r>
        <w:rPr>
          <w:rFonts w:hint="eastAsia" w:ascii="宋体" w:hAnsi="宋体" w:cs="宋体"/>
          <w:b w:val="0"/>
          <w:color w:val="auto"/>
          <w:sz w:val="28"/>
          <w:szCs w:val="28"/>
          <w:highlight w:val="none"/>
        </w:rPr>
        <w:t>A、招标公告</w:t>
      </w:r>
      <w:r>
        <w:rPr>
          <w:rFonts w:hint="eastAsia" w:ascii="宋体" w:hAnsi="宋体" w:cs="宋体"/>
          <w:b w:val="0"/>
          <w:color w:val="auto"/>
          <w:sz w:val="28"/>
          <w:szCs w:val="28"/>
          <w:highlight w:val="none"/>
        </w:rPr>
        <w:tab/>
      </w:r>
      <w:r>
        <w:rPr>
          <w:rFonts w:hint="eastAsia" w:ascii="宋体" w:hAnsi="宋体" w:cs="宋体"/>
          <w:b w:val="0"/>
          <w:color w:val="auto"/>
          <w:sz w:val="28"/>
          <w:szCs w:val="28"/>
          <w:highlight w:val="none"/>
        </w:rPr>
        <w:fldChar w:fldCharType="begin"/>
      </w:r>
      <w:r>
        <w:rPr>
          <w:rFonts w:hint="eastAsia" w:ascii="宋体" w:hAnsi="宋体" w:cs="宋体"/>
          <w:b w:val="0"/>
          <w:color w:val="auto"/>
          <w:sz w:val="28"/>
          <w:szCs w:val="28"/>
          <w:highlight w:val="none"/>
        </w:rPr>
        <w:instrText xml:space="preserve"> PAGEREF _Toc8334 \h </w:instrText>
      </w:r>
      <w:r>
        <w:rPr>
          <w:rFonts w:hint="eastAsia" w:ascii="宋体" w:hAnsi="宋体" w:cs="宋体"/>
          <w:b w:val="0"/>
          <w:color w:val="auto"/>
          <w:sz w:val="28"/>
          <w:szCs w:val="28"/>
          <w:highlight w:val="none"/>
        </w:rPr>
        <w:fldChar w:fldCharType="separate"/>
      </w:r>
      <w:r>
        <w:rPr>
          <w:rFonts w:hint="eastAsia" w:ascii="宋体" w:hAnsi="宋体" w:cs="宋体"/>
          <w:b w:val="0"/>
          <w:color w:val="auto"/>
          <w:sz w:val="28"/>
          <w:szCs w:val="28"/>
          <w:highlight w:val="none"/>
        </w:rPr>
        <w:t>3</w:t>
      </w:r>
      <w:r>
        <w:rPr>
          <w:rFonts w:hint="eastAsia" w:ascii="宋体" w:hAnsi="宋体" w:cs="宋体"/>
          <w:b w:val="0"/>
          <w:color w:val="auto"/>
          <w:sz w:val="28"/>
          <w:szCs w:val="28"/>
          <w:highlight w:val="none"/>
        </w:rPr>
        <w:fldChar w:fldCharType="end"/>
      </w:r>
      <w:r>
        <w:rPr>
          <w:rFonts w:hint="eastAsia" w:ascii="宋体" w:hAnsi="宋体" w:cs="宋体"/>
          <w:b w:val="0"/>
          <w:color w:val="auto"/>
          <w:sz w:val="28"/>
          <w:szCs w:val="28"/>
          <w:highlight w:val="none"/>
        </w:rPr>
        <w:fldChar w:fldCharType="end"/>
      </w:r>
    </w:p>
    <w:p w14:paraId="11B8C21D">
      <w:pPr>
        <w:pStyle w:val="29"/>
        <w:tabs>
          <w:tab w:val="right" w:leader="dot" w:pos="9072"/>
        </w:tabs>
        <w:rPr>
          <w:rFonts w:ascii="宋体" w:hAnsi="宋体" w:cs="宋体"/>
          <w:b w:val="0"/>
          <w:color w:val="auto"/>
          <w:sz w:val="28"/>
          <w:szCs w:val="28"/>
          <w:highlight w:val="none"/>
        </w:rPr>
      </w:pPr>
      <w:r>
        <w:rPr>
          <w:color w:val="auto"/>
          <w:highlight w:val="none"/>
        </w:rPr>
        <w:fldChar w:fldCharType="begin"/>
      </w:r>
      <w:r>
        <w:rPr>
          <w:color w:val="auto"/>
          <w:highlight w:val="none"/>
        </w:rPr>
        <w:instrText xml:space="preserve"> HYPERLINK \l "_Toc20637" </w:instrText>
      </w:r>
      <w:r>
        <w:rPr>
          <w:color w:val="auto"/>
          <w:highlight w:val="none"/>
        </w:rPr>
        <w:fldChar w:fldCharType="separate"/>
      </w:r>
      <w:r>
        <w:rPr>
          <w:rFonts w:hint="eastAsia" w:ascii="宋体" w:hAnsi="宋体" w:cs="宋体"/>
          <w:b w:val="0"/>
          <w:color w:val="auto"/>
          <w:sz w:val="28"/>
          <w:szCs w:val="28"/>
          <w:highlight w:val="none"/>
        </w:rPr>
        <w:t>第一章  投标须知</w:t>
      </w:r>
      <w:r>
        <w:rPr>
          <w:rFonts w:hint="eastAsia" w:ascii="宋体" w:hAnsi="宋体" w:cs="宋体"/>
          <w:b w:val="0"/>
          <w:color w:val="auto"/>
          <w:sz w:val="28"/>
          <w:szCs w:val="28"/>
          <w:highlight w:val="none"/>
        </w:rPr>
        <w:tab/>
      </w:r>
      <w:r>
        <w:rPr>
          <w:rFonts w:hint="eastAsia" w:ascii="宋体" w:hAnsi="宋体" w:cs="宋体"/>
          <w:b w:val="0"/>
          <w:color w:val="auto"/>
          <w:sz w:val="28"/>
          <w:szCs w:val="28"/>
          <w:highlight w:val="none"/>
        </w:rPr>
        <w:fldChar w:fldCharType="begin"/>
      </w:r>
      <w:r>
        <w:rPr>
          <w:rFonts w:hint="eastAsia" w:ascii="宋体" w:hAnsi="宋体" w:cs="宋体"/>
          <w:b w:val="0"/>
          <w:color w:val="auto"/>
          <w:sz w:val="28"/>
          <w:szCs w:val="28"/>
          <w:highlight w:val="none"/>
        </w:rPr>
        <w:instrText xml:space="preserve"> PAGEREF _Toc20637 \h </w:instrText>
      </w:r>
      <w:r>
        <w:rPr>
          <w:rFonts w:hint="eastAsia" w:ascii="宋体" w:hAnsi="宋体" w:cs="宋体"/>
          <w:b w:val="0"/>
          <w:color w:val="auto"/>
          <w:sz w:val="28"/>
          <w:szCs w:val="28"/>
          <w:highlight w:val="none"/>
        </w:rPr>
        <w:fldChar w:fldCharType="separate"/>
      </w:r>
      <w:r>
        <w:rPr>
          <w:rFonts w:hint="eastAsia" w:ascii="宋体" w:hAnsi="宋体" w:cs="宋体"/>
          <w:b w:val="0"/>
          <w:color w:val="auto"/>
          <w:sz w:val="28"/>
          <w:szCs w:val="28"/>
          <w:highlight w:val="none"/>
        </w:rPr>
        <w:t>7</w:t>
      </w:r>
      <w:r>
        <w:rPr>
          <w:rFonts w:hint="eastAsia" w:ascii="宋体" w:hAnsi="宋体" w:cs="宋体"/>
          <w:b w:val="0"/>
          <w:color w:val="auto"/>
          <w:sz w:val="28"/>
          <w:szCs w:val="28"/>
          <w:highlight w:val="none"/>
        </w:rPr>
        <w:fldChar w:fldCharType="end"/>
      </w:r>
      <w:r>
        <w:rPr>
          <w:rFonts w:hint="eastAsia" w:ascii="宋体" w:hAnsi="宋体" w:cs="宋体"/>
          <w:b w:val="0"/>
          <w:color w:val="auto"/>
          <w:sz w:val="28"/>
          <w:szCs w:val="28"/>
          <w:highlight w:val="none"/>
        </w:rPr>
        <w:fldChar w:fldCharType="end"/>
      </w:r>
    </w:p>
    <w:p w14:paraId="77FB8136">
      <w:pPr>
        <w:pStyle w:val="29"/>
        <w:tabs>
          <w:tab w:val="right" w:leader="dot" w:pos="9072"/>
        </w:tabs>
        <w:rPr>
          <w:rFonts w:ascii="宋体" w:hAnsi="宋体" w:cs="宋体"/>
          <w:b w:val="0"/>
          <w:color w:val="auto"/>
          <w:sz w:val="28"/>
          <w:szCs w:val="28"/>
          <w:highlight w:val="none"/>
        </w:rPr>
      </w:pPr>
      <w:r>
        <w:rPr>
          <w:color w:val="auto"/>
          <w:highlight w:val="none"/>
        </w:rPr>
        <w:fldChar w:fldCharType="begin"/>
      </w:r>
      <w:r>
        <w:rPr>
          <w:color w:val="auto"/>
          <w:highlight w:val="none"/>
        </w:rPr>
        <w:instrText xml:space="preserve"> HYPERLINK \l "_Toc30835" </w:instrText>
      </w:r>
      <w:r>
        <w:rPr>
          <w:color w:val="auto"/>
          <w:highlight w:val="none"/>
        </w:rPr>
        <w:fldChar w:fldCharType="separate"/>
      </w:r>
      <w:r>
        <w:rPr>
          <w:rFonts w:hint="eastAsia" w:ascii="宋体" w:hAnsi="宋体" w:cs="宋体"/>
          <w:b w:val="0"/>
          <w:color w:val="auto"/>
          <w:sz w:val="28"/>
          <w:szCs w:val="28"/>
          <w:highlight w:val="none"/>
        </w:rPr>
        <w:t>第二章  资格审查办法</w:t>
      </w:r>
      <w:r>
        <w:rPr>
          <w:rFonts w:hint="eastAsia" w:ascii="宋体" w:hAnsi="宋体" w:cs="宋体"/>
          <w:b w:val="0"/>
          <w:color w:val="auto"/>
          <w:sz w:val="28"/>
          <w:szCs w:val="28"/>
          <w:highlight w:val="none"/>
        </w:rPr>
        <w:tab/>
      </w:r>
      <w:r>
        <w:rPr>
          <w:rFonts w:hint="eastAsia" w:ascii="宋体" w:hAnsi="宋体" w:cs="宋体"/>
          <w:b w:val="0"/>
          <w:color w:val="auto"/>
          <w:sz w:val="28"/>
          <w:szCs w:val="28"/>
          <w:highlight w:val="none"/>
        </w:rPr>
        <w:fldChar w:fldCharType="begin"/>
      </w:r>
      <w:r>
        <w:rPr>
          <w:rFonts w:hint="eastAsia" w:ascii="宋体" w:hAnsi="宋体" w:cs="宋体"/>
          <w:b w:val="0"/>
          <w:color w:val="auto"/>
          <w:sz w:val="28"/>
          <w:szCs w:val="28"/>
          <w:highlight w:val="none"/>
        </w:rPr>
        <w:instrText xml:space="preserve"> PAGEREF _Toc30835 \h </w:instrText>
      </w:r>
      <w:r>
        <w:rPr>
          <w:rFonts w:hint="eastAsia" w:ascii="宋体" w:hAnsi="宋体" w:cs="宋体"/>
          <w:b w:val="0"/>
          <w:color w:val="auto"/>
          <w:sz w:val="28"/>
          <w:szCs w:val="28"/>
          <w:highlight w:val="none"/>
        </w:rPr>
        <w:fldChar w:fldCharType="separate"/>
      </w:r>
      <w:r>
        <w:rPr>
          <w:rFonts w:hint="eastAsia" w:ascii="宋体" w:hAnsi="宋体" w:cs="宋体"/>
          <w:b w:val="0"/>
          <w:color w:val="auto"/>
          <w:sz w:val="28"/>
          <w:szCs w:val="28"/>
          <w:highlight w:val="none"/>
        </w:rPr>
        <w:t>19</w:t>
      </w:r>
      <w:r>
        <w:rPr>
          <w:rFonts w:hint="eastAsia" w:ascii="宋体" w:hAnsi="宋体" w:cs="宋体"/>
          <w:b w:val="0"/>
          <w:color w:val="auto"/>
          <w:sz w:val="28"/>
          <w:szCs w:val="28"/>
          <w:highlight w:val="none"/>
        </w:rPr>
        <w:fldChar w:fldCharType="end"/>
      </w:r>
      <w:r>
        <w:rPr>
          <w:rFonts w:hint="eastAsia" w:ascii="宋体" w:hAnsi="宋体" w:cs="宋体"/>
          <w:b w:val="0"/>
          <w:color w:val="auto"/>
          <w:sz w:val="28"/>
          <w:szCs w:val="28"/>
          <w:highlight w:val="none"/>
        </w:rPr>
        <w:fldChar w:fldCharType="end"/>
      </w:r>
    </w:p>
    <w:p w14:paraId="0698FB0B">
      <w:pPr>
        <w:pStyle w:val="29"/>
        <w:tabs>
          <w:tab w:val="right" w:leader="dot" w:pos="9072"/>
        </w:tabs>
        <w:rPr>
          <w:rFonts w:ascii="宋体" w:hAnsi="宋体" w:cs="宋体"/>
          <w:b w:val="0"/>
          <w:color w:val="auto"/>
          <w:sz w:val="28"/>
          <w:szCs w:val="28"/>
          <w:highlight w:val="none"/>
        </w:rPr>
      </w:pPr>
      <w:r>
        <w:rPr>
          <w:color w:val="auto"/>
          <w:highlight w:val="none"/>
        </w:rPr>
        <w:fldChar w:fldCharType="begin"/>
      </w:r>
      <w:r>
        <w:rPr>
          <w:color w:val="auto"/>
          <w:highlight w:val="none"/>
        </w:rPr>
        <w:instrText xml:space="preserve"> HYPERLINK \l "_Toc16481" </w:instrText>
      </w:r>
      <w:r>
        <w:rPr>
          <w:color w:val="auto"/>
          <w:highlight w:val="none"/>
        </w:rPr>
        <w:fldChar w:fldCharType="separate"/>
      </w:r>
      <w:r>
        <w:rPr>
          <w:rFonts w:hint="eastAsia" w:ascii="宋体" w:hAnsi="宋体" w:cs="宋体"/>
          <w:b w:val="0"/>
          <w:color w:val="auto"/>
          <w:kern w:val="44"/>
          <w:sz w:val="28"/>
          <w:szCs w:val="28"/>
          <w:highlight w:val="none"/>
        </w:rPr>
        <w:t>第三章</w:t>
      </w:r>
      <w:r>
        <w:rPr>
          <w:rFonts w:hint="eastAsia" w:ascii="宋体" w:hAnsi="宋体" w:cs="宋体"/>
          <w:b w:val="0"/>
          <w:color w:val="auto"/>
          <w:sz w:val="28"/>
          <w:szCs w:val="28"/>
          <w:highlight w:val="none"/>
        </w:rPr>
        <w:t xml:space="preserve">  评标办法</w:t>
      </w:r>
      <w:r>
        <w:rPr>
          <w:rFonts w:hint="eastAsia" w:ascii="宋体" w:hAnsi="宋体" w:cs="宋体"/>
          <w:b w:val="0"/>
          <w:color w:val="auto"/>
          <w:sz w:val="28"/>
          <w:szCs w:val="28"/>
          <w:highlight w:val="none"/>
        </w:rPr>
        <w:tab/>
      </w:r>
      <w:r>
        <w:rPr>
          <w:rFonts w:hint="eastAsia" w:ascii="宋体" w:hAnsi="宋体" w:cs="宋体"/>
          <w:b w:val="0"/>
          <w:color w:val="auto"/>
          <w:sz w:val="28"/>
          <w:szCs w:val="28"/>
          <w:highlight w:val="none"/>
        </w:rPr>
        <w:fldChar w:fldCharType="begin"/>
      </w:r>
      <w:r>
        <w:rPr>
          <w:rFonts w:hint="eastAsia" w:ascii="宋体" w:hAnsi="宋体" w:cs="宋体"/>
          <w:b w:val="0"/>
          <w:color w:val="auto"/>
          <w:sz w:val="28"/>
          <w:szCs w:val="28"/>
          <w:highlight w:val="none"/>
        </w:rPr>
        <w:instrText xml:space="preserve"> PAGEREF _Toc16481 \h </w:instrText>
      </w:r>
      <w:r>
        <w:rPr>
          <w:rFonts w:hint="eastAsia" w:ascii="宋体" w:hAnsi="宋体" w:cs="宋体"/>
          <w:b w:val="0"/>
          <w:color w:val="auto"/>
          <w:sz w:val="28"/>
          <w:szCs w:val="28"/>
          <w:highlight w:val="none"/>
        </w:rPr>
        <w:fldChar w:fldCharType="separate"/>
      </w:r>
      <w:r>
        <w:rPr>
          <w:rFonts w:hint="eastAsia" w:ascii="宋体" w:hAnsi="宋体" w:cs="宋体"/>
          <w:b w:val="0"/>
          <w:color w:val="auto"/>
          <w:sz w:val="28"/>
          <w:szCs w:val="28"/>
          <w:highlight w:val="none"/>
        </w:rPr>
        <w:t>20</w:t>
      </w:r>
      <w:r>
        <w:rPr>
          <w:rFonts w:hint="eastAsia" w:ascii="宋体" w:hAnsi="宋体" w:cs="宋体"/>
          <w:b w:val="0"/>
          <w:color w:val="auto"/>
          <w:sz w:val="28"/>
          <w:szCs w:val="28"/>
          <w:highlight w:val="none"/>
        </w:rPr>
        <w:fldChar w:fldCharType="end"/>
      </w:r>
      <w:r>
        <w:rPr>
          <w:rFonts w:hint="eastAsia" w:ascii="宋体" w:hAnsi="宋体" w:cs="宋体"/>
          <w:b w:val="0"/>
          <w:color w:val="auto"/>
          <w:sz w:val="28"/>
          <w:szCs w:val="28"/>
          <w:highlight w:val="none"/>
        </w:rPr>
        <w:fldChar w:fldCharType="end"/>
      </w:r>
    </w:p>
    <w:p w14:paraId="35E38361">
      <w:pPr>
        <w:pStyle w:val="29"/>
        <w:tabs>
          <w:tab w:val="right" w:leader="dot" w:pos="9072"/>
        </w:tabs>
        <w:rPr>
          <w:rFonts w:ascii="宋体" w:hAnsi="宋体" w:cs="宋体"/>
          <w:b w:val="0"/>
          <w:color w:val="auto"/>
          <w:sz w:val="28"/>
          <w:szCs w:val="28"/>
          <w:highlight w:val="none"/>
        </w:rPr>
      </w:pPr>
      <w:r>
        <w:rPr>
          <w:color w:val="auto"/>
          <w:highlight w:val="none"/>
        </w:rPr>
        <w:fldChar w:fldCharType="begin"/>
      </w:r>
      <w:r>
        <w:rPr>
          <w:color w:val="auto"/>
          <w:highlight w:val="none"/>
        </w:rPr>
        <w:instrText xml:space="preserve"> HYPERLINK \l "_Toc18436" </w:instrText>
      </w:r>
      <w:r>
        <w:rPr>
          <w:color w:val="auto"/>
          <w:highlight w:val="none"/>
        </w:rPr>
        <w:fldChar w:fldCharType="separate"/>
      </w:r>
      <w:r>
        <w:rPr>
          <w:rFonts w:hint="eastAsia" w:ascii="宋体" w:hAnsi="宋体" w:cs="宋体"/>
          <w:b w:val="0"/>
          <w:color w:val="auto"/>
          <w:sz w:val="28"/>
          <w:szCs w:val="28"/>
          <w:highlight w:val="none"/>
        </w:rPr>
        <w:t>第四章  服务需求</w:t>
      </w:r>
      <w:r>
        <w:rPr>
          <w:rFonts w:hint="eastAsia" w:ascii="宋体" w:hAnsi="宋体" w:cs="宋体"/>
          <w:b w:val="0"/>
          <w:color w:val="auto"/>
          <w:sz w:val="28"/>
          <w:szCs w:val="28"/>
          <w:highlight w:val="none"/>
        </w:rPr>
        <w:tab/>
      </w:r>
      <w:r>
        <w:rPr>
          <w:rFonts w:hint="eastAsia" w:ascii="宋体" w:hAnsi="宋体" w:cs="宋体"/>
          <w:b w:val="0"/>
          <w:color w:val="auto"/>
          <w:sz w:val="28"/>
          <w:szCs w:val="28"/>
          <w:highlight w:val="none"/>
        </w:rPr>
        <w:fldChar w:fldCharType="begin"/>
      </w:r>
      <w:r>
        <w:rPr>
          <w:rFonts w:hint="eastAsia" w:ascii="宋体" w:hAnsi="宋体" w:cs="宋体"/>
          <w:b w:val="0"/>
          <w:color w:val="auto"/>
          <w:sz w:val="28"/>
          <w:szCs w:val="28"/>
          <w:highlight w:val="none"/>
        </w:rPr>
        <w:instrText xml:space="preserve"> PAGEREF _Toc18436 \h </w:instrText>
      </w:r>
      <w:r>
        <w:rPr>
          <w:rFonts w:hint="eastAsia" w:ascii="宋体" w:hAnsi="宋体" w:cs="宋体"/>
          <w:b w:val="0"/>
          <w:color w:val="auto"/>
          <w:sz w:val="28"/>
          <w:szCs w:val="28"/>
          <w:highlight w:val="none"/>
        </w:rPr>
        <w:fldChar w:fldCharType="separate"/>
      </w:r>
      <w:r>
        <w:rPr>
          <w:rFonts w:hint="eastAsia" w:ascii="宋体" w:hAnsi="宋体" w:cs="宋体"/>
          <w:b w:val="0"/>
          <w:color w:val="auto"/>
          <w:sz w:val="28"/>
          <w:szCs w:val="28"/>
          <w:highlight w:val="none"/>
        </w:rPr>
        <w:t>27</w:t>
      </w:r>
      <w:r>
        <w:rPr>
          <w:rFonts w:hint="eastAsia" w:ascii="宋体" w:hAnsi="宋体" w:cs="宋体"/>
          <w:b w:val="0"/>
          <w:color w:val="auto"/>
          <w:sz w:val="28"/>
          <w:szCs w:val="28"/>
          <w:highlight w:val="none"/>
        </w:rPr>
        <w:fldChar w:fldCharType="end"/>
      </w:r>
      <w:r>
        <w:rPr>
          <w:rFonts w:hint="eastAsia" w:ascii="宋体" w:hAnsi="宋体" w:cs="宋体"/>
          <w:b w:val="0"/>
          <w:color w:val="auto"/>
          <w:sz w:val="28"/>
          <w:szCs w:val="28"/>
          <w:highlight w:val="none"/>
        </w:rPr>
        <w:fldChar w:fldCharType="end"/>
      </w:r>
    </w:p>
    <w:p w14:paraId="7433E46C">
      <w:pPr>
        <w:pStyle w:val="29"/>
        <w:tabs>
          <w:tab w:val="right" w:leader="dot" w:pos="9072"/>
        </w:tabs>
        <w:rPr>
          <w:rFonts w:ascii="宋体" w:hAnsi="宋体" w:cs="宋体"/>
          <w:b w:val="0"/>
          <w:color w:val="auto"/>
          <w:sz w:val="28"/>
          <w:szCs w:val="28"/>
          <w:highlight w:val="none"/>
        </w:rPr>
      </w:pPr>
      <w:r>
        <w:rPr>
          <w:color w:val="auto"/>
          <w:highlight w:val="none"/>
        </w:rPr>
        <w:fldChar w:fldCharType="begin"/>
      </w:r>
      <w:r>
        <w:rPr>
          <w:color w:val="auto"/>
          <w:highlight w:val="none"/>
        </w:rPr>
        <w:instrText xml:space="preserve"> HYPERLINK \l "_Toc29720" </w:instrText>
      </w:r>
      <w:r>
        <w:rPr>
          <w:color w:val="auto"/>
          <w:highlight w:val="none"/>
        </w:rPr>
        <w:fldChar w:fldCharType="separate"/>
      </w:r>
      <w:r>
        <w:rPr>
          <w:rFonts w:hint="eastAsia" w:ascii="宋体" w:hAnsi="宋体" w:cs="宋体"/>
          <w:b w:val="0"/>
          <w:color w:val="auto"/>
          <w:sz w:val="28"/>
          <w:szCs w:val="28"/>
          <w:highlight w:val="none"/>
        </w:rPr>
        <w:t>第五章  合同条款及格式</w:t>
      </w:r>
      <w:r>
        <w:rPr>
          <w:rFonts w:hint="eastAsia" w:ascii="宋体" w:hAnsi="宋体" w:cs="宋体"/>
          <w:b w:val="0"/>
          <w:color w:val="auto"/>
          <w:sz w:val="28"/>
          <w:szCs w:val="28"/>
          <w:highlight w:val="none"/>
        </w:rPr>
        <w:tab/>
      </w:r>
      <w:r>
        <w:rPr>
          <w:rFonts w:hint="eastAsia" w:ascii="宋体" w:hAnsi="宋体" w:cs="宋体"/>
          <w:b w:val="0"/>
          <w:color w:val="auto"/>
          <w:sz w:val="28"/>
          <w:szCs w:val="28"/>
          <w:highlight w:val="none"/>
        </w:rPr>
        <w:fldChar w:fldCharType="begin"/>
      </w:r>
      <w:r>
        <w:rPr>
          <w:rFonts w:hint="eastAsia" w:ascii="宋体" w:hAnsi="宋体" w:cs="宋体"/>
          <w:b w:val="0"/>
          <w:color w:val="auto"/>
          <w:sz w:val="28"/>
          <w:szCs w:val="28"/>
          <w:highlight w:val="none"/>
        </w:rPr>
        <w:instrText xml:space="preserve"> PAGEREF _Toc29720 \h </w:instrText>
      </w:r>
      <w:r>
        <w:rPr>
          <w:rFonts w:hint="eastAsia" w:ascii="宋体" w:hAnsi="宋体" w:cs="宋体"/>
          <w:b w:val="0"/>
          <w:color w:val="auto"/>
          <w:sz w:val="28"/>
          <w:szCs w:val="28"/>
          <w:highlight w:val="none"/>
        </w:rPr>
        <w:fldChar w:fldCharType="separate"/>
      </w:r>
      <w:r>
        <w:rPr>
          <w:rFonts w:hint="eastAsia" w:ascii="宋体" w:hAnsi="宋体" w:cs="宋体"/>
          <w:b w:val="0"/>
          <w:color w:val="auto"/>
          <w:sz w:val="28"/>
          <w:szCs w:val="28"/>
          <w:highlight w:val="none"/>
        </w:rPr>
        <w:t>28</w:t>
      </w:r>
      <w:r>
        <w:rPr>
          <w:rFonts w:hint="eastAsia" w:ascii="宋体" w:hAnsi="宋体" w:cs="宋体"/>
          <w:b w:val="0"/>
          <w:color w:val="auto"/>
          <w:sz w:val="28"/>
          <w:szCs w:val="28"/>
          <w:highlight w:val="none"/>
        </w:rPr>
        <w:fldChar w:fldCharType="end"/>
      </w:r>
      <w:r>
        <w:rPr>
          <w:rFonts w:hint="eastAsia" w:ascii="宋体" w:hAnsi="宋体" w:cs="宋体"/>
          <w:b w:val="0"/>
          <w:color w:val="auto"/>
          <w:sz w:val="28"/>
          <w:szCs w:val="28"/>
          <w:highlight w:val="none"/>
        </w:rPr>
        <w:fldChar w:fldCharType="end"/>
      </w:r>
    </w:p>
    <w:p w14:paraId="05CEE851">
      <w:pPr>
        <w:pStyle w:val="29"/>
        <w:tabs>
          <w:tab w:val="right" w:leader="dot" w:pos="9072"/>
        </w:tabs>
        <w:rPr>
          <w:rFonts w:ascii="宋体" w:hAnsi="宋体" w:cs="宋体"/>
          <w:b w:val="0"/>
          <w:color w:val="auto"/>
          <w:sz w:val="28"/>
          <w:szCs w:val="28"/>
          <w:highlight w:val="none"/>
        </w:rPr>
      </w:pPr>
      <w:r>
        <w:rPr>
          <w:color w:val="auto"/>
          <w:highlight w:val="none"/>
        </w:rPr>
        <w:fldChar w:fldCharType="begin"/>
      </w:r>
      <w:r>
        <w:rPr>
          <w:color w:val="auto"/>
          <w:highlight w:val="none"/>
        </w:rPr>
        <w:instrText xml:space="preserve"> HYPERLINK \l "_Toc22817" </w:instrText>
      </w:r>
      <w:r>
        <w:rPr>
          <w:color w:val="auto"/>
          <w:highlight w:val="none"/>
        </w:rPr>
        <w:fldChar w:fldCharType="separate"/>
      </w:r>
      <w:r>
        <w:rPr>
          <w:rFonts w:hint="eastAsia" w:ascii="宋体" w:hAnsi="宋体" w:cs="宋体"/>
          <w:b w:val="0"/>
          <w:color w:val="auto"/>
          <w:sz w:val="28"/>
          <w:szCs w:val="28"/>
          <w:highlight w:val="none"/>
        </w:rPr>
        <w:t>第六章  投标文件格式</w:t>
      </w:r>
      <w:r>
        <w:rPr>
          <w:rFonts w:hint="eastAsia" w:ascii="宋体" w:hAnsi="宋体" w:cs="宋体"/>
          <w:b w:val="0"/>
          <w:color w:val="auto"/>
          <w:sz w:val="28"/>
          <w:szCs w:val="28"/>
          <w:highlight w:val="none"/>
        </w:rPr>
        <w:tab/>
      </w:r>
      <w:r>
        <w:rPr>
          <w:rFonts w:hint="eastAsia" w:ascii="宋体" w:hAnsi="宋体" w:cs="宋体"/>
          <w:b w:val="0"/>
          <w:color w:val="auto"/>
          <w:sz w:val="28"/>
          <w:szCs w:val="28"/>
          <w:highlight w:val="none"/>
        </w:rPr>
        <w:fldChar w:fldCharType="begin"/>
      </w:r>
      <w:r>
        <w:rPr>
          <w:rFonts w:hint="eastAsia" w:ascii="宋体" w:hAnsi="宋体" w:cs="宋体"/>
          <w:b w:val="0"/>
          <w:color w:val="auto"/>
          <w:sz w:val="28"/>
          <w:szCs w:val="28"/>
          <w:highlight w:val="none"/>
        </w:rPr>
        <w:instrText xml:space="preserve"> PAGEREF _Toc22817 \h </w:instrText>
      </w:r>
      <w:r>
        <w:rPr>
          <w:rFonts w:hint="eastAsia" w:ascii="宋体" w:hAnsi="宋体" w:cs="宋体"/>
          <w:b w:val="0"/>
          <w:color w:val="auto"/>
          <w:sz w:val="28"/>
          <w:szCs w:val="28"/>
          <w:highlight w:val="none"/>
        </w:rPr>
        <w:fldChar w:fldCharType="separate"/>
      </w:r>
      <w:r>
        <w:rPr>
          <w:rFonts w:hint="eastAsia" w:ascii="宋体" w:hAnsi="宋体" w:cs="宋体"/>
          <w:b w:val="0"/>
          <w:color w:val="auto"/>
          <w:sz w:val="28"/>
          <w:szCs w:val="28"/>
          <w:highlight w:val="none"/>
        </w:rPr>
        <w:t>28</w:t>
      </w:r>
      <w:r>
        <w:rPr>
          <w:rFonts w:hint="eastAsia" w:ascii="宋体" w:hAnsi="宋体" w:cs="宋体"/>
          <w:b w:val="0"/>
          <w:color w:val="auto"/>
          <w:sz w:val="28"/>
          <w:szCs w:val="28"/>
          <w:highlight w:val="none"/>
        </w:rPr>
        <w:fldChar w:fldCharType="end"/>
      </w:r>
      <w:r>
        <w:rPr>
          <w:rFonts w:hint="eastAsia" w:ascii="宋体" w:hAnsi="宋体" w:cs="宋体"/>
          <w:b w:val="0"/>
          <w:color w:val="auto"/>
          <w:sz w:val="28"/>
          <w:szCs w:val="28"/>
          <w:highlight w:val="none"/>
        </w:rPr>
        <w:fldChar w:fldCharType="end"/>
      </w:r>
    </w:p>
    <w:p w14:paraId="6DB3203F">
      <w:pPr>
        <w:pStyle w:val="29"/>
        <w:tabs>
          <w:tab w:val="right" w:leader="dot" w:pos="9072"/>
        </w:tabs>
        <w:rPr>
          <w:rFonts w:ascii="宋体" w:hAnsi="宋体" w:cs="宋体"/>
          <w:b w:val="0"/>
          <w:color w:val="auto"/>
          <w:sz w:val="28"/>
          <w:szCs w:val="28"/>
          <w:highlight w:val="none"/>
        </w:rPr>
      </w:pPr>
      <w:r>
        <w:rPr>
          <w:color w:val="auto"/>
          <w:highlight w:val="none"/>
        </w:rPr>
        <w:fldChar w:fldCharType="begin"/>
      </w:r>
      <w:r>
        <w:rPr>
          <w:color w:val="auto"/>
          <w:highlight w:val="none"/>
        </w:rPr>
        <w:instrText xml:space="preserve"> HYPERLINK \l "_Toc11563" </w:instrText>
      </w:r>
      <w:r>
        <w:rPr>
          <w:color w:val="auto"/>
          <w:highlight w:val="none"/>
        </w:rPr>
        <w:fldChar w:fldCharType="separate"/>
      </w:r>
      <w:r>
        <w:rPr>
          <w:rFonts w:hint="eastAsia" w:ascii="宋体" w:hAnsi="宋体" w:cs="宋体"/>
          <w:b w:val="0"/>
          <w:color w:val="auto"/>
          <w:sz w:val="28"/>
          <w:szCs w:val="28"/>
          <w:highlight w:val="none"/>
        </w:rPr>
        <w:t>第七章  招标单位、代理机构对本招标文件的确认</w:t>
      </w:r>
      <w:r>
        <w:rPr>
          <w:rFonts w:hint="eastAsia" w:ascii="宋体" w:hAnsi="宋体" w:cs="宋体"/>
          <w:b w:val="0"/>
          <w:color w:val="auto"/>
          <w:sz w:val="28"/>
          <w:szCs w:val="28"/>
          <w:highlight w:val="none"/>
        </w:rPr>
        <w:tab/>
      </w:r>
      <w:r>
        <w:rPr>
          <w:rFonts w:hint="eastAsia" w:ascii="宋体" w:hAnsi="宋体" w:cs="宋体"/>
          <w:b w:val="0"/>
          <w:color w:val="auto"/>
          <w:sz w:val="28"/>
          <w:szCs w:val="28"/>
          <w:highlight w:val="none"/>
        </w:rPr>
        <w:fldChar w:fldCharType="begin"/>
      </w:r>
      <w:r>
        <w:rPr>
          <w:rFonts w:hint="eastAsia" w:ascii="宋体" w:hAnsi="宋体" w:cs="宋体"/>
          <w:b w:val="0"/>
          <w:color w:val="auto"/>
          <w:sz w:val="28"/>
          <w:szCs w:val="28"/>
          <w:highlight w:val="none"/>
        </w:rPr>
        <w:instrText xml:space="preserve"> PAGEREF _Toc11563 \h </w:instrText>
      </w:r>
      <w:r>
        <w:rPr>
          <w:rFonts w:hint="eastAsia" w:ascii="宋体" w:hAnsi="宋体" w:cs="宋体"/>
          <w:b w:val="0"/>
          <w:color w:val="auto"/>
          <w:sz w:val="28"/>
          <w:szCs w:val="28"/>
          <w:highlight w:val="none"/>
        </w:rPr>
        <w:fldChar w:fldCharType="separate"/>
      </w:r>
      <w:r>
        <w:rPr>
          <w:rFonts w:hint="eastAsia" w:ascii="宋体" w:hAnsi="宋体" w:cs="宋体"/>
          <w:b w:val="0"/>
          <w:color w:val="auto"/>
          <w:sz w:val="28"/>
          <w:szCs w:val="28"/>
          <w:highlight w:val="none"/>
        </w:rPr>
        <w:t>41</w:t>
      </w:r>
      <w:r>
        <w:rPr>
          <w:rFonts w:hint="eastAsia" w:ascii="宋体" w:hAnsi="宋体" w:cs="宋体"/>
          <w:b w:val="0"/>
          <w:color w:val="auto"/>
          <w:sz w:val="28"/>
          <w:szCs w:val="28"/>
          <w:highlight w:val="none"/>
        </w:rPr>
        <w:fldChar w:fldCharType="end"/>
      </w:r>
      <w:r>
        <w:rPr>
          <w:rFonts w:hint="eastAsia" w:ascii="宋体" w:hAnsi="宋体" w:cs="宋体"/>
          <w:b w:val="0"/>
          <w:color w:val="auto"/>
          <w:sz w:val="28"/>
          <w:szCs w:val="28"/>
          <w:highlight w:val="none"/>
        </w:rPr>
        <w:fldChar w:fldCharType="end"/>
      </w:r>
    </w:p>
    <w:p w14:paraId="0BE91344">
      <w:pPr>
        <w:adjustRightInd w:val="0"/>
        <w:snapToGrid w:val="0"/>
        <w:spacing w:line="600" w:lineRule="auto"/>
        <w:jc w:val="center"/>
        <w:rPr>
          <w:rFonts w:ascii="宋体" w:hAnsi="宋体" w:cs="宋体"/>
          <w:b/>
          <w:color w:val="auto"/>
          <w:spacing w:val="20"/>
          <w:sz w:val="40"/>
          <w:highlight w:val="none"/>
        </w:rPr>
      </w:pPr>
      <w:r>
        <w:rPr>
          <w:rFonts w:hint="eastAsia" w:ascii="宋体" w:hAnsi="宋体" w:cs="宋体"/>
          <w:bCs/>
          <w:color w:val="auto"/>
          <w:spacing w:val="20"/>
          <w:sz w:val="28"/>
          <w:szCs w:val="28"/>
          <w:highlight w:val="none"/>
        </w:rPr>
        <w:fldChar w:fldCharType="end"/>
      </w:r>
    </w:p>
    <w:p w14:paraId="0794CD48">
      <w:pPr>
        <w:rPr>
          <w:rFonts w:ascii="宋体" w:hAnsi="宋体" w:cs="宋体"/>
          <w:color w:val="auto"/>
          <w:sz w:val="24"/>
          <w:highlight w:val="none"/>
        </w:rPr>
      </w:pPr>
    </w:p>
    <w:p w14:paraId="7293F1C2">
      <w:pPr>
        <w:rPr>
          <w:rFonts w:ascii="宋体" w:hAnsi="宋体" w:cs="宋体"/>
          <w:bCs/>
          <w:color w:val="auto"/>
          <w:sz w:val="32"/>
          <w:highlight w:val="none"/>
        </w:rPr>
      </w:pPr>
    </w:p>
    <w:p w14:paraId="30AE9EEE">
      <w:pPr>
        <w:rPr>
          <w:rFonts w:ascii="宋体" w:hAnsi="宋体" w:cs="宋体"/>
          <w:bCs/>
          <w:color w:val="auto"/>
          <w:sz w:val="32"/>
          <w:highlight w:val="none"/>
        </w:rPr>
      </w:pPr>
    </w:p>
    <w:p w14:paraId="3613E940">
      <w:pPr>
        <w:rPr>
          <w:rFonts w:ascii="宋体" w:hAnsi="宋体" w:cs="宋体"/>
          <w:bCs/>
          <w:color w:val="auto"/>
          <w:sz w:val="32"/>
          <w:highlight w:val="none"/>
        </w:rPr>
      </w:pPr>
    </w:p>
    <w:p w14:paraId="34E81F75">
      <w:pPr>
        <w:pStyle w:val="43"/>
        <w:ind w:firstLine="640"/>
        <w:rPr>
          <w:rFonts w:ascii="宋体" w:hAnsi="宋体" w:cs="宋体"/>
          <w:bCs/>
          <w:color w:val="auto"/>
          <w:sz w:val="32"/>
          <w:highlight w:val="none"/>
        </w:rPr>
      </w:pPr>
    </w:p>
    <w:p w14:paraId="480B91DD">
      <w:pPr>
        <w:rPr>
          <w:rFonts w:ascii="宋体" w:hAnsi="宋体" w:cs="宋体"/>
          <w:bCs/>
          <w:color w:val="auto"/>
          <w:sz w:val="32"/>
          <w:highlight w:val="none"/>
        </w:rPr>
      </w:pPr>
    </w:p>
    <w:p w14:paraId="7EE79443">
      <w:pPr>
        <w:pStyle w:val="43"/>
        <w:ind w:firstLine="640"/>
        <w:rPr>
          <w:rFonts w:ascii="宋体" w:hAnsi="宋体" w:cs="宋体"/>
          <w:bCs/>
          <w:color w:val="auto"/>
          <w:sz w:val="32"/>
          <w:highlight w:val="none"/>
        </w:rPr>
      </w:pPr>
    </w:p>
    <w:p w14:paraId="152FCB66">
      <w:pPr>
        <w:rPr>
          <w:rFonts w:ascii="宋体" w:hAnsi="宋体" w:cs="宋体"/>
          <w:bCs/>
          <w:color w:val="auto"/>
          <w:sz w:val="32"/>
          <w:highlight w:val="none"/>
        </w:rPr>
        <w:sectPr>
          <w:headerReference r:id="rId5" w:type="default"/>
          <w:footerReference r:id="rId6" w:type="default"/>
          <w:pgSz w:w="11906" w:h="16838"/>
          <w:pgMar w:top="1417" w:right="1417" w:bottom="1417" w:left="1417" w:header="851" w:footer="1417" w:gutter="0"/>
          <w:cols w:space="720" w:num="1"/>
          <w:docGrid w:type="lines" w:linePitch="312" w:charSpace="0"/>
        </w:sectPr>
      </w:pPr>
    </w:p>
    <w:p w14:paraId="659AC1AC">
      <w:pPr>
        <w:pStyle w:val="2"/>
        <w:spacing w:before="0" w:after="0"/>
        <w:rPr>
          <w:rFonts w:ascii="宋体" w:hAnsi="宋体" w:cs="宋体"/>
          <w:color w:val="auto"/>
          <w:sz w:val="32"/>
          <w:szCs w:val="32"/>
          <w:highlight w:val="none"/>
        </w:rPr>
      </w:pPr>
      <w:bookmarkStart w:id="4" w:name="_Toc8334"/>
      <w:bookmarkStart w:id="5" w:name="_Toc15842"/>
      <w:r>
        <w:rPr>
          <w:rFonts w:hint="eastAsia" w:ascii="宋体" w:hAnsi="宋体" w:cs="宋体"/>
          <w:color w:val="auto"/>
          <w:sz w:val="32"/>
          <w:szCs w:val="32"/>
          <w:highlight w:val="none"/>
        </w:rPr>
        <w:t>A、招标公告</w:t>
      </w:r>
      <w:bookmarkEnd w:id="4"/>
      <w:bookmarkEnd w:id="5"/>
    </w:p>
    <w:p w14:paraId="7D04D778">
      <w:pPr>
        <w:pStyle w:val="2"/>
        <w:tabs>
          <w:tab w:val="left" w:pos="0"/>
          <w:tab w:val="left" w:pos="3165"/>
          <w:tab w:val="center" w:pos="4153"/>
        </w:tabs>
        <w:autoSpaceDE w:val="0"/>
        <w:autoSpaceDN w:val="0"/>
        <w:adjustRightInd w:val="0"/>
        <w:spacing w:before="0" w:after="0" w:line="240" w:lineRule="auto"/>
        <w:rPr>
          <w:rFonts w:ascii="宋体" w:hAnsi="宋体" w:cs="宋体"/>
          <w:color w:val="auto"/>
          <w:highlight w:val="none"/>
        </w:rPr>
      </w:pPr>
      <w:bookmarkStart w:id="6" w:name="_Toc14627"/>
      <w:bookmarkStart w:id="7" w:name="_Toc21262"/>
      <w:bookmarkStart w:id="8" w:name="_Toc24058"/>
      <w:bookmarkStart w:id="9" w:name="_Toc23264"/>
      <w:r>
        <w:rPr>
          <w:rFonts w:hint="eastAsia" w:ascii="宋体" w:hAnsi="宋体" w:cs="宋体"/>
          <w:b w:val="0"/>
          <w:bCs w:val="0"/>
          <w:color w:val="auto"/>
          <w:kern w:val="2"/>
          <w:sz w:val="28"/>
          <w:szCs w:val="28"/>
          <w:highlight w:val="none"/>
        </w:rPr>
        <w:t>滁州工投经开区光储制造基地测绘业务服务项目招标公告</w:t>
      </w:r>
      <w:bookmarkEnd w:id="6"/>
      <w:bookmarkEnd w:id="7"/>
      <w:r>
        <w:rPr>
          <w:rFonts w:hint="eastAsia" w:ascii="宋体" w:hAnsi="宋体" w:cs="宋体"/>
          <w:b w:val="0"/>
          <w:bCs w:val="0"/>
          <w:color w:val="auto"/>
          <w:kern w:val="2"/>
          <w:sz w:val="28"/>
          <w:szCs w:val="28"/>
          <w:highlight w:val="none"/>
        </w:rPr>
        <w:t>（不见面开标）</w:t>
      </w:r>
      <w:bookmarkEnd w:id="8"/>
      <w:bookmarkEnd w:id="9"/>
    </w:p>
    <w:p w14:paraId="3DCB1DB1">
      <w:pPr>
        <w:keepNext/>
        <w:keepLines/>
        <w:spacing w:before="100" w:after="100"/>
        <w:ind w:firstLine="422" w:firstLineChars="200"/>
        <w:rPr>
          <w:rFonts w:ascii="宋体" w:hAnsi="宋体" w:cs="宋体"/>
          <w:b/>
          <w:bCs/>
          <w:color w:val="auto"/>
          <w:szCs w:val="21"/>
          <w:highlight w:val="none"/>
        </w:rPr>
      </w:pPr>
      <w:bookmarkStart w:id="10" w:name="_Toc28359002"/>
      <w:bookmarkStart w:id="11" w:name="_Toc28359079"/>
      <w:bookmarkStart w:id="12" w:name="_Toc35393621"/>
      <w:bookmarkStart w:id="13" w:name="_Toc23993"/>
      <w:bookmarkStart w:id="14" w:name="_Toc31215"/>
      <w:bookmarkStart w:id="15" w:name="_Toc11704"/>
      <w:bookmarkStart w:id="16" w:name="_Toc35393790"/>
      <w:bookmarkStart w:id="17" w:name="_Hlk24379207"/>
      <w:r>
        <w:rPr>
          <w:rFonts w:hint="eastAsia" w:ascii="宋体" w:hAnsi="宋体" w:cs="宋体"/>
          <w:b/>
          <w:bCs/>
          <w:color w:val="auto"/>
          <w:szCs w:val="21"/>
          <w:highlight w:val="none"/>
        </w:rPr>
        <w:t>一、项目基本情况</w:t>
      </w:r>
      <w:bookmarkEnd w:id="10"/>
      <w:bookmarkEnd w:id="11"/>
      <w:bookmarkEnd w:id="12"/>
      <w:bookmarkEnd w:id="13"/>
      <w:bookmarkEnd w:id="14"/>
      <w:bookmarkEnd w:id="15"/>
      <w:bookmarkEnd w:id="16"/>
    </w:p>
    <w:bookmarkEnd w:id="17"/>
    <w:p w14:paraId="343ED5F6">
      <w:pPr>
        <w:spacing w:line="440" w:lineRule="exact"/>
        <w:ind w:firstLine="420" w:firstLineChars="200"/>
        <w:rPr>
          <w:rFonts w:ascii="宋体" w:hAnsi="宋体" w:cs="宋体"/>
          <w:color w:val="auto"/>
          <w:szCs w:val="21"/>
          <w:highlight w:val="none"/>
        </w:rPr>
      </w:pPr>
      <w:bookmarkStart w:id="18" w:name="_Toc35393622"/>
      <w:bookmarkStart w:id="19" w:name="_Toc35393791"/>
      <w:bookmarkStart w:id="20" w:name="_Toc28004"/>
      <w:bookmarkStart w:id="21" w:name="_Toc28359003"/>
      <w:bookmarkStart w:id="22" w:name="_Toc4879"/>
      <w:bookmarkStart w:id="23" w:name="_Toc28359080"/>
      <w:r>
        <w:rPr>
          <w:rFonts w:hint="eastAsia" w:ascii="宋体" w:hAnsi="宋体" w:cs="宋体"/>
          <w:color w:val="auto"/>
          <w:szCs w:val="21"/>
          <w:highlight w:val="none"/>
        </w:rPr>
        <w:t>项目名称：滁州工投经开区光储制造基地测绘业务服务项目</w:t>
      </w:r>
    </w:p>
    <w:p w14:paraId="7F3AFA7A">
      <w:pPr>
        <w:adjustRightInd w:val="0"/>
        <w:snapToGrid w:val="0"/>
        <w:spacing w:line="6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最高限价：本项目最高限价为</w:t>
      </w:r>
      <w:bookmarkStart w:id="24" w:name="OLE_LINK4"/>
      <w:r>
        <w:rPr>
          <w:rFonts w:hint="eastAsia" w:ascii="宋体" w:hAnsi="宋体" w:cs="宋体"/>
          <w:color w:val="auto"/>
          <w:szCs w:val="21"/>
          <w:highlight w:val="none"/>
          <w:lang w:eastAsia="zh-CN"/>
        </w:rPr>
        <w:t>396000</w:t>
      </w:r>
      <w:r>
        <w:rPr>
          <w:rFonts w:hint="eastAsia" w:ascii="宋体" w:hAnsi="宋体" w:cs="宋体"/>
          <w:color w:val="auto"/>
          <w:szCs w:val="21"/>
          <w:highlight w:val="none"/>
        </w:rPr>
        <w:t>.</w:t>
      </w:r>
      <w:r>
        <w:rPr>
          <w:rFonts w:ascii="宋体" w:hAnsi="宋体" w:cs="宋体"/>
          <w:color w:val="auto"/>
          <w:szCs w:val="21"/>
          <w:highlight w:val="none"/>
        </w:rPr>
        <w:t>00</w:t>
      </w:r>
      <w:bookmarkEnd w:id="24"/>
      <w:r>
        <w:rPr>
          <w:rFonts w:hint="eastAsia" w:ascii="宋体" w:hAnsi="宋体" w:cs="宋体"/>
          <w:color w:val="auto"/>
          <w:szCs w:val="21"/>
          <w:highlight w:val="none"/>
        </w:rPr>
        <w:t>元（含税价）。</w:t>
      </w:r>
    </w:p>
    <w:p w14:paraId="14A80DCA">
      <w:pPr>
        <w:adjustRightInd w:val="0"/>
        <w:snapToGrid w:val="0"/>
        <w:spacing w:line="6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采购需求（招标范围）：滁州工投经开区光储制造基地测绘业务服务项目，项目位于滁州市经开区铜陵路与徽州路交口东北地块，项目总用地面积437.62亩，总建筑面积约247926.63㎡。</w:t>
      </w:r>
    </w:p>
    <w:p w14:paraId="0E25AE6A">
      <w:pPr>
        <w:adjustRightInd w:val="0"/>
        <w:snapToGrid w:val="0"/>
        <w:spacing w:line="6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标段（包别）划分：1个标段</w:t>
      </w:r>
    </w:p>
    <w:p w14:paraId="56A0DC8B">
      <w:pPr>
        <w:adjustRightInd w:val="0"/>
        <w:snapToGrid w:val="0"/>
        <w:spacing w:line="6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合同履行期限（服务期限）：自合同签订之日起，根据施工进度安排，现场满足条件下，任何一项测量工作应在</w:t>
      </w:r>
      <w:r>
        <w:rPr>
          <w:rFonts w:ascii="宋体" w:hAnsi="宋体" w:cs="宋体"/>
          <w:color w:val="auto"/>
          <w:szCs w:val="21"/>
          <w:highlight w:val="none"/>
        </w:rPr>
        <w:t>15</w:t>
      </w:r>
      <w:r>
        <w:rPr>
          <w:rFonts w:hint="eastAsia" w:ascii="宋体" w:hAnsi="宋体" w:cs="宋体"/>
          <w:color w:val="auto"/>
          <w:szCs w:val="21"/>
          <w:highlight w:val="none"/>
        </w:rPr>
        <w:t>日内完成并提交成果。</w:t>
      </w:r>
    </w:p>
    <w:p w14:paraId="743997A3">
      <w:pPr>
        <w:keepNext/>
        <w:keepLines/>
        <w:spacing w:before="100" w:after="100"/>
        <w:ind w:firstLine="422" w:firstLineChars="200"/>
        <w:rPr>
          <w:rFonts w:ascii="宋体" w:hAnsi="宋体" w:cs="宋体"/>
          <w:b/>
          <w:bCs/>
          <w:color w:val="auto"/>
          <w:szCs w:val="21"/>
          <w:highlight w:val="none"/>
        </w:rPr>
      </w:pPr>
      <w:bookmarkStart w:id="25" w:name="_Toc30013"/>
      <w:r>
        <w:rPr>
          <w:rFonts w:hint="eastAsia" w:ascii="宋体" w:hAnsi="宋体" w:cs="宋体"/>
          <w:b/>
          <w:bCs/>
          <w:color w:val="auto"/>
          <w:szCs w:val="21"/>
          <w:highlight w:val="none"/>
        </w:rPr>
        <w:t>二、申请人的资格要求：</w:t>
      </w:r>
      <w:bookmarkEnd w:id="18"/>
      <w:bookmarkEnd w:id="19"/>
      <w:bookmarkEnd w:id="20"/>
      <w:bookmarkEnd w:id="21"/>
      <w:bookmarkEnd w:id="22"/>
      <w:bookmarkEnd w:id="23"/>
      <w:bookmarkEnd w:id="25"/>
    </w:p>
    <w:p w14:paraId="607B2B91">
      <w:pPr>
        <w:adjustRightInd w:val="0"/>
        <w:snapToGrid w:val="0"/>
        <w:spacing w:line="600" w:lineRule="exact"/>
        <w:ind w:firstLine="420" w:firstLineChars="200"/>
        <w:rPr>
          <w:rFonts w:ascii="宋体" w:hAnsi="宋体" w:cs="宋体"/>
          <w:color w:val="auto"/>
          <w:szCs w:val="21"/>
          <w:highlight w:val="none"/>
        </w:rPr>
      </w:pPr>
      <w:bookmarkStart w:id="26" w:name="_Toc2689"/>
      <w:bookmarkStart w:id="27" w:name="_Toc35393623"/>
      <w:bookmarkStart w:id="28" w:name="_Toc28172"/>
      <w:bookmarkStart w:id="29" w:name="_Toc28359081"/>
      <w:bookmarkStart w:id="30" w:name="_Toc7189"/>
      <w:bookmarkStart w:id="31" w:name="_Toc28359004"/>
      <w:bookmarkStart w:id="32" w:name="_Toc35393792"/>
      <w:r>
        <w:rPr>
          <w:rFonts w:hint="eastAsia" w:ascii="宋体" w:hAnsi="宋体" w:cs="宋体"/>
          <w:color w:val="auto"/>
          <w:szCs w:val="21"/>
          <w:highlight w:val="none"/>
        </w:rPr>
        <w:t>1、投标人资质要求：供应商应具有测绘乙级（至少包含工程测量、界线与不动产测绘、地理信息系统工程）及以上资质。</w:t>
      </w:r>
    </w:p>
    <w:p w14:paraId="7043547B">
      <w:pPr>
        <w:adjustRightInd w:val="0"/>
        <w:snapToGrid w:val="0"/>
        <w:spacing w:line="6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2、项目负责人资格要求：具有测绘类专业中级及以上职称证书。</w:t>
      </w:r>
    </w:p>
    <w:p w14:paraId="620CE7B8">
      <w:pPr>
        <w:adjustRightInd w:val="0"/>
        <w:snapToGrid w:val="0"/>
        <w:spacing w:line="6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3、联合体投标：不接受。</w:t>
      </w:r>
    </w:p>
    <w:p w14:paraId="2422738F">
      <w:pPr>
        <w:keepNext/>
        <w:keepLines/>
        <w:spacing w:before="100" w:after="100"/>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三、获取</w:t>
      </w:r>
      <w:bookmarkEnd w:id="26"/>
      <w:bookmarkEnd w:id="27"/>
      <w:bookmarkEnd w:id="28"/>
      <w:bookmarkEnd w:id="29"/>
      <w:bookmarkEnd w:id="30"/>
      <w:bookmarkEnd w:id="31"/>
      <w:bookmarkEnd w:id="32"/>
      <w:r>
        <w:rPr>
          <w:rFonts w:hint="eastAsia" w:ascii="宋体" w:hAnsi="宋体" w:cs="宋体"/>
          <w:b/>
          <w:bCs/>
          <w:color w:val="auto"/>
          <w:szCs w:val="21"/>
          <w:highlight w:val="none"/>
        </w:rPr>
        <w:t>招标文件</w:t>
      </w:r>
    </w:p>
    <w:p w14:paraId="58B7F623">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1、招标文件获取方式：</w:t>
      </w:r>
    </w:p>
    <w:p w14:paraId="246A779B">
      <w:pPr>
        <w:spacing w:line="440" w:lineRule="exact"/>
        <w:ind w:firstLine="420" w:firstLineChars="200"/>
        <w:rPr>
          <w:rFonts w:ascii="宋体" w:hAnsi="宋体" w:cs="宋体"/>
          <w:color w:val="auto"/>
          <w:szCs w:val="21"/>
          <w:highlight w:val="none"/>
          <w:u w:val="single"/>
        </w:rPr>
      </w:pPr>
      <w:r>
        <w:rPr>
          <w:rFonts w:hint="eastAsia" w:ascii="宋体" w:hAnsi="宋体" w:cs="宋体"/>
          <w:color w:val="auto"/>
          <w:szCs w:val="21"/>
          <w:highlight w:val="none"/>
        </w:rPr>
        <w:t>时间：</w:t>
      </w:r>
      <w:r>
        <w:rPr>
          <w:rFonts w:hint="eastAsia" w:ascii="宋体" w:hAnsi="宋体" w:cs="宋体"/>
          <w:color w:val="auto"/>
          <w:szCs w:val="21"/>
          <w:highlight w:val="none"/>
          <w:u w:val="single"/>
          <w:shd w:val="clear" w:color="auto" w:fill="FFFFFF"/>
        </w:rPr>
        <w:t>2026年4月15日</w:t>
      </w:r>
      <w:r>
        <w:rPr>
          <w:rFonts w:hint="eastAsia" w:ascii="宋体" w:hAnsi="宋体" w:cs="宋体"/>
          <w:color w:val="auto"/>
          <w:szCs w:val="21"/>
          <w:highlight w:val="none"/>
          <w:shd w:val="clear" w:color="auto" w:fill="FFFFFF"/>
        </w:rPr>
        <w:t>至</w:t>
      </w:r>
      <w:r>
        <w:rPr>
          <w:rFonts w:hint="eastAsia" w:ascii="宋体" w:hAnsi="宋体" w:cs="宋体"/>
          <w:color w:val="auto"/>
          <w:szCs w:val="21"/>
          <w:highlight w:val="none"/>
          <w:u w:val="single"/>
          <w:shd w:val="clear" w:color="auto" w:fill="FFFFFF"/>
        </w:rPr>
        <w:t>2026年4月23日9时00分</w:t>
      </w:r>
      <w:r>
        <w:rPr>
          <w:rFonts w:hint="eastAsia" w:ascii="宋体" w:hAnsi="宋体" w:cs="宋体"/>
          <w:color w:val="auto"/>
          <w:szCs w:val="21"/>
          <w:highlight w:val="none"/>
          <w:shd w:val="clear" w:color="auto" w:fill="FFFFFF"/>
        </w:rPr>
        <w:t>。</w:t>
      </w:r>
    </w:p>
    <w:p w14:paraId="237B3573">
      <w:pPr>
        <w:wordWrap w:val="0"/>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地点：请于公告发布之日起从滁州市扬子工业投资集团有限公司官网（https://czyzgtjt.com/)</w:t>
      </w:r>
    </w:p>
    <w:p w14:paraId="48BE42D6">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方式：网上下载</w:t>
      </w:r>
    </w:p>
    <w:p w14:paraId="4616DF36">
      <w:pPr>
        <w:keepNext/>
        <w:keepLines/>
        <w:spacing w:before="100" w:after="100"/>
        <w:ind w:firstLine="422" w:firstLineChars="200"/>
        <w:rPr>
          <w:rFonts w:ascii="宋体" w:hAnsi="宋体" w:cs="宋体"/>
          <w:b/>
          <w:bCs/>
          <w:color w:val="auto"/>
          <w:szCs w:val="21"/>
          <w:highlight w:val="none"/>
        </w:rPr>
      </w:pPr>
      <w:bookmarkStart w:id="33" w:name="_Toc28359082"/>
      <w:bookmarkStart w:id="34" w:name="_Toc28359005"/>
      <w:bookmarkStart w:id="35" w:name="_Toc19139"/>
      <w:bookmarkStart w:id="36" w:name="_Toc23486"/>
      <w:bookmarkStart w:id="37" w:name="_Toc6135"/>
      <w:bookmarkStart w:id="38" w:name="_Toc35393793"/>
      <w:bookmarkStart w:id="39" w:name="_Toc35393624"/>
      <w:r>
        <w:rPr>
          <w:rFonts w:hint="eastAsia" w:ascii="宋体" w:hAnsi="宋体" w:cs="宋体"/>
          <w:b/>
          <w:bCs/>
          <w:color w:val="auto"/>
          <w:szCs w:val="21"/>
          <w:highlight w:val="none"/>
        </w:rPr>
        <w:t>四、提交投标文件</w:t>
      </w:r>
      <w:bookmarkEnd w:id="33"/>
      <w:bookmarkEnd w:id="34"/>
      <w:r>
        <w:rPr>
          <w:rFonts w:hint="eastAsia" w:ascii="宋体" w:hAnsi="宋体" w:cs="宋体"/>
          <w:b/>
          <w:bCs/>
          <w:color w:val="auto"/>
          <w:szCs w:val="21"/>
          <w:highlight w:val="none"/>
        </w:rPr>
        <w:t>截止时间、开标时间和地点</w:t>
      </w:r>
      <w:bookmarkEnd w:id="35"/>
      <w:bookmarkEnd w:id="36"/>
      <w:bookmarkEnd w:id="37"/>
      <w:bookmarkEnd w:id="38"/>
      <w:bookmarkEnd w:id="39"/>
    </w:p>
    <w:p w14:paraId="767E01CA">
      <w:pPr>
        <w:spacing w:line="440" w:lineRule="exact"/>
        <w:ind w:firstLine="420" w:firstLineChars="200"/>
        <w:jc w:val="left"/>
        <w:rPr>
          <w:rFonts w:ascii="宋体" w:hAnsi="宋体" w:cs="宋体"/>
          <w:color w:val="auto"/>
          <w:szCs w:val="21"/>
          <w:highlight w:val="none"/>
        </w:rPr>
      </w:pPr>
      <w:bookmarkStart w:id="40" w:name="_Toc1913"/>
      <w:bookmarkStart w:id="41" w:name="_Toc28359007"/>
      <w:bookmarkStart w:id="42" w:name="_Toc35393794"/>
      <w:bookmarkStart w:id="43" w:name="_Toc19623"/>
      <w:bookmarkStart w:id="44" w:name="_Toc35393625"/>
      <w:bookmarkStart w:id="45" w:name="_Toc5602"/>
      <w:bookmarkStart w:id="46" w:name="_Toc28359084"/>
      <w:r>
        <w:rPr>
          <w:rFonts w:hint="eastAsia" w:ascii="宋体" w:hAnsi="宋体" w:cs="宋体"/>
          <w:color w:val="auto"/>
          <w:szCs w:val="21"/>
          <w:highlight w:val="none"/>
        </w:rPr>
        <w:t>1、投标文件递交的截止时间为</w:t>
      </w:r>
      <w:r>
        <w:rPr>
          <w:rFonts w:hint="eastAsia" w:ascii="宋体" w:hAnsi="宋体" w:cs="宋体"/>
          <w:color w:val="auto"/>
          <w:szCs w:val="21"/>
          <w:highlight w:val="none"/>
          <w:u w:val="single"/>
          <w:shd w:val="clear" w:color="auto" w:fill="FFFFFF"/>
        </w:rPr>
        <w:t>2026年4月23日</w:t>
      </w:r>
      <w:r>
        <w:rPr>
          <w:rFonts w:hint="eastAsia" w:ascii="宋体" w:hAnsi="宋体" w:cs="宋体"/>
          <w:color w:val="auto"/>
          <w:szCs w:val="21"/>
          <w:highlight w:val="none"/>
          <w:u w:val="single"/>
        </w:rPr>
        <w:t>9</w:t>
      </w:r>
      <w:r>
        <w:rPr>
          <w:rFonts w:hint="eastAsia" w:ascii="宋体" w:hAnsi="宋体" w:cs="宋体"/>
          <w:color w:val="auto"/>
          <w:szCs w:val="21"/>
          <w:highlight w:val="none"/>
        </w:rPr>
        <w:t>时</w:t>
      </w:r>
      <w:r>
        <w:rPr>
          <w:rFonts w:hint="eastAsia" w:ascii="宋体" w:hAnsi="宋体" w:cs="宋体"/>
          <w:color w:val="auto"/>
          <w:szCs w:val="21"/>
          <w:highlight w:val="none"/>
          <w:u w:val="single"/>
        </w:rPr>
        <w:t>00</w:t>
      </w:r>
      <w:r>
        <w:rPr>
          <w:rFonts w:hint="eastAsia" w:ascii="宋体" w:hAnsi="宋体" w:cs="宋体"/>
          <w:color w:val="auto"/>
          <w:szCs w:val="21"/>
          <w:highlight w:val="none"/>
        </w:rPr>
        <w:t>分；</w:t>
      </w:r>
    </w:p>
    <w:p w14:paraId="5B17A728">
      <w:pPr>
        <w:wordWrap w:val="0"/>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2、地点：滁州市龙蟠大道109号房产商务大厦603会议室</w:t>
      </w:r>
    </w:p>
    <w:p w14:paraId="35747E47">
      <w:pPr>
        <w:keepNext/>
        <w:keepLines/>
        <w:spacing w:before="100" w:after="100"/>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五、公告</w:t>
      </w:r>
      <w:bookmarkEnd w:id="40"/>
      <w:bookmarkEnd w:id="41"/>
      <w:bookmarkEnd w:id="42"/>
      <w:bookmarkEnd w:id="43"/>
      <w:bookmarkEnd w:id="44"/>
      <w:bookmarkEnd w:id="45"/>
      <w:bookmarkEnd w:id="46"/>
      <w:r>
        <w:rPr>
          <w:rFonts w:hint="eastAsia" w:ascii="宋体" w:hAnsi="宋体" w:cs="宋体"/>
          <w:b/>
          <w:bCs/>
          <w:color w:val="auto"/>
          <w:szCs w:val="21"/>
          <w:highlight w:val="none"/>
        </w:rPr>
        <w:t>发布期限及媒体</w:t>
      </w:r>
    </w:p>
    <w:p w14:paraId="511D2DFA">
      <w:pPr>
        <w:wordWrap w:val="0"/>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自本公告发布之日起至投标截止时间止。</w:t>
      </w:r>
    </w:p>
    <w:p w14:paraId="6779B4E6">
      <w:pPr>
        <w:wordWrap w:val="0"/>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本次招标公告在滁州市扬子工业投资集团有限公司官网（https://czyzgtjt.com/)网站上发布。</w:t>
      </w:r>
    </w:p>
    <w:p w14:paraId="431DB6AB">
      <w:pPr>
        <w:keepNext/>
        <w:keepLines/>
        <w:spacing w:before="100" w:after="100"/>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六、投标保证金金额及缴纳账户</w:t>
      </w:r>
    </w:p>
    <w:p w14:paraId="191B9252">
      <w:pPr>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是否要求投标人提交投标保证金：不要求。</w:t>
      </w:r>
    </w:p>
    <w:p w14:paraId="51C90205">
      <w:pPr>
        <w:keepNext/>
        <w:keepLines/>
        <w:spacing w:before="100" w:after="100"/>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七、对本次招标提出询问，请按以下方式联系</w:t>
      </w:r>
    </w:p>
    <w:p w14:paraId="275F566E">
      <w:pPr>
        <w:widowControl/>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1.招标人信息</w:t>
      </w:r>
    </w:p>
    <w:p w14:paraId="0F8380EC">
      <w:pPr>
        <w:spacing w:line="360" w:lineRule="auto"/>
        <w:ind w:firstLine="420" w:firstLineChars="200"/>
        <w:jc w:val="left"/>
        <w:rPr>
          <w:rFonts w:ascii="宋体" w:hAnsi="宋体" w:cs="宋体"/>
          <w:color w:val="auto"/>
          <w:szCs w:val="21"/>
          <w:highlight w:val="none"/>
          <w:u w:val="single"/>
        </w:rPr>
      </w:pPr>
      <w:r>
        <w:rPr>
          <w:rFonts w:hint="eastAsia" w:ascii="宋体" w:hAnsi="宋体" w:cs="宋体"/>
          <w:color w:val="auto"/>
          <w:szCs w:val="21"/>
          <w:highlight w:val="none"/>
        </w:rPr>
        <w:t>名称：</w:t>
      </w:r>
      <w:r>
        <w:rPr>
          <w:rFonts w:hint="eastAsia" w:ascii="宋体" w:hAnsi="宋体" w:cs="宋体"/>
          <w:color w:val="auto"/>
          <w:szCs w:val="21"/>
          <w:highlight w:val="none"/>
          <w:u w:val="single"/>
        </w:rPr>
        <w:t>滁州工投创新科技产业园有限公司</w:t>
      </w:r>
    </w:p>
    <w:p w14:paraId="42F591BC">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地址：</w:t>
      </w:r>
      <w:r>
        <w:rPr>
          <w:rFonts w:hint="eastAsia" w:ascii="宋体" w:hAnsi="宋体" w:cs="宋体"/>
          <w:color w:val="auto"/>
          <w:szCs w:val="21"/>
          <w:highlight w:val="none"/>
          <w:u w:val="single"/>
        </w:rPr>
        <w:t xml:space="preserve">安徽省滁州市南谯区西涧中路4306号 </w:t>
      </w:r>
    </w:p>
    <w:p w14:paraId="61E4B562">
      <w:pPr>
        <w:spacing w:line="360" w:lineRule="auto"/>
        <w:ind w:firstLine="420" w:firstLineChars="200"/>
        <w:jc w:val="left"/>
        <w:rPr>
          <w:rFonts w:ascii="宋体" w:hAnsi="宋体" w:cs="宋体"/>
          <w:color w:val="auto"/>
          <w:szCs w:val="21"/>
          <w:highlight w:val="none"/>
          <w:u w:val="single"/>
        </w:rPr>
      </w:pPr>
      <w:r>
        <w:rPr>
          <w:rFonts w:hint="eastAsia" w:ascii="宋体" w:hAnsi="宋体" w:cs="宋体"/>
          <w:color w:val="auto"/>
          <w:szCs w:val="21"/>
          <w:highlight w:val="none"/>
        </w:rPr>
        <w:t>联系方式：</w:t>
      </w:r>
      <w:bookmarkStart w:id="47" w:name="_Toc28359009"/>
      <w:bookmarkStart w:id="48" w:name="_Toc28359086"/>
      <w:r>
        <w:rPr>
          <w:rFonts w:hint="eastAsia" w:ascii="宋体" w:hAnsi="宋体" w:cs="宋体"/>
          <w:color w:val="auto"/>
          <w:szCs w:val="21"/>
          <w:highlight w:val="none"/>
          <w:u w:val="single"/>
        </w:rPr>
        <w:t>刘工  19355030932</w:t>
      </w:r>
    </w:p>
    <w:p w14:paraId="1E0F5382">
      <w:pPr>
        <w:spacing w:line="360" w:lineRule="auto"/>
        <w:ind w:firstLine="420" w:firstLineChars="200"/>
        <w:jc w:val="left"/>
        <w:rPr>
          <w:rFonts w:ascii="宋体" w:hAnsi="宋体" w:cs="宋体"/>
          <w:color w:val="auto"/>
          <w:szCs w:val="21"/>
          <w:highlight w:val="none"/>
          <w:u w:val="single"/>
        </w:rPr>
      </w:pPr>
      <w:r>
        <w:rPr>
          <w:rFonts w:hint="eastAsia" w:ascii="宋体" w:hAnsi="宋体" w:cs="宋体"/>
          <w:color w:val="auto"/>
          <w:szCs w:val="21"/>
          <w:highlight w:val="none"/>
          <w:u w:val="single"/>
        </w:rPr>
        <w:t>监督电话：0550-3018133</w:t>
      </w:r>
    </w:p>
    <w:p w14:paraId="4D037313">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2.招标代理机构信息</w:t>
      </w:r>
      <w:bookmarkEnd w:id="47"/>
      <w:bookmarkEnd w:id="48"/>
    </w:p>
    <w:p w14:paraId="1862795F">
      <w:pPr>
        <w:spacing w:line="360" w:lineRule="auto"/>
        <w:ind w:firstLine="420" w:firstLineChars="200"/>
        <w:rPr>
          <w:rFonts w:ascii="宋体" w:hAnsi="宋体" w:cs="宋体"/>
          <w:color w:val="auto"/>
          <w:szCs w:val="21"/>
          <w:highlight w:val="none"/>
        </w:rPr>
      </w:pPr>
      <w:bookmarkStart w:id="49" w:name="_Toc28359010"/>
      <w:bookmarkStart w:id="50" w:name="_Toc28359087"/>
      <w:r>
        <w:rPr>
          <w:rFonts w:hint="eastAsia" w:ascii="宋体" w:hAnsi="宋体" w:cs="宋体"/>
          <w:color w:val="auto"/>
          <w:szCs w:val="21"/>
          <w:highlight w:val="none"/>
        </w:rPr>
        <w:t>名称：</w:t>
      </w:r>
      <w:r>
        <w:rPr>
          <w:rFonts w:hint="eastAsia" w:ascii="宋体" w:hAnsi="宋体" w:cs="宋体"/>
          <w:color w:val="auto"/>
          <w:szCs w:val="21"/>
          <w:highlight w:val="none"/>
          <w:u w:val="single"/>
        </w:rPr>
        <w:t>滁州市城投工程咨询管理有限公司</w:t>
      </w:r>
    </w:p>
    <w:p w14:paraId="14D6E058">
      <w:pPr>
        <w:spacing w:line="360" w:lineRule="auto"/>
        <w:ind w:firstLine="420" w:firstLineChars="200"/>
        <w:rPr>
          <w:rFonts w:ascii="宋体" w:hAnsi="宋体" w:cs="宋体"/>
          <w:color w:val="auto"/>
          <w:szCs w:val="21"/>
          <w:highlight w:val="none"/>
          <w:u w:val="single"/>
        </w:rPr>
      </w:pPr>
      <w:r>
        <w:rPr>
          <w:rFonts w:hint="eastAsia" w:ascii="宋体" w:hAnsi="宋体" w:cs="宋体"/>
          <w:color w:val="auto"/>
          <w:szCs w:val="21"/>
          <w:highlight w:val="none"/>
        </w:rPr>
        <w:t>地址：</w:t>
      </w:r>
      <w:r>
        <w:rPr>
          <w:rFonts w:hint="eastAsia" w:ascii="宋体" w:hAnsi="宋体" w:cs="宋体"/>
          <w:color w:val="auto"/>
          <w:szCs w:val="21"/>
          <w:highlight w:val="none"/>
          <w:u w:val="single"/>
        </w:rPr>
        <w:t>滁州市龙蟠大道109号房产商务大厦6楼605室</w:t>
      </w:r>
    </w:p>
    <w:p w14:paraId="1269579A">
      <w:pPr>
        <w:spacing w:line="360" w:lineRule="auto"/>
        <w:ind w:firstLine="420" w:firstLineChars="200"/>
        <w:rPr>
          <w:rFonts w:ascii="宋体" w:hAnsi="宋体" w:cs="宋体"/>
          <w:color w:val="auto"/>
          <w:szCs w:val="21"/>
          <w:highlight w:val="none"/>
          <w:u w:val="single"/>
        </w:rPr>
      </w:pPr>
      <w:r>
        <w:rPr>
          <w:rFonts w:hint="eastAsia" w:ascii="宋体" w:hAnsi="宋体" w:cs="宋体"/>
          <w:color w:val="auto"/>
          <w:szCs w:val="21"/>
          <w:highlight w:val="none"/>
        </w:rPr>
        <w:t>联系方式：</w:t>
      </w:r>
      <w:r>
        <w:rPr>
          <w:rFonts w:hint="eastAsia" w:ascii="宋体" w:hAnsi="宋体" w:cs="宋体"/>
          <w:color w:val="auto"/>
          <w:szCs w:val="21"/>
          <w:highlight w:val="none"/>
          <w:u w:val="single"/>
        </w:rPr>
        <w:t>曹思敏 0550-3519516、18712012204</w:t>
      </w:r>
    </w:p>
    <w:bookmarkEnd w:id="49"/>
    <w:bookmarkEnd w:id="50"/>
    <w:p w14:paraId="6E527B4B">
      <w:pPr>
        <w:pStyle w:val="226"/>
        <w:ind w:firstLine="420"/>
        <w:rPr>
          <w:rFonts w:ascii="宋体" w:hAnsi="宋体" w:eastAsia="宋体" w:cs="宋体"/>
          <w:color w:val="auto"/>
          <w:sz w:val="21"/>
          <w:szCs w:val="21"/>
          <w:highlight w:val="none"/>
        </w:rPr>
      </w:pPr>
    </w:p>
    <w:p w14:paraId="6D50EFF8">
      <w:pPr>
        <w:pStyle w:val="226"/>
        <w:ind w:firstLine="480"/>
        <w:rPr>
          <w:rFonts w:ascii="宋体" w:hAnsi="宋体" w:eastAsia="宋体" w:cs="宋体"/>
          <w:color w:val="auto"/>
          <w:highlight w:val="none"/>
        </w:rPr>
      </w:pPr>
    </w:p>
    <w:p w14:paraId="5512E385">
      <w:pPr>
        <w:pStyle w:val="2"/>
        <w:spacing w:before="0" w:after="0"/>
        <w:rPr>
          <w:rFonts w:ascii="宋体" w:hAnsi="宋体" w:cs="宋体"/>
          <w:color w:val="auto"/>
          <w:sz w:val="28"/>
          <w:szCs w:val="28"/>
          <w:highlight w:val="none"/>
        </w:rPr>
      </w:pPr>
      <w:r>
        <w:rPr>
          <w:rFonts w:hint="eastAsia" w:ascii="宋体" w:hAnsi="宋体" w:cs="宋体"/>
          <w:color w:val="auto"/>
          <w:sz w:val="28"/>
          <w:szCs w:val="28"/>
          <w:highlight w:val="none"/>
        </w:rPr>
        <w:br w:type="page"/>
      </w:r>
      <w:bookmarkStart w:id="51" w:name="_Toc18737"/>
      <w:bookmarkStart w:id="52" w:name="_Toc20637"/>
      <w:r>
        <w:rPr>
          <w:rFonts w:hint="eastAsia" w:ascii="宋体" w:hAnsi="宋体" w:cs="宋体"/>
          <w:color w:val="auto"/>
          <w:sz w:val="28"/>
          <w:szCs w:val="28"/>
          <w:highlight w:val="none"/>
        </w:rPr>
        <w:t>第一章  投标须知</w:t>
      </w:r>
      <w:bookmarkEnd w:id="51"/>
      <w:bookmarkEnd w:id="52"/>
    </w:p>
    <w:tbl>
      <w:tblPr>
        <w:tblStyle w:val="44"/>
        <w:tblW w:w="9547"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0"/>
        <w:gridCol w:w="832"/>
        <w:gridCol w:w="1028"/>
        <w:gridCol w:w="6817"/>
      </w:tblGrid>
      <w:tr w14:paraId="436997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0" w:type="dxa"/>
            <w:vAlign w:val="center"/>
          </w:tcPr>
          <w:p w14:paraId="50AF4AD8">
            <w:pPr>
              <w:spacing w:line="440" w:lineRule="exact"/>
              <w:jc w:val="center"/>
              <w:rPr>
                <w:rFonts w:ascii="宋体" w:hAnsi="宋体" w:cs="宋体"/>
                <w:b/>
                <w:color w:val="auto"/>
                <w:szCs w:val="21"/>
                <w:highlight w:val="none"/>
              </w:rPr>
            </w:pPr>
            <w:r>
              <w:rPr>
                <w:rFonts w:hint="eastAsia" w:ascii="宋体" w:hAnsi="宋体" w:cs="宋体"/>
                <w:b/>
                <w:color w:val="auto"/>
                <w:szCs w:val="21"/>
                <w:highlight w:val="none"/>
              </w:rPr>
              <w:t>序号</w:t>
            </w:r>
          </w:p>
        </w:tc>
        <w:tc>
          <w:tcPr>
            <w:tcW w:w="1860" w:type="dxa"/>
            <w:gridSpan w:val="2"/>
            <w:vAlign w:val="center"/>
          </w:tcPr>
          <w:p w14:paraId="6FD71F07">
            <w:pPr>
              <w:spacing w:line="440" w:lineRule="exact"/>
              <w:jc w:val="center"/>
              <w:rPr>
                <w:rFonts w:ascii="宋体" w:hAnsi="宋体" w:cs="宋体"/>
                <w:b/>
                <w:color w:val="auto"/>
                <w:szCs w:val="21"/>
                <w:highlight w:val="none"/>
              </w:rPr>
            </w:pPr>
            <w:r>
              <w:rPr>
                <w:rFonts w:hint="eastAsia" w:ascii="宋体" w:hAnsi="宋体" w:cs="宋体"/>
                <w:b/>
                <w:color w:val="auto"/>
                <w:szCs w:val="21"/>
                <w:highlight w:val="none"/>
              </w:rPr>
              <w:t>条  款  名  称</w:t>
            </w:r>
          </w:p>
        </w:tc>
        <w:tc>
          <w:tcPr>
            <w:tcW w:w="6817" w:type="dxa"/>
            <w:vAlign w:val="center"/>
          </w:tcPr>
          <w:p w14:paraId="2ACE323A">
            <w:pPr>
              <w:spacing w:line="440" w:lineRule="exact"/>
              <w:jc w:val="center"/>
              <w:rPr>
                <w:rFonts w:ascii="宋体" w:hAnsi="宋体" w:cs="宋体"/>
                <w:b/>
                <w:color w:val="auto"/>
                <w:szCs w:val="21"/>
                <w:highlight w:val="none"/>
              </w:rPr>
            </w:pPr>
            <w:r>
              <w:rPr>
                <w:rFonts w:hint="eastAsia" w:ascii="宋体" w:hAnsi="宋体" w:cs="宋体"/>
                <w:b/>
                <w:color w:val="auto"/>
                <w:szCs w:val="21"/>
                <w:highlight w:val="none"/>
              </w:rPr>
              <w:t>编  列  内  容</w:t>
            </w:r>
          </w:p>
        </w:tc>
      </w:tr>
      <w:tr w14:paraId="139114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0" w:type="dxa"/>
            <w:vAlign w:val="center"/>
          </w:tcPr>
          <w:p w14:paraId="44D613CA">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1</w:t>
            </w:r>
          </w:p>
        </w:tc>
        <w:tc>
          <w:tcPr>
            <w:tcW w:w="1860" w:type="dxa"/>
            <w:gridSpan w:val="2"/>
            <w:vAlign w:val="center"/>
          </w:tcPr>
          <w:p w14:paraId="63C1FC54">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招标单位</w:t>
            </w:r>
          </w:p>
        </w:tc>
        <w:tc>
          <w:tcPr>
            <w:tcW w:w="6817" w:type="dxa"/>
            <w:vAlign w:val="center"/>
          </w:tcPr>
          <w:p w14:paraId="23FA1B74">
            <w:pPr>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名称：滁州工投创新科技产业园有限公司</w:t>
            </w:r>
          </w:p>
          <w:p w14:paraId="313C5113">
            <w:pPr>
              <w:spacing w:line="360" w:lineRule="auto"/>
              <w:jc w:val="left"/>
              <w:rPr>
                <w:rFonts w:hint="eastAsia" w:ascii="宋体" w:hAnsi="宋体" w:cs="宋体"/>
                <w:color w:val="auto"/>
                <w:szCs w:val="21"/>
                <w:highlight w:val="none"/>
                <w:lang w:val="en-US" w:eastAsia="zh-CN"/>
              </w:rPr>
            </w:pPr>
            <w:r>
              <w:rPr>
                <w:rFonts w:hint="eastAsia" w:ascii="宋体" w:hAnsi="宋体" w:cs="宋体"/>
                <w:color w:val="auto"/>
                <w:szCs w:val="21"/>
                <w:highlight w:val="none"/>
              </w:rPr>
              <w:t>地址：滁州市</w:t>
            </w:r>
            <w:r>
              <w:rPr>
                <w:rFonts w:hint="eastAsia" w:ascii="宋体" w:hAnsi="宋体" w:cs="宋体"/>
                <w:color w:val="auto"/>
                <w:szCs w:val="21"/>
                <w:highlight w:val="none"/>
                <w:lang w:val="en-US" w:eastAsia="zh-CN"/>
              </w:rPr>
              <w:t>经开区徽州路与铜陵路交口东北地块</w:t>
            </w:r>
          </w:p>
          <w:p w14:paraId="777587F2">
            <w:pPr>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联系人：刘工</w:t>
            </w:r>
            <w:r>
              <w:rPr>
                <w:rFonts w:hint="eastAsia" w:ascii="宋体" w:hAnsi="宋体" w:cs="宋体"/>
                <w:color w:val="auto"/>
                <w:highlight w:val="none"/>
              </w:rPr>
              <w:t xml:space="preserve"> </w:t>
            </w:r>
          </w:p>
          <w:p w14:paraId="72ED4586">
            <w:pPr>
              <w:spacing w:line="360" w:lineRule="auto"/>
              <w:jc w:val="left"/>
              <w:rPr>
                <w:rFonts w:ascii="宋体" w:hAnsi="宋体" w:cs="宋体"/>
                <w:color w:val="auto"/>
                <w:highlight w:val="none"/>
              </w:rPr>
            </w:pPr>
            <w:r>
              <w:rPr>
                <w:rFonts w:hint="eastAsia" w:ascii="宋体" w:hAnsi="宋体" w:cs="宋体"/>
                <w:color w:val="auto"/>
                <w:kern w:val="0"/>
                <w:szCs w:val="21"/>
                <w:highlight w:val="none"/>
              </w:rPr>
              <w:t>联系方式：19355030932，  监督电话：0550-3018133</w:t>
            </w:r>
          </w:p>
        </w:tc>
      </w:tr>
      <w:tr w14:paraId="2B2A5D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0" w:type="dxa"/>
            <w:vAlign w:val="center"/>
          </w:tcPr>
          <w:p w14:paraId="3FC0BF5F">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2</w:t>
            </w:r>
          </w:p>
        </w:tc>
        <w:tc>
          <w:tcPr>
            <w:tcW w:w="1860" w:type="dxa"/>
            <w:gridSpan w:val="2"/>
            <w:vAlign w:val="center"/>
          </w:tcPr>
          <w:p w14:paraId="607A66FE">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招标代理机构</w:t>
            </w:r>
          </w:p>
        </w:tc>
        <w:tc>
          <w:tcPr>
            <w:tcW w:w="6817" w:type="dxa"/>
            <w:vAlign w:val="center"/>
          </w:tcPr>
          <w:p w14:paraId="52CE030D">
            <w:pPr>
              <w:widowControl/>
              <w:spacing w:line="440" w:lineRule="exact"/>
              <w:jc w:val="left"/>
              <w:rPr>
                <w:rFonts w:ascii="宋体" w:hAnsi="宋体" w:cs="宋体"/>
                <w:color w:val="auto"/>
                <w:szCs w:val="21"/>
                <w:highlight w:val="none"/>
              </w:rPr>
            </w:pPr>
            <w:r>
              <w:rPr>
                <w:rFonts w:hint="eastAsia" w:ascii="宋体" w:hAnsi="宋体" w:cs="宋体"/>
                <w:color w:val="auto"/>
                <w:szCs w:val="21"/>
                <w:highlight w:val="none"/>
              </w:rPr>
              <w:t xml:space="preserve">名称：滁州市城投工程咨询管理有限公司  </w:t>
            </w:r>
          </w:p>
          <w:p w14:paraId="4457EF53">
            <w:pPr>
              <w:widowControl/>
              <w:spacing w:line="440" w:lineRule="exact"/>
              <w:jc w:val="left"/>
              <w:rPr>
                <w:rFonts w:ascii="宋体" w:hAnsi="宋体" w:cs="宋体"/>
                <w:color w:val="auto"/>
                <w:szCs w:val="21"/>
                <w:highlight w:val="none"/>
              </w:rPr>
            </w:pPr>
            <w:r>
              <w:rPr>
                <w:rFonts w:hint="eastAsia" w:ascii="宋体" w:hAnsi="宋体" w:cs="宋体"/>
                <w:color w:val="auto"/>
                <w:szCs w:val="21"/>
                <w:highlight w:val="none"/>
              </w:rPr>
              <w:t>地址：滁州市龙蟠大道109号房产商务大厦6楼</w:t>
            </w:r>
          </w:p>
          <w:p w14:paraId="7C8528AD">
            <w:pPr>
              <w:widowControl/>
              <w:spacing w:line="440" w:lineRule="exact"/>
              <w:jc w:val="left"/>
              <w:rPr>
                <w:rFonts w:ascii="宋体" w:hAnsi="宋体" w:cs="宋体"/>
                <w:color w:val="auto"/>
                <w:szCs w:val="21"/>
                <w:highlight w:val="none"/>
              </w:rPr>
            </w:pPr>
            <w:r>
              <w:rPr>
                <w:rFonts w:hint="eastAsia" w:ascii="宋体" w:hAnsi="宋体" w:cs="宋体"/>
                <w:color w:val="auto"/>
                <w:szCs w:val="21"/>
                <w:highlight w:val="none"/>
              </w:rPr>
              <w:t>联系人：</w:t>
            </w:r>
            <w:r>
              <w:rPr>
                <w:rFonts w:hint="eastAsia" w:ascii="宋体" w:hAnsi="宋体" w:cs="宋体"/>
                <w:color w:val="auto"/>
                <w:kern w:val="0"/>
                <w:szCs w:val="21"/>
                <w:highlight w:val="none"/>
              </w:rPr>
              <w:t>曹思敏</w:t>
            </w:r>
          </w:p>
          <w:p w14:paraId="1B7679C6">
            <w:pPr>
              <w:spacing w:line="440" w:lineRule="exact"/>
              <w:rPr>
                <w:rFonts w:ascii="宋体" w:hAnsi="宋体" w:cs="宋体"/>
                <w:color w:val="auto"/>
                <w:szCs w:val="21"/>
                <w:highlight w:val="none"/>
              </w:rPr>
            </w:pPr>
            <w:r>
              <w:rPr>
                <w:rFonts w:hint="eastAsia" w:ascii="宋体" w:hAnsi="宋体" w:cs="宋体"/>
                <w:color w:val="auto"/>
                <w:szCs w:val="21"/>
                <w:highlight w:val="none"/>
              </w:rPr>
              <w:t>联系方式：</w:t>
            </w:r>
            <w:r>
              <w:rPr>
                <w:rFonts w:hint="eastAsia" w:ascii="宋体" w:hAnsi="宋体" w:cs="宋体"/>
                <w:color w:val="auto"/>
                <w:kern w:val="0"/>
                <w:szCs w:val="21"/>
                <w:highlight w:val="none"/>
              </w:rPr>
              <w:t>18955055067</w:t>
            </w:r>
          </w:p>
        </w:tc>
      </w:tr>
      <w:tr w14:paraId="023E03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0" w:type="dxa"/>
            <w:vAlign w:val="center"/>
          </w:tcPr>
          <w:p w14:paraId="134DDBF0">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3</w:t>
            </w:r>
          </w:p>
        </w:tc>
        <w:tc>
          <w:tcPr>
            <w:tcW w:w="1860" w:type="dxa"/>
            <w:gridSpan w:val="2"/>
            <w:vAlign w:val="center"/>
          </w:tcPr>
          <w:p w14:paraId="2CFB3D69">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项目名称</w:t>
            </w:r>
          </w:p>
        </w:tc>
        <w:tc>
          <w:tcPr>
            <w:tcW w:w="6817" w:type="dxa"/>
            <w:vAlign w:val="bottom"/>
          </w:tcPr>
          <w:p w14:paraId="3D6FB9F7">
            <w:pPr>
              <w:pStyle w:val="43"/>
              <w:spacing w:after="0" w:line="440" w:lineRule="exact"/>
              <w:ind w:left="0" w:leftChars="0" w:firstLine="0" w:firstLineChars="0"/>
              <w:rPr>
                <w:rFonts w:ascii="宋体" w:hAnsi="宋体" w:cs="宋体"/>
                <w:color w:val="auto"/>
                <w:szCs w:val="21"/>
                <w:highlight w:val="none"/>
              </w:rPr>
            </w:pPr>
            <w:r>
              <w:rPr>
                <w:rFonts w:hint="eastAsia" w:ascii="宋体" w:hAnsi="宋体" w:cs="宋体"/>
                <w:color w:val="auto"/>
                <w:szCs w:val="21"/>
                <w:highlight w:val="none"/>
              </w:rPr>
              <w:t>滁州工投经开区光储制造基地测绘业务服务项目</w:t>
            </w:r>
          </w:p>
        </w:tc>
      </w:tr>
      <w:tr w14:paraId="2A07C9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70" w:type="dxa"/>
            <w:vAlign w:val="center"/>
          </w:tcPr>
          <w:p w14:paraId="2027D610">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4</w:t>
            </w:r>
          </w:p>
        </w:tc>
        <w:tc>
          <w:tcPr>
            <w:tcW w:w="1860" w:type="dxa"/>
            <w:gridSpan w:val="2"/>
            <w:vAlign w:val="center"/>
          </w:tcPr>
          <w:p w14:paraId="334BD8F1">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建设地点</w:t>
            </w:r>
          </w:p>
        </w:tc>
        <w:tc>
          <w:tcPr>
            <w:tcW w:w="6817" w:type="dxa"/>
            <w:vAlign w:val="center"/>
          </w:tcPr>
          <w:p w14:paraId="7FCE57B5">
            <w:pPr>
              <w:spacing w:line="440" w:lineRule="exact"/>
              <w:rPr>
                <w:rFonts w:ascii="宋体" w:hAnsi="宋体" w:cs="宋体"/>
                <w:color w:val="auto"/>
                <w:highlight w:val="none"/>
              </w:rPr>
            </w:pPr>
            <w:r>
              <w:rPr>
                <w:rFonts w:hint="eastAsia" w:ascii="宋体" w:hAnsi="宋体" w:cs="宋体"/>
                <w:color w:val="auto"/>
                <w:szCs w:val="21"/>
                <w:highlight w:val="none"/>
              </w:rPr>
              <w:t>滁州市</w:t>
            </w:r>
          </w:p>
        </w:tc>
      </w:tr>
      <w:tr w14:paraId="0B9C8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0" w:type="dxa"/>
            <w:vAlign w:val="center"/>
          </w:tcPr>
          <w:p w14:paraId="07D82118">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5</w:t>
            </w:r>
          </w:p>
        </w:tc>
        <w:tc>
          <w:tcPr>
            <w:tcW w:w="1860" w:type="dxa"/>
            <w:gridSpan w:val="2"/>
            <w:vAlign w:val="center"/>
          </w:tcPr>
          <w:p w14:paraId="097A4839">
            <w:pPr>
              <w:widowControl/>
              <w:spacing w:line="440" w:lineRule="exact"/>
              <w:jc w:val="center"/>
              <w:rPr>
                <w:rFonts w:ascii="宋体" w:hAnsi="宋体" w:cs="宋体"/>
                <w:color w:val="auto"/>
                <w:szCs w:val="21"/>
                <w:highlight w:val="none"/>
              </w:rPr>
            </w:pPr>
            <w:r>
              <w:rPr>
                <w:rFonts w:hint="eastAsia" w:ascii="宋体" w:hAnsi="宋体" w:cs="宋体"/>
                <w:color w:val="auto"/>
                <w:kern w:val="0"/>
                <w:szCs w:val="21"/>
                <w:highlight w:val="none"/>
              </w:rPr>
              <w:t>工程规模</w:t>
            </w:r>
          </w:p>
        </w:tc>
        <w:tc>
          <w:tcPr>
            <w:tcW w:w="6817" w:type="dxa"/>
            <w:vAlign w:val="center"/>
          </w:tcPr>
          <w:p w14:paraId="33317685">
            <w:pPr>
              <w:widowControl/>
              <w:spacing w:line="440" w:lineRule="exact"/>
              <w:rPr>
                <w:rFonts w:ascii="宋体" w:hAnsi="宋体" w:cs="宋体"/>
                <w:color w:val="auto"/>
                <w:highlight w:val="none"/>
              </w:rPr>
            </w:pPr>
            <w:r>
              <w:rPr>
                <w:rFonts w:hint="eastAsia" w:ascii="宋体" w:hAnsi="宋体" w:cs="宋体"/>
                <w:color w:val="auto"/>
                <w:szCs w:val="21"/>
                <w:highlight w:val="none"/>
              </w:rPr>
              <w:t>约</w:t>
            </w:r>
            <w:r>
              <w:rPr>
                <w:rFonts w:hint="eastAsia" w:ascii="宋体" w:hAnsi="宋体" w:cs="宋体"/>
                <w:color w:val="auto"/>
                <w:szCs w:val="21"/>
                <w:highlight w:val="none"/>
                <w:lang w:val="en-US" w:eastAsia="zh-CN"/>
              </w:rPr>
              <w:t>39.6</w:t>
            </w:r>
            <w:r>
              <w:rPr>
                <w:rFonts w:hint="eastAsia" w:ascii="宋体" w:hAnsi="宋体" w:cs="宋体"/>
                <w:color w:val="auto"/>
                <w:szCs w:val="21"/>
                <w:highlight w:val="none"/>
              </w:rPr>
              <w:t>万元</w:t>
            </w:r>
          </w:p>
        </w:tc>
      </w:tr>
      <w:tr w14:paraId="13290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70" w:type="dxa"/>
            <w:vAlign w:val="center"/>
          </w:tcPr>
          <w:p w14:paraId="1015A6F2">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6</w:t>
            </w:r>
          </w:p>
        </w:tc>
        <w:tc>
          <w:tcPr>
            <w:tcW w:w="1860" w:type="dxa"/>
            <w:gridSpan w:val="2"/>
            <w:vAlign w:val="center"/>
          </w:tcPr>
          <w:p w14:paraId="29B23EB9">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资金来源及比例</w:t>
            </w:r>
          </w:p>
        </w:tc>
        <w:tc>
          <w:tcPr>
            <w:tcW w:w="6817" w:type="dxa"/>
            <w:vAlign w:val="center"/>
          </w:tcPr>
          <w:p w14:paraId="361D0A83">
            <w:pPr>
              <w:spacing w:line="440" w:lineRule="exact"/>
              <w:rPr>
                <w:rFonts w:ascii="宋体" w:hAnsi="宋体" w:cs="宋体"/>
                <w:color w:val="auto"/>
                <w:szCs w:val="21"/>
                <w:highlight w:val="none"/>
              </w:rPr>
            </w:pPr>
            <w:r>
              <w:rPr>
                <w:rFonts w:hint="eastAsia" w:ascii="宋体" w:hAnsi="宋体" w:cs="宋体"/>
                <w:color w:val="auto"/>
                <w:szCs w:val="21"/>
                <w:highlight w:val="none"/>
              </w:rPr>
              <w:t>资金来源：自筹资金，比例：100%</w:t>
            </w:r>
          </w:p>
        </w:tc>
      </w:tr>
      <w:tr w14:paraId="095A4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0" w:type="dxa"/>
            <w:vAlign w:val="center"/>
          </w:tcPr>
          <w:p w14:paraId="28C2D482">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7</w:t>
            </w:r>
          </w:p>
        </w:tc>
        <w:tc>
          <w:tcPr>
            <w:tcW w:w="1860" w:type="dxa"/>
            <w:gridSpan w:val="2"/>
            <w:vAlign w:val="center"/>
          </w:tcPr>
          <w:p w14:paraId="555F517F">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招标范围</w:t>
            </w:r>
          </w:p>
        </w:tc>
        <w:tc>
          <w:tcPr>
            <w:tcW w:w="6817" w:type="dxa"/>
            <w:vAlign w:val="center"/>
          </w:tcPr>
          <w:p w14:paraId="44C65FE9">
            <w:pPr>
              <w:spacing w:line="440" w:lineRule="exact"/>
              <w:rPr>
                <w:rFonts w:ascii="宋体" w:hAnsi="宋体" w:cs="宋体"/>
                <w:color w:val="auto"/>
                <w:szCs w:val="21"/>
                <w:highlight w:val="none"/>
              </w:rPr>
            </w:pPr>
            <w:r>
              <w:rPr>
                <w:rFonts w:hint="eastAsia" w:ascii="宋体" w:hAnsi="宋体" w:cs="宋体"/>
                <w:color w:val="auto"/>
                <w:szCs w:val="21"/>
                <w:highlight w:val="none"/>
              </w:rPr>
              <w:t>见招标公告</w:t>
            </w:r>
          </w:p>
        </w:tc>
      </w:tr>
      <w:tr w14:paraId="3D25BB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0" w:type="dxa"/>
            <w:vAlign w:val="center"/>
          </w:tcPr>
          <w:p w14:paraId="66869C73">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8</w:t>
            </w:r>
          </w:p>
        </w:tc>
        <w:tc>
          <w:tcPr>
            <w:tcW w:w="1860" w:type="dxa"/>
            <w:gridSpan w:val="2"/>
            <w:vAlign w:val="center"/>
          </w:tcPr>
          <w:p w14:paraId="552CE44F">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标段划分</w:t>
            </w:r>
          </w:p>
        </w:tc>
        <w:tc>
          <w:tcPr>
            <w:tcW w:w="6817" w:type="dxa"/>
            <w:vAlign w:val="center"/>
          </w:tcPr>
          <w:p w14:paraId="363F8031">
            <w:pPr>
              <w:spacing w:line="440" w:lineRule="exact"/>
              <w:rPr>
                <w:rFonts w:ascii="宋体" w:hAnsi="宋体" w:cs="宋体"/>
                <w:b/>
                <w:bCs/>
                <w:color w:val="auto"/>
                <w:szCs w:val="21"/>
                <w:highlight w:val="none"/>
              </w:rPr>
            </w:pPr>
            <w:r>
              <w:rPr>
                <w:rFonts w:hint="eastAsia" w:ascii="宋体" w:hAnsi="宋体" w:cs="宋体"/>
                <w:color w:val="auto"/>
                <w:szCs w:val="21"/>
                <w:highlight w:val="none"/>
              </w:rPr>
              <w:t>一个标段</w:t>
            </w:r>
          </w:p>
        </w:tc>
      </w:tr>
      <w:tr w14:paraId="742598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70" w:type="dxa"/>
            <w:vAlign w:val="center"/>
          </w:tcPr>
          <w:p w14:paraId="6B8F8191">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9</w:t>
            </w:r>
          </w:p>
        </w:tc>
        <w:tc>
          <w:tcPr>
            <w:tcW w:w="1860" w:type="dxa"/>
            <w:gridSpan w:val="2"/>
            <w:vAlign w:val="center"/>
          </w:tcPr>
          <w:p w14:paraId="7B6A7688">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评标办法</w:t>
            </w:r>
          </w:p>
        </w:tc>
        <w:tc>
          <w:tcPr>
            <w:tcW w:w="6817" w:type="dxa"/>
            <w:vAlign w:val="center"/>
          </w:tcPr>
          <w:p w14:paraId="3E523E1C">
            <w:pPr>
              <w:spacing w:line="440" w:lineRule="exact"/>
              <w:rPr>
                <w:rFonts w:ascii="宋体" w:hAnsi="宋体" w:cs="宋体"/>
                <w:b/>
                <w:color w:val="auto"/>
                <w:szCs w:val="21"/>
                <w:highlight w:val="none"/>
              </w:rPr>
            </w:pPr>
            <w:r>
              <w:rPr>
                <w:rFonts w:hint="eastAsia" w:ascii="宋体" w:hAnsi="宋体" w:cs="宋体"/>
                <w:color w:val="auto"/>
                <w:szCs w:val="21"/>
                <w:highlight w:val="none"/>
              </w:rPr>
              <w:t>综合评分法</w:t>
            </w:r>
          </w:p>
        </w:tc>
      </w:tr>
      <w:tr w14:paraId="096FD9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0" w:type="dxa"/>
            <w:vAlign w:val="center"/>
          </w:tcPr>
          <w:p w14:paraId="6145446A">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10</w:t>
            </w:r>
          </w:p>
        </w:tc>
        <w:tc>
          <w:tcPr>
            <w:tcW w:w="1860" w:type="dxa"/>
            <w:gridSpan w:val="2"/>
            <w:vAlign w:val="center"/>
          </w:tcPr>
          <w:p w14:paraId="395E7FA2">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服务周期</w:t>
            </w:r>
          </w:p>
        </w:tc>
        <w:tc>
          <w:tcPr>
            <w:tcW w:w="6817" w:type="dxa"/>
            <w:vAlign w:val="center"/>
          </w:tcPr>
          <w:p w14:paraId="79533D9E">
            <w:pPr>
              <w:spacing w:line="440" w:lineRule="exact"/>
              <w:rPr>
                <w:rFonts w:ascii="宋体" w:hAnsi="宋体" w:cs="宋体"/>
                <w:color w:val="auto"/>
                <w:szCs w:val="21"/>
                <w:highlight w:val="none"/>
              </w:rPr>
            </w:pPr>
            <w:r>
              <w:rPr>
                <w:rFonts w:hint="eastAsia" w:ascii="宋体" w:hAnsi="宋体" w:cs="宋体"/>
                <w:color w:val="auto"/>
                <w:szCs w:val="21"/>
                <w:highlight w:val="none"/>
              </w:rPr>
              <w:t>见招标公告</w:t>
            </w:r>
          </w:p>
        </w:tc>
      </w:tr>
      <w:tr w14:paraId="6366C0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0" w:type="dxa"/>
            <w:vAlign w:val="center"/>
          </w:tcPr>
          <w:p w14:paraId="22F5DEC8">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11</w:t>
            </w:r>
          </w:p>
        </w:tc>
        <w:tc>
          <w:tcPr>
            <w:tcW w:w="1860" w:type="dxa"/>
            <w:gridSpan w:val="2"/>
            <w:vAlign w:val="center"/>
          </w:tcPr>
          <w:p w14:paraId="4D705581">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质量要求</w:t>
            </w:r>
          </w:p>
        </w:tc>
        <w:tc>
          <w:tcPr>
            <w:tcW w:w="6817" w:type="dxa"/>
            <w:vAlign w:val="center"/>
          </w:tcPr>
          <w:p w14:paraId="698D0E34">
            <w:pPr>
              <w:spacing w:line="440" w:lineRule="exact"/>
              <w:rPr>
                <w:rFonts w:ascii="宋体" w:hAnsi="宋体" w:cs="宋体"/>
                <w:color w:val="auto"/>
                <w:szCs w:val="21"/>
                <w:highlight w:val="none"/>
              </w:rPr>
            </w:pPr>
            <w:r>
              <w:rPr>
                <w:rFonts w:hint="eastAsia" w:ascii="宋体" w:hAnsi="宋体" w:cs="宋体"/>
                <w:color w:val="auto"/>
                <w:szCs w:val="21"/>
                <w:highlight w:val="none"/>
              </w:rPr>
              <w:t>项目成果满足国家、省、市相关行业规范要求</w:t>
            </w:r>
          </w:p>
        </w:tc>
      </w:tr>
      <w:tr w14:paraId="64D674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5" w:hRule="atLeast"/>
        </w:trPr>
        <w:tc>
          <w:tcPr>
            <w:tcW w:w="870" w:type="dxa"/>
            <w:vMerge w:val="restart"/>
            <w:vAlign w:val="center"/>
          </w:tcPr>
          <w:p w14:paraId="77F97F63">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12</w:t>
            </w:r>
          </w:p>
        </w:tc>
        <w:tc>
          <w:tcPr>
            <w:tcW w:w="1860" w:type="dxa"/>
            <w:gridSpan w:val="2"/>
            <w:vAlign w:val="center"/>
          </w:tcPr>
          <w:p w14:paraId="3998E610">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投标人资质条件、能力</w:t>
            </w:r>
          </w:p>
        </w:tc>
        <w:tc>
          <w:tcPr>
            <w:tcW w:w="6817" w:type="dxa"/>
            <w:vAlign w:val="center"/>
          </w:tcPr>
          <w:p w14:paraId="39BEB946">
            <w:pPr>
              <w:spacing w:line="440" w:lineRule="exact"/>
              <w:rPr>
                <w:rFonts w:ascii="宋体" w:hAnsi="宋体" w:cs="宋体"/>
                <w:color w:val="auto"/>
                <w:szCs w:val="21"/>
                <w:highlight w:val="none"/>
              </w:rPr>
            </w:pPr>
            <w:r>
              <w:rPr>
                <w:rFonts w:hint="eastAsia" w:ascii="宋体" w:hAnsi="宋体" w:cs="宋体"/>
                <w:color w:val="auto"/>
                <w:szCs w:val="21"/>
                <w:highlight w:val="none"/>
              </w:rPr>
              <w:t xml:space="preserve">详见招标公告 </w:t>
            </w:r>
          </w:p>
        </w:tc>
      </w:tr>
      <w:tr w14:paraId="33E1E6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0" w:type="dxa"/>
            <w:vMerge w:val="continue"/>
            <w:vAlign w:val="center"/>
          </w:tcPr>
          <w:p w14:paraId="1240CDBD">
            <w:pPr>
              <w:spacing w:line="440" w:lineRule="exact"/>
              <w:jc w:val="center"/>
              <w:rPr>
                <w:rFonts w:ascii="宋体" w:hAnsi="宋体" w:cs="宋体"/>
                <w:color w:val="auto"/>
                <w:szCs w:val="21"/>
                <w:highlight w:val="none"/>
              </w:rPr>
            </w:pPr>
          </w:p>
        </w:tc>
        <w:tc>
          <w:tcPr>
            <w:tcW w:w="1860" w:type="dxa"/>
            <w:gridSpan w:val="2"/>
            <w:vAlign w:val="center"/>
          </w:tcPr>
          <w:p w14:paraId="5B2180B5">
            <w:pPr>
              <w:spacing w:line="440" w:lineRule="exact"/>
              <w:jc w:val="center"/>
              <w:rPr>
                <w:rFonts w:ascii="宋体" w:hAnsi="宋体" w:cs="宋体"/>
                <w:color w:val="auto"/>
                <w:szCs w:val="21"/>
                <w:highlight w:val="none"/>
              </w:rPr>
            </w:pPr>
            <w:r>
              <w:rPr>
                <w:rFonts w:hint="eastAsia" w:ascii="宋体" w:hAnsi="宋体" w:cs="宋体"/>
                <w:color w:val="auto"/>
                <w:highlight w:val="none"/>
              </w:rPr>
              <w:t>领取文件方式及时间</w:t>
            </w:r>
          </w:p>
        </w:tc>
        <w:tc>
          <w:tcPr>
            <w:tcW w:w="6817" w:type="dxa"/>
            <w:vAlign w:val="center"/>
          </w:tcPr>
          <w:p w14:paraId="2F5390AC">
            <w:pPr>
              <w:wordWrap w:val="0"/>
              <w:spacing w:line="440" w:lineRule="exact"/>
              <w:rPr>
                <w:rFonts w:ascii="宋体" w:hAnsi="宋体" w:cs="宋体"/>
                <w:color w:val="auto"/>
                <w:kern w:val="0"/>
                <w:szCs w:val="21"/>
                <w:highlight w:val="none"/>
              </w:rPr>
            </w:pPr>
            <w:r>
              <w:rPr>
                <w:rFonts w:hint="eastAsia" w:ascii="宋体" w:hAnsi="宋体" w:cs="宋体"/>
                <w:color w:val="auto"/>
                <w:szCs w:val="21"/>
                <w:highlight w:val="none"/>
              </w:rPr>
              <w:t xml:space="preserve">详见招标公告 </w:t>
            </w:r>
          </w:p>
        </w:tc>
      </w:tr>
      <w:tr w14:paraId="5347A5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870" w:type="dxa"/>
            <w:vAlign w:val="center"/>
          </w:tcPr>
          <w:p w14:paraId="7C43A38A">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13</w:t>
            </w:r>
          </w:p>
        </w:tc>
        <w:tc>
          <w:tcPr>
            <w:tcW w:w="1860" w:type="dxa"/>
            <w:gridSpan w:val="2"/>
            <w:vAlign w:val="center"/>
          </w:tcPr>
          <w:p w14:paraId="49E5DA05">
            <w:pPr>
              <w:spacing w:line="440" w:lineRule="exact"/>
              <w:jc w:val="center"/>
              <w:rPr>
                <w:rFonts w:ascii="宋体" w:hAnsi="宋体" w:cs="宋体"/>
                <w:color w:val="auto"/>
                <w:spacing w:val="-4"/>
                <w:kern w:val="0"/>
                <w:szCs w:val="21"/>
                <w:highlight w:val="none"/>
              </w:rPr>
            </w:pPr>
            <w:r>
              <w:rPr>
                <w:rFonts w:hint="eastAsia" w:ascii="宋体" w:hAnsi="宋体" w:cs="宋体"/>
                <w:color w:val="auto"/>
                <w:spacing w:val="-4"/>
                <w:kern w:val="0"/>
                <w:szCs w:val="21"/>
                <w:highlight w:val="none"/>
              </w:rPr>
              <w:t>踏勘现场</w:t>
            </w:r>
          </w:p>
        </w:tc>
        <w:tc>
          <w:tcPr>
            <w:tcW w:w="6817" w:type="dxa"/>
            <w:vAlign w:val="center"/>
          </w:tcPr>
          <w:p w14:paraId="11E9D972">
            <w:pPr>
              <w:pStyle w:val="15"/>
              <w:spacing w:line="440" w:lineRule="exact"/>
              <w:rPr>
                <w:rFonts w:hAnsi="宋体" w:cs="宋体"/>
                <w:color w:val="auto"/>
                <w:spacing w:val="-4"/>
                <w:kern w:val="0"/>
                <w:sz w:val="21"/>
                <w:szCs w:val="21"/>
                <w:highlight w:val="none"/>
              </w:rPr>
            </w:pPr>
            <w:r>
              <w:rPr>
                <w:rFonts w:hint="eastAsia" w:hAnsi="宋体" w:cs="宋体"/>
                <w:color w:val="auto"/>
                <w:spacing w:val="-4"/>
                <w:kern w:val="0"/>
                <w:sz w:val="21"/>
                <w:szCs w:val="21"/>
                <w:highlight w:val="none"/>
              </w:rPr>
              <w:t>不组织，投标人自行组织踏勘现场。</w:t>
            </w:r>
          </w:p>
        </w:tc>
      </w:tr>
      <w:tr w14:paraId="420CF6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870" w:type="dxa"/>
            <w:vAlign w:val="center"/>
          </w:tcPr>
          <w:p w14:paraId="7EB497A9">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14</w:t>
            </w:r>
          </w:p>
        </w:tc>
        <w:tc>
          <w:tcPr>
            <w:tcW w:w="1860" w:type="dxa"/>
            <w:gridSpan w:val="2"/>
            <w:vAlign w:val="center"/>
          </w:tcPr>
          <w:p w14:paraId="712B1B30">
            <w:pPr>
              <w:spacing w:line="440" w:lineRule="exact"/>
              <w:jc w:val="center"/>
              <w:rPr>
                <w:rFonts w:ascii="宋体" w:hAnsi="宋体" w:cs="宋体"/>
                <w:color w:val="auto"/>
                <w:spacing w:val="-4"/>
                <w:kern w:val="0"/>
                <w:szCs w:val="21"/>
                <w:highlight w:val="none"/>
              </w:rPr>
            </w:pPr>
            <w:r>
              <w:rPr>
                <w:rFonts w:hint="eastAsia" w:ascii="宋体" w:hAnsi="宋体" w:cs="宋体"/>
                <w:color w:val="auto"/>
                <w:spacing w:val="-4"/>
                <w:kern w:val="0"/>
                <w:szCs w:val="21"/>
                <w:highlight w:val="none"/>
              </w:rPr>
              <w:t>投标预备会</w:t>
            </w:r>
          </w:p>
        </w:tc>
        <w:tc>
          <w:tcPr>
            <w:tcW w:w="6817" w:type="dxa"/>
            <w:vAlign w:val="center"/>
          </w:tcPr>
          <w:p w14:paraId="1DBEF6C0">
            <w:pPr>
              <w:pStyle w:val="15"/>
              <w:spacing w:line="440" w:lineRule="exact"/>
              <w:rPr>
                <w:rFonts w:hAnsi="宋体" w:cs="宋体"/>
                <w:color w:val="auto"/>
                <w:spacing w:val="-4"/>
                <w:kern w:val="0"/>
                <w:sz w:val="21"/>
                <w:szCs w:val="21"/>
                <w:highlight w:val="none"/>
              </w:rPr>
            </w:pPr>
            <w:r>
              <w:rPr>
                <w:rFonts w:hint="eastAsia" w:hAnsi="宋体" w:cs="宋体"/>
                <w:color w:val="auto"/>
                <w:spacing w:val="-4"/>
                <w:kern w:val="0"/>
                <w:sz w:val="21"/>
                <w:szCs w:val="21"/>
                <w:highlight w:val="none"/>
              </w:rPr>
              <w:t>不召开</w:t>
            </w:r>
          </w:p>
        </w:tc>
      </w:tr>
      <w:tr w14:paraId="1AE686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0" w:type="dxa"/>
            <w:vAlign w:val="center"/>
          </w:tcPr>
          <w:p w14:paraId="065567F2">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15</w:t>
            </w:r>
          </w:p>
        </w:tc>
        <w:tc>
          <w:tcPr>
            <w:tcW w:w="1860" w:type="dxa"/>
            <w:gridSpan w:val="2"/>
            <w:vAlign w:val="center"/>
          </w:tcPr>
          <w:p w14:paraId="15816DEF">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投标人提出问题的截止时间</w:t>
            </w:r>
          </w:p>
          <w:p w14:paraId="21631416">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及方式</w:t>
            </w:r>
          </w:p>
        </w:tc>
        <w:tc>
          <w:tcPr>
            <w:tcW w:w="6817" w:type="dxa"/>
            <w:vAlign w:val="center"/>
          </w:tcPr>
          <w:p w14:paraId="7106548D">
            <w:pPr>
              <w:wordWrap w:val="0"/>
              <w:spacing w:line="440" w:lineRule="exact"/>
              <w:jc w:val="left"/>
              <w:rPr>
                <w:rFonts w:ascii="宋体" w:hAnsi="宋体" w:cs="宋体"/>
                <w:color w:val="auto"/>
                <w:szCs w:val="21"/>
                <w:highlight w:val="none"/>
              </w:rPr>
            </w:pPr>
            <w:r>
              <w:rPr>
                <w:rFonts w:hint="eastAsia" w:ascii="宋体" w:hAnsi="宋体" w:cs="宋体"/>
                <w:color w:val="auto"/>
                <w:szCs w:val="21"/>
                <w:highlight w:val="none"/>
              </w:rPr>
              <w:t>如投标人对招标文件有疑问，请于2026年4月20日17时前将疑问内容以电子邮件形式发送至2498964346@qq.com，招标人将在2026年4月21日17时后以澄清公告形式在滁州市扬子工业投资集团有限公司官网（https://czyzgtjt.com/)公告，请各位投标人注意查看有关澄清内容，如不及时查看造成后果由投标人自负。</w:t>
            </w:r>
          </w:p>
        </w:tc>
      </w:tr>
      <w:tr w14:paraId="6EF0C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70" w:type="dxa"/>
            <w:vAlign w:val="center"/>
          </w:tcPr>
          <w:p w14:paraId="18CD6D51">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16</w:t>
            </w:r>
          </w:p>
        </w:tc>
        <w:tc>
          <w:tcPr>
            <w:tcW w:w="1860" w:type="dxa"/>
            <w:gridSpan w:val="2"/>
            <w:vAlign w:val="center"/>
          </w:tcPr>
          <w:p w14:paraId="1BE77AEB">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偏离</w:t>
            </w:r>
          </w:p>
        </w:tc>
        <w:tc>
          <w:tcPr>
            <w:tcW w:w="6817" w:type="dxa"/>
            <w:vAlign w:val="center"/>
          </w:tcPr>
          <w:p w14:paraId="1A634F95">
            <w:pPr>
              <w:pStyle w:val="15"/>
              <w:spacing w:line="440" w:lineRule="exact"/>
              <w:rPr>
                <w:rFonts w:hAnsi="宋体" w:cs="宋体"/>
                <w:color w:val="auto"/>
                <w:sz w:val="21"/>
                <w:szCs w:val="21"/>
                <w:highlight w:val="none"/>
              </w:rPr>
            </w:pPr>
            <w:r>
              <w:rPr>
                <w:rFonts w:hint="eastAsia" w:hAnsi="宋体" w:cs="宋体"/>
                <w:color w:val="auto"/>
                <w:sz w:val="18"/>
                <w:szCs w:val="18"/>
                <w:highlight w:val="none"/>
                <w:bdr w:val="single" w:color="auto" w:sz="4" w:space="0"/>
              </w:rPr>
              <w:t>√</w:t>
            </w:r>
            <w:r>
              <w:rPr>
                <w:rFonts w:hint="eastAsia" w:hAnsi="宋体" w:cs="宋体"/>
                <w:color w:val="auto"/>
                <w:sz w:val="21"/>
                <w:szCs w:val="21"/>
                <w:highlight w:val="none"/>
              </w:rPr>
              <w:t>不允许；</w:t>
            </w:r>
            <w:r>
              <w:rPr>
                <w:rFonts w:hint="eastAsia" w:hAnsi="宋体" w:cs="宋体"/>
                <w:color w:val="auto"/>
                <w:sz w:val="32"/>
                <w:szCs w:val="32"/>
                <w:highlight w:val="none"/>
              </w:rPr>
              <w:t>□</w:t>
            </w:r>
            <w:r>
              <w:rPr>
                <w:rFonts w:hint="eastAsia" w:hAnsi="宋体" w:cs="宋体"/>
                <w:color w:val="auto"/>
                <w:sz w:val="21"/>
                <w:szCs w:val="21"/>
                <w:highlight w:val="none"/>
              </w:rPr>
              <w:t>允许</w:t>
            </w:r>
          </w:p>
        </w:tc>
      </w:tr>
      <w:tr w14:paraId="428C66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0" w:type="dxa"/>
            <w:vAlign w:val="center"/>
          </w:tcPr>
          <w:p w14:paraId="2555F0EC">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17</w:t>
            </w:r>
          </w:p>
        </w:tc>
        <w:tc>
          <w:tcPr>
            <w:tcW w:w="1860" w:type="dxa"/>
            <w:gridSpan w:val="2"/>
            <w:vAlign w:val="center"/>
          </w:tcPr>
          <w:p w14:paraId="6D08469A">
            <w:pPr>
              <w:spacing w:line="440" w:lineRule="exact"/>
              <w:jc w:val="center"/>
              <w:rPr>
                <w:rFonts w:ascii="宋体" w:hAnsi="宋体" w:cs="宋体"/>
                <w:color w:val="auto"/>
                <w:highlight w:val="none"/>
              </w:rPr>
            </w:pPr>
            <w:r>
              <w:rPr>
                <w:rFonts w:hint="eastAsia" w:ascii="宋体" w:hAnsi="宋体" w:cs="宋体"/>
                <w:color w:val="auto"/>
                <w:szCs w:val="21"/>
                <w:highlight w:val="none"/>
              </w:rPr>
              <w:t>最高限价</w:t>
            </w:r>
          </w:p>
        </w:tc>
        <w:tc>
          <w:tcPr>
            <w:tcW w:w="6817" w:type="dxa"/>
            <w:vAlign w:val="center"/>
          </w:tcPr>
          <w:p w14:paraId="71897CFA">
            <w:pPr>
              <w:wordWrap w:val="0"/>
              <w:spacing w:line="440" w:lineRule="exact"/>
              <w:jc w:val="left"/>
              <w:rPr>
                <w:rFonts w:ascii="宋体" w:hAnsi="宋体" w:cs="宋体"/>
                <w:color w:val="auto"/>
                <w:spacing w:val="-4"/>
                <w:kern w:val="0"/>
                <w:szCs w:val="21"/>
                <w:highlight w:val="none"/>
              </w:rPr>
            </w:pPr>
            <w:r>
              <w:rPr>
                <w:rFonts w:hint="eastAsia" w:ascii="宋体" w:hAnsi="宋体" w:cs="宋体"/>
                <w:color w:val="auto"/>
                <w:spacing w:val="-4"/>
                <w:kern w:val="0"/>
                <w:szCs w:val="21"/>
                <w:highlight w:val="none"/>
              </w:rPr>
              <w:t>见招标公告</w:t>
            </w:r>
          </w:p>
        </w:tc>
      </w:tr>
      <w:tr w14:paraId="1E0F50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0" w:type="dxa"/>
            <w:vAlign w:val="center"/>
          </w:tcPr>
          <w:p w14:paraId="1F470013">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18</w:t>
            </w:r>
          </w:p>
        </w:tc>
        <w:tc>
          <w:tcPr>
            <w:tcW w:w="1860" w:type="dxa"/>
            <w:gridSpan w:val="2"/>
            <w:vAlign w:val="center"/>
          </w:tcPr>
          <w:p w14:paraId="01DA8C02">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投标有效期</w:t>
            </w:r>
          </w:p>
        </w:tc>
        <w:tc>
          <w:tcPr>
            <w:tcW w:w="6817" w:type="dxa"/>
            <w:vAlign w:val="center"/>
          </w:tcPr>
          <w:p w14:paraId="3839D78F">
            <w:pPr>
              <w:spacing w:line="440" w:lineRule="exact"/>
              <w:rPr>
                <w:rFonts w:ascii="宋体" w:hAnsi="宋体" w:cs="宋体"/>
                <w:color w:val="auto"/>
                <w:szCs w:val="21"/>
                <w:highlight w:val="none"/>
              </w:rPr>
            </w:pPr>
            <w:r>
              <w:rPr>
                <w:rFonts w:hint="eastAsia" w:ascii="宋体" w:hAnsi="宋体" w:cs="宋体"/>
                <w:color w:val="auto"/>
                <w:szCs w:val="21"/>
                <w:highlight w:val="none"/>
              </w:rPr>
              <w:t>投标有效期为</w:t>
            </w:r>
            <w:r>
              <w:rPr>
                <w:rFonts w:hint="eastAsia" w:ascii="宋体" w:hAnsi="宋体" w:cs="宋体"/>
                <w:color w:val="auto"/>
                <w:szCs w:val="21"/>
                <w:highlight w:val="none"/>
                <w:u w:val="single"/>
              </w:rPr>
              <w:t>90</w:t>
            </w:r>
            <w:r>
              <w:rPr>
                <w:rFonts w:hint="eastAsia" w:ascii="宋体" w:hAnsi="宋体" w:cs="宋体"/>
                <w:color w:val="auto"/>
                <w:szCs w:val="21"/>
                <w:highlight w:val="none"/>
              </w:rPr>
              <w:t>日历天（从投标截止之日算起）。在此期限内，凡符合本招标文件要求的投标文件均保持有效。</w:t>
            </w:r>
          </w:p>
        </w:tc>
      </w:tr>
      <w:tr w14:paraId="33BAFB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70" w:type="dxa"/>
            <w:vAlign w:val="center"/>
          </w:tcPr>
          <w:p w14:paraId="4C93477C">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19</w:t>
            </w:r>
          </w:p>
        </w:tc>
        <w:tc>
          <w:tcPr>
            <w:tcW w:w="1860" w:type="dxa"/>
            <w:gridSpan w:val="2"/>
            <w:vAlign w:val="center"/>
          </w:tcPr>
          <w:p w14:paraId="492A3457">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投标保证金</w:t>
            </w:r>
          </w:p>
        </w:tc>
        <w:tc>
          <w:tcPr>
            <w:tcW w:w="6817" w:type="dxa"/>
            <w:vAlign w:val="center"/>
          </w:tcPr>
          <w:p w14:paraId="7326D4B4">
            <w:pPr>
              <w:spacing w:line="440" w:lineRule="exact"/>
              <w:jc w:val="left"/>
              <w:rPr>
                <w:rFonts w:ascii="宋体" w:hAnsi="宋体" w:cs="宋体"/>
                <w:color w:val="auto"/>
                <w:szCs w:val="21"/>
                <w:highlight w:val="none"/>
              </w:rPr>
            </w:pPr>
            <w:r>
              <w:rPr>
                <w:rFonts w:hint="eastAsia" w:ascii="宋体" w:hAnsi="宋体" w:cs="宋体"/>
                <w:color w:val="auto"/>
                <w:szCs w:val="21"/>
                <w:highlight w:val="none"/>
              </w:rPr>
              <w:t>详见招标公告</w:t>
            </w:r>
          </w:p>
        </w:tc>
      </w:tr>
      <w:tr w14:paraId="0636E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70" w:type="dxa"/>
            <w:vAlign w:val="center"/>
          </w:tcPr>
          <w:p w14:paraId="2743861B">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20</w:t>
            </w:r>
          </w:p>
        </w:tc>
        <w:tc>
          <w:tcPr>
            <w:tcW w:w="1860" w:type="dxa"/>
            <w:gridSpan w:val="2"/>
            <w:vAlign w:val="center"/>
          </w:tcPr>
          <w:p w14:paraId="647C8496">
            <w:pPr>
              <w:pStyle w:val="22"/>
              <w:spacing w:line="440" w:lineRule="exact"/>
              <w:jc w:val="left"/>
              <w:rPr>
                <w:rFonts w:ascii="宋体" w:hAnsi="宋体" w:cs="宋体"/>
                <w:color w:val="auto"/>
                <w:szCs w:val="21"/>
                <w:highlight w:val="none"/>
              </w:rPr>
            </w:pPr>
            <w:r>
              <w:rPr>
                <w:rFonts w:hint="eastAsia" w:ascii="宋体" w:hAnsi="宋体" w:cs="宋体"/>
                <w:color w:val="auto"/>
                <w:szCs w:val="21"/>
                <w:highlight w:val="none"/>
              </w:rPr>
              <w:t>投标文件数量</w:t>
            </w:r>
          </w:p>
        </w:tc>
        <w:tc>
          <w:tcPr>
            <w:tcW w:w="6817" w:type="dxa"/>
            <w:vAlign w:val="center"/>
          </w:tcPr>
          <w:p w14:paraId="17F752F9">
            <w:pPr>
              <w:widowControl/>
              <w:spacing w:line="440" w:lineRule="exact"/>
              <w:ind w:firstLine="89" w:firstLineChars="42"/>
              <w:jc w:val="left"/>
              <w:rPr>
                <w:rFonts w:ascii="宋体" w:hAnsi="宋体" w:cs="宋体"/>
                <w:color w:val="auto"/>
                <w:szCs w:val="21"/>
                <w:highlight w:val="none"/>
              </w:rPr>
            </w:pPr>
            <w:r>
              <w:rPr>
                <w:rFonts w:hint="eastAsia" w:ascii="宋体" w:hAnsi="宋体" w:cs="宋体"/>
                <w:b/>
                <w:color w:val="auto"/>
                <w:kern w:val="0"/>
                <w:szCs w:val="21"/>
                <w:highlight w:val="none"/>
              </w:rPr>
              <w:t>份数：正本</w:t>
            </w:r>
            <w:r>
              <w:rPr>
                <w:rFonts w:hint="eastAsia" w:ascii="宋体" w:hAnsi="宋体" w:cs="宋体"/>
                <w:b/>
                <w:color w:val="auto"/>
                <w:kern w:val="0"/>
                <w:szCs w:val="21"/>
                <w:highlight w:val="none"/>
                <w:u w:val="single"/>
              </w:rPr>
              <w:t xml:space="preserve"> 1 </w:t>
            </w:r>
            <w:r>
              <w:rPr>
                <w:rFonts w:hint="eastAsia" w:ascii="宋体" w:hAnsi="宋体" w:cs="宋体"/>
                <w:b/>
                <w:color w:val="auto"/>
                <w:kern w:val="0"/>
                <w:szCs w:val="21"/>
                <w:highlight w:val="none"/>
              </w:rPr>
              <w:t>份，副本</w:t>
            </w:r>
            <w:r>
              <w:rPr>
                <w:rFonts w:hint="eastAsia" w:ascii="宋体" w:hAnsi="宋体" w:cs="宋体"/>
                <w:b/>
                <w:color w:val="auto"/>
                <w:kern w:val="0"/>
                <w:szCs w:val="21"/>
                <w:highlight w:val="none"/>
                <w:u w:val="single"/>
              </w:rPr>
              <w:t xml:space="preserve"> 1 </w:t>
            </w:r>
            <w:r>
              <w:rPr>
                <w:rFonts w:hint="eastAsia" w:ascii="宋体" w:hAnsi="宋体" w:cs="宋体"/>
                <w:b/>
                <w:color w:val="auto"/>
                <w:kern w:val="0"/>
                <w:szCs w:val="21"/>
                <w:highlight w:val="none"/>
              </w:rPr>
              <w:t>份；</w:t>
            </w:r>
          </w:p>
        </w:tc>
      </w:tr>
      <w:tr w14:paraId="06DC36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870" w:type="dxa"/>
            <w:vMerge w:val="restart"/>
            <w:vAlign w:val="center"/>
          </w:tcPr>
          <w:p w14:paraId="02DCD517">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21</w:t>
            </w:r>
          </w:p>
        </w:tc>
        <w:tc>
          <w:tcPr>
            <w:tcW w:w="1860" w:type="dxa"/>
            <w:gridSpan w:val="2"/>
            <w:vAlign w:val="center"/>
          </w:tcPr>
          <w:p w14:paraId="6CE78A0D">
            <w:pPr>
              <w:spacing w:line="440" w:lineRule="exact"/>
              <w:jc w:val="left"/>
              <w:rPr>
                <w:rFonts w:ascii="宋体" w:hAnsi="宋体" w:cs="宋体"/>
                <w:color w:val="auto"/>
                <w:szCs w:val="21"/>
                <w:highlight w:val="none"/>
              </w:rPr>
            </w:pPr>
            <w:r>
              <w:rPr>
                <w:rFonts w:hint="eastAsia" w:ascii="宋体" w:hAnsi="宋体" w:cs="宋体"/>
                <w:color w:val="auto"/>
                <w:szCs w:val="21"/>
                <w:highlight w:val="none"/>
              </w:rPr>
              <w:t>签字或盖章要求</w:t>
            </w:r>
          </w:p>
        </w:tc>
        <w:tc>
          <w:tcPr>
            <w:tcW w:w="6817" w:type="dxa"/>
            <w:vAlign w:val="center"/>
          </w:tcPr>
          <w:p w14:paraId="09A8057F">
            <w:pPr>
              <w:widowControl/>
              <w:spacing w:line="440" w:lineRule="exact"/>
              <w:ind w:firstLine="89" w:firstLineChars="42"/>
              <w:jc w:val="left"/>
              <w:rPr>
                <w:rFonts w:ascii="宋体" w:hAnsi="宋体" w:cs="宋体"/>
                <w:b/>
                <w:color w:val="auto"/>
                <w:kern w:val="0"/>
                <w:szCs w:val="21"/>
                <w:highlight w:val="none"/>
              </w:rPr>
            </w:pPr>
            <w:r>
              <w:rPr>
                <w:rFonts w:hint="eastAsia" w:ascii="宋体" w:hAnsi="宋体" w:cs="宋体"/>
                <w:b/>
                <w:color w:val="auto"/>
                <w:kern w:val="0"/>
                <w:szCs w:val="21"/>
                <w:highlight w:val="none"/>
              </w:rPr>
              <w:t>按格式文件要求签字或盖章。</w:t>
            </w:r>
          </w:p>
          <w:p w14:paraId="0DE78B6B">
            <w:pPr>
              <w:widowControl/>
              <w:spacing w:line="440" w:lineRule="exact"/>
              <w:ind w:firstLine="89" w:firstLineChars="42"/>
              <w:jc w:val="left"/>
              <w:rPr>
                <w:rFonts w:ascii="宋体" w:hAnsi="宋体" w:cs="宋体"/>
                <w:color w:val="auto"/>
                <w:szCs w:val="21"/>
                <w:highlight w:val="none"/>
              </w:rPr>
            </w:pPr>
            <w:r>
              <w:rPr>
                <w:rFonts w:hint="eastAsia" w:ascii="宋体" w:hAnsi="宋体" w:cs="宋体"/>
                <w:b/>
                <w:color w:val="auto"/>
                <w:kern w:val="0"/>
                <w:szCs w:val="21"/>
                <w:highlight w:val="none"/>
              </w:rPr>
              <w:t>否则经评委会一致认定后，按照无效投标处理。</w:t>
            </w:r>
          </w:p>
        </w:tc>
      </w:tr>
      <w:tr w14:paraId="6B154E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870" w:type="dxa"/>
            <w:vMerge w:val="continue"/>
            <w:vAlign w:val="center"/>
          </w:tcPr>
          <w:p w14:paraId="492E3EE4">
            <w:pPr>
              <w:spacing w:line="440" w:lineRule="exact"/>
              <w:jc w:val="center"/>
              <w:rPr>
                <w:rFonts w:ascii="宋体" w:hAnsi="宋体" w:cs="宋体"/>
                <w:color w:val="auto"/>
                <w:szCs w:val="21"/>
                <w:highlight w:val="none"/>
              </w:rPr>
            </w:pPr>
          </w:p>
        </w:tc>
        <w:tc>
          <w:tcPr>
            <w:tcW w:w="1860" w:type="dxa"/>
            <w:gridSpan w:val="2"/>
            <w:vAlign w:val="center"/>
          </w:tcPr>
          <w:p w14:paraId="0E2F9F6D">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投标文件封套上应载明的信息</w:t>
            </w:r>
          </w:p>
        </w:tc>
        <w:tc>
          <w:tcPr>
            <w:tcW w:w="6817" w:type="dxa"/>
            <w:vAlign w:val="center"/>
          </w:tcPr>
          <w:p w14:paraId="5403CFF8">
            <w:pPr>
              <w:spacing w:line="440" w:lineRule="exact"/>
              <w:rPr>
                <w:rFonts w:ascii="宋体" w:hAnsi="宋体" w:cs="宋体"/>
                <w:color w:val="auto"/>
                <w:szCs w:val="21"/>
                <w:highlight w:val="none"/>
              </w:rPr>
            </w:pPr>
            <w:r>
              <w:rPr>
                <w:rFonts w:hint="eastAsia" w:ascii="宋体" w:hAnsi="宋体" w:cs="宋体"/>
                <w:color w:val="auto"/>
                <w:szCs w:val="21"/>
                <w:highlight w:val="none"/>
              </w:rPr>
              <w:t>投标人地址：</w:t>
            </w:r>
          </w:p>
          <w:p w14:paraId="314E3FDA">
            <w:pPr>
              <w:spacing w:line="440" w:lineRule="exact"/>
              <w:rPr>
                <w:rFonts w:ascii="宋体" w:hAnsi="宋体" w:cs="宋体"/>
                <w:color w:val="auto"/>
                <w:szCs w:val="21"/>
                <w:highlight w:val="none"/>
              </w:rPr>
            </w:pPr>
            <w:r>
              <w:rPr>
                <w:rFonts w:hint="eastAsia" w:ascii="宋体" w:hAnsi="宋体" w:cs="宋体"/>
                <w:color w:val="auto"/>
                <w:szCs w:val="21"/>
                <w:highlight w:val="none"/>
              </w:rPr>
              <w:t>投标人名称：</w:t>
            </w:r>
          </w:p>
          <w:p w14:paraId="21F4511C">
            <w:pPr>
              <w:spacing w:line="440" w:lineRule="exact"/>
              <w:rPr>
                <w:rFonts w:ascii="宋体" w:hAnsi="宋体" w:cs="宋体"/>
                <w:color w:val="auto"/>
                <w:szCs w:val="21"/>
                <w:highlight w:val="none"/>
              </w:rPr>
            </w:pP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（项目名称）投标文件（资信证明文件/技术标文件/商务标文件）</w:t>
            </w:r>
          </w:p>
          <w:p w14:paraId="34D85A84">
            <w:pPr>
              <w:spacing w:line="440" w:lineRule="exact"/>
              <w:rPr>
                <w:rFonts w:ascii="宋体" w:hAnsi="宋体" w:cs="宋体"/>
                <w:color w:val="auto"/>
                <w:szCs w:val="21"/>
                <w:highlight w:val="none"/>
              </w:rPr>
            </w:pPr>
            <w:r>
              <w:rPr>
                <w:rFonts w:hint="eastAsia" w:ascii="宋体" w:hAnsi="宋体" w:cs="宋体"/>
                <w:color w:val="auto"/>
                <w:szCs w:val="21"/>
                <w:highlight w:val="none"/>
              </w:rPr>
              <w:t>在</w:t>
            </w:r>
            <w:r>
              <w:rPr>
                <w:rFonts w:hint="eastAsia" w:ascii="宋体" w:hAnsi="宋体" w:cs="宋体"/>
                <w:b/>
                <w:bCs/>
                <w:color w:val="auto"/>
                <w:szCs w:val="21"/>
                <w:highlight w:val="none"/>
              </w:rPr>
              <w:t>2026年4月23日</w:t>
            </w:r>
            <w:r>
              <w:rPr>
                <w:rFonts w:hint="eastAsia" w:ascii="宋体" w:hAnsi="宋体" w:cs="宋体"/>
                <w:color w:val="auto"/>
                <w:szCs w:val="21"/>
                <w:highlight w:val="none"/>
              </w:rPr>
              <w:t>9点00分前不得开启</w:t>
            </w:r>
          </w:p>
        </w:tc>
      </w:tr>
      <w:tr w14:paraId="07A4A5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70" w:type="dxa"/>
            <w:vAlign w:val="center"/>
          </w:tcPr>
          <w:p w14:paraId="2B6D6DBB">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22</w:t>
            </w:r>
          </w:p>
        </w:tc>
        <w:tc>
          <w:tcPr>
            <w:tcW w:w="1860" w:type="dxa"/>
            <w:gridSpan w:val="2"/>
            <w:vAlign w:val="center"/>
          </w:tcPr>
          <w:p w14:paraId="20176E49">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投标文件提交截止时间</w:t>
            </w:r>
          </w:p>
        </w:tc>
        <w:tc>
          <w:tcPr>
            <w:tcW w:w="6817" w:type="dxa"/>
            <w:vAlign w:val="center"/>
          </w:tcPr>
          <w:p w14:paraId="3DEEA7B5">
            <w:pPr>
              <w:spacing w:line="440" w:lineRule="exact"/>
              <w:rPr>
                <w:rFonts w:ascii="宋体" w:hAnsi="宋体" w:cs="宋体"/>
                <w:color w:val="auto"/>
                <w:szCs w:val="21"/>
                <w:highlight w:val="none"/>
              </w:rPr>
            </w:pPr>
            <w:r>
              <w:rPr>
                <w:rFonts w:hint="eastAsia" w:ascii="宋体" w:hAnsi="宋体" w:cs="宋体"/>
                <w:color w:val="auto"/>
                <w:szCs w:val="21"/>
                <w:highlight w:val="none"/>
              </w:rPr>
              <w:t>递交投标文件截止时间：</w:t>
            </w:r>
            <w:r>
              <w:rPr>
                <w:rFonts w:hint="eastAsia" w:ascii="宋体" w:hAnsi="宋体" w:cs="宋体"/>
                <w:b/>
                <w:bCs/>
                <w:color w:val="auto"/>
                <w:szCs w:val="21"/>
                <w:highlight w:val="none"/>
              </w:rPr>
              <w:t>2026年4月 21 日9时00分（北京时间）</w:t>
            </w:r>
          </w:p>
        </w:tc>
      </w:tr>
      <w:tr w14:paraId="17C39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0" w:type="dxa"/>
            <w:vAlign w:val="center"/>
          </w:tcPr>
          <w:p w14:paraId="52736B14">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23</w:t>
            </w:r>
          </w:p>
        </w:tc>
        <w:tc>
          <w:tcPr>
            <w:tcW w:w="1860" w:type="dxa"/>
            <w:gridSpan w:val="2"/>
            <w:vAlign w:val="center"/>
          </w:tcPr>
          <w:p w14:paraId="30DFCAB0">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是否退还投标文件</w:t>
            </w:r>
          </w:p>
        </w:tc>
        <w:tc>
          <w:tcPr>
            <w:tcW w:w="6817" w:type="dxa"/>
            <w:vAlign w:val="center"/>
          </w:tcPr>
          <w:p w14:paraId="146F9569">
            <w:pPr>
              <w:spacing w:line="440" w:lineRule="exact"/>
              <w:rPr>
                <w:rFonts w:ascii="宋体" w:hAnsi="宋体" w:cs="宋体"/>
                <w:color w:val="auto"/>
                <w:szCs w:val="21"/>
                <w:highlight w:val="none"/>
              </w:rPr>
            </w:pPr>
            <w:r>
              <w:rPr>
                <w:rFonts w:hint="eastAsia" w:ascii="宋体" w:hAnsi="宋体" w:cs="宋体"/>
                <w:color w:val="auto"/>
                <w:szCs w:val="21"/>
                <w:highlight w:val="none"/>
              </w:rPr>
              <w:t>否</w:t>
            </w:r>
          </w:p>
        </w:tc>
      </w:tr>
      <w:tr w14:paraId="1D6319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0" w:type="dxa"/>
            <w:vAlign w:val="center"/>
          </w:tcPr>
          <w:p w14:paraId="468F9E6A">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24</w:t>
            </w:r>
          </w:p>
        </w:tc>
        <w:tc>
          <w:tcPr>
            <w:tcW w:w="1860" w:type="dxa"/>
            <w:gridSpan w:val="2"/>
            <w:vAlign w:val="center"/>
          </w:tcPr>
          <w:p w14:paraId="0EBD1D41">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开标时间及地点</w:t>
            </w:r>
          </w:p>
        </w:tc>
        <w:tc>
          <w:tcPr>
            <w:tcW w:w="6817" w:type="dxa"/>
            <w:vAlign w:val="center"/>
          </w:tcPr>
          <w:p w14:paraId="08180ACD">
            <w:pPr>
              <w:spacing w:line="440" w:lineRule="exact"/>
              <w:rPr>
                <w:rFonts w:ascii="宋体" w:hAnsi="宋体" w:cs="宋体"/>
                <w:color w:val="auto"/>
                <w:szCs w:val="21"/>
                <w:highlight w:val="none"/>
              </w:rPr>
            </w:pPr>
            <w:r>
              <w:rPr>
                <w:rFonts w:hint="eastAsia" w:ascii="宋体" w:hAnsi="宋体" w:cs="宋体"/>
                <w:color w:val="auto"/>
                <w:highlight w:val="none"/>
              </w:rPr>
              <w:t>详见招标公告</w:t>
            </w:r>
          </w:p>
        </w:tc>
      </w:tr>
      <w:tr w14:paraId="5AF088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0" w:type="dxa"/>
            <w:vAlign w:val="center"/>
          </w:tcPr>
          <w:p w14:paraId="7DCA218C">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25</w:t>
            </w:r>
          </w:p>
        </w:tc>
        <w:tc>
          <w:tcPr>
            <w:tcW w:w="1860" w:type="dxa"/>
            <w:gridSpan w:val="2"/>
            <w:vAlign w:val="center"/>
          </w:tcPr>
          <w:p w14:paraId="4E75F344">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开标程序</w:t>
            </w:r>
          </w:p>
        </w:tc>
        <w:tc>
          <w:tcPr>
            <w:tcW w:w="6817" w:type="dxa"/>
            <w:vAlign w:val="center"/>
          </w:tcPr>
          <w:p w14:paraId="1E0257D7">
            <w:pPr>
              <w:spacing w:line="440" w:lineRule="exact"/>
              <w:rPr>
                <w:rFonts w:ascii="宋体" w:hAnsi="宋体" w:cs="宋体"/>
                <w:color w:val="auto"/>
                <w:highlight w:val="none"/>
              </w:rPr>
            </w:pPr>
            <w:r>
              <w:rPr>
                <w:rFonts w:hint="eastAsia" w:ascii="宋体" w:hAnsi="宋体" w:cs="宋体"/>
                <w:color w:val="auto"/>
                <w:szCs w:val="21"/>
                <w:highlight w:val="none"/>
              </w:rPr>
              <w:t>开标顺序：先资格审查，再进行评审。</w:t>
            </w:r>
          </w:p>
        </w:tc>
      </w:tr>
      <w:tr w14:paraId="526B7A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870" w:type="dxa"/>
            <w:vAlign w:val="center"/>
          </w:tcPr>
          <w:p w14:paraId="58A9F0D3">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26</w:t>
            </w:r>
          </w:p>
        </w:tc>
        <w:tc>
          <w:tcPr>
            <w:tcW w:w="1860" w:type="dxa"/>
            <w:gridSpan w:val="2"/>
            <w:vAlign w:val="center"/>
          </w:tcPr>
          <w:p w14:paraId="0A88BC5A">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评标委员会的组建</w:t>
            </w:r>
          </w:p>
        </w:tc>
        <w:tc>
          <w:tcPr>
            <w:tcW w:w="6817" w:type="dxa"/>
            <w:vAlign w:val="center"/>
          </w:tcPr>
          <w:p w14:paraId="3AAE792D">
            <w:pPr>
              <w:pStyle w:val="227"/>
              <w:spacing w:line="440" w:lineRule="exact"/>
              <w:rPr>
                <w:rFonts w:hint="eastAsia" w:hAnsi="宋体" w:cs="宋体"/>
                <w:color w:val="auto"/>
                <w:szCs w:val="21"/>
                <w:highlight w:val="none"/>
              </w:rPr>
            </w:pPr>
            <w:r>
              <w:rPr>
                <w:rFonts w:hint="eastAsia" w:hAnsi="宋体" w:cs="宋体"/>
                <w:color w:val="auto"/>
                <w:szCs w:val="21"/>
                <w:highlight w:val="none"/>
              </w:rPr>
              <w:t>评标委员会由招标人依法组建；</w:t>
            </w:r>
          </w:p>
          <w:p w14:paraId="61B5E207">
            <w:pPr>
              <w:pStyle w:val="227"/>
              <w:spacing w:line="440" w:lineRule="exact"/>
              <w:rPr>
                <w:rFonts w:hint="eastAsia" w:hAnsi="宋体" w:cs="宋体"/>
                <w:color w:val="auto"/>
                <w:szCs w:val="21"/>
                <w:highlight w:val="none"/>
              </w:rPr>
            </w:pPr>
            <w:r>
              <w:rPr>
                <w:rFonts w:hint="eastAsia" w:hAnsi="宋体" w:cs="宋体"/>
                <w:color w:val="auto"/>
                <w:szCs w:val="21"/>
                <w:highlight w:val="none"/>
              </w:rPr>
              <w:t>评标专家由招标人在评标活动开始前24小时内从专家库中随机抽取。</w:t>
            </w:r>
          </w:p>
        </w:tc>
      </w:tr>
      <w:tr w14:paraId="1602D3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0" w:type="dxa"/>
            <w:vAlign w:val="center"/>
          </w:tcPr>
          <w:p w14:paraId="0053FBCC">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27</w:t>
            </w:r>
          </w:p>
        </w:tc>
        <w:tc>
          <w:tcPr>
            <w:tcW w:w="1860" w:type="dxa"/>
            <w:gridSpan w:val="2"/>
            <w:vAlign w:val="center"/>
          </w:tcPr>
          <w:p w14:paraId="30EF805A">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是否授权评标委员会推荐中标候选人</w:t>
            </w:r>
          </w:p>
        </w:tc>
        <w:tc>
          <w:tcPr>
            <w:tcW w:w="6817" w:type="dxa"/>
            <w:vAlign w:val="center"/>
          </w:tcPr>
          <w:p w14:paraId="6F1BBBDC">
            <w:pPr>
              <w:spacing w:line="440" w:lineRule="exact"/>
              <w:rPr>
                <w:rFonts w:ascii="宋体" w:hAnsi="宋体" w:cs="宋体"/>
                <w:color w:val="auto"/>
                <w:szCs w:val="21"/>
                <w:highlight w:val="none"/>
              </w:rPr>
            </w:pPr>
            <w:r>
              <w:rPr>
                <w:rFonts w:hint="eastAsia" w:ascii="宋体" w:hAnsi="宋体" w:cs="宋体"/>
                <w:color w:val="auto"/>
                <w:szCs w:val="21"/>
                <w:highlight w:val="none"/>
              </w:rPr>
              <w:t>是，推荐的中标候选人数3名，并标明排序。</w:t>
            </w:r>
          </w:p>
        </w:tc>
      </w:tr>
      <w:tr w14:paraId="16D14A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870" w:type="dxa"/>
            <w:vAlign w:val="center"/>
          </w:tcPr>
          <w:p w14:paraId="0586C9B0">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28</w:t>
            </w:r>
          </w:p>
        </w:tc>
        <w:tc>
          <w:tcPr>
            <w:tcW w:w="1860" w:type="dxa"/>
            <w:gridSpan w:val="2"/>
            <w:vAlign w:val="center"/>
          </w:tcPr>
          <w:p w14:paraId="1EF416D8">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中标候选人公示媒介</w:t>
            </w:r>
          </w:p>
        </w:tc>
        <w:tc>
          <w:tcPr>
            <w:tcW w:w="6817" w:type="dxa"/>
            <w:vAlign w:val="center"/>
          </w:tcPr>
          <w:p w14:paraId="151D0EE6">
            <w:pPr>
              <w:spacing w:line="440" w:lineRule="exact"/>
              <w:rPr>
                <w:rFonts w:ascii="宋体" w:hAnsi="宋体" w:cs="宋体"/>
                <w:color w:val="auto"/>
                <w:sz w:val="32"/>
                <w:szCs w:val="32"/>
                <w:highlight w:val="none"/>
              </w:rPr>
            </w:pPr>
            <w:r>
              <w:rPr>
                <w:rFonts w:hint="eastAsia" w:ascii="宋体" w:hAnsi="宋体" w:cs="宋体"/>
                <w:color w:val="auto"/>
                <w:szCs w:val="21"/>
                <w:highlight w:val="none"/>
              </w:rPr>
              <w:t>滁州市扬子工业投资集团有限公司官网（https://czyzgtjt.com/)网站</w:t>
            </w:r>
          </w:p>
        </w:tc>
      </w:tr>
      <w:tr w14:paraId="13E38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0" w:type="dxa"/>
            <w:vAlign w:val="center"/>
          </w:tcPr>
          <w:p w14:paraId="761FF169">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29</w:t>
            </w:r>
          </w:p>
        </w:tc>
        <w:tc>
          <w:tcPr>
            <w:tcW w:w="1860" w:type="dxa"/>
            <w:gridSpan w:val="2"/>
            <w:vAlign w:val="center"/>
          </w:tcPr>
          <w:p w14:paraId="427D387D">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履约担保</w:t>
            </w:r>
          </w:p>
        </w:tc>
        <w:tc>
          <w:tcPr>
            <w:tcW w:w="6817" w:type="dxa"/>
            <w:vAlign w:val="center"/>
          </w:tcPr>
          <w:p w14:paraId="58ECEA40">
            <w:pPr>
              <w:spacing w:line="440" w:lineRule="exact"/>
              <w:rPr>
                <w:rFonts w:ascii="宋体" w:hAnsi="宋体" w:cs="宋体"/>
                <w:color w:val="auto"/>
                <w:szCs w:val="21"/>
                <w:highlight w:val="none"/>
              </w:rPr>
            </w:pPr>
            <w:r>
              <w:rPr>
                <w:rFonts w:hint="eastAsia" w:ascii="宋体" w:hAnsi="宋体" w:cs="宋体"/>
                <w:color w:val="auto"/>
                <w:szCs w:val="21"/>
                <w:highlight w:val="none"/>
              </w:rPr>
              <w:t>本项目不要求中标人提交履约保证金。</w:t>
            </w:r>
          </w:p>
        </w:tc>
      </w:tr>
      <w:tr w14:paraId="607424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0" w:type="dxa"/>
            <w:vAlign w:val="center"/>
          </w:tcPr>
          <w:p w14:paraId="1AC28880">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30</w:t>
            </w:r>
          </w:p>
        </w:tc>
        <w:tc>
          <w:tcPr>
            <w:tcW w:w="1860" w:type="dxa"/>
            <w:gridSpan w:val="2"/>
            <w:vAlign w:val="center"/>
          </w:tcPr>
          <w:p w14:paraId="33FB55BE">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近年财务状况的年份要求</w:t>
            </w:r>
          </w:p>
        </w:tc>
        <w:tc>
          <w:tcPr>
            <w:tcW w:w="6817" w:type="dxa"/>
            <w:vAlign w:val="center"/>
          </w:tcPr>
          <w:p w14:paraId="4C151930">
            <w:pPr>
              <w:spacing w:line="440" w:lineRule="exact"/>
              <w:rPr>
                <w:rFonts w:ascii="宋体" w:hAnsi="宋体" w:cs="宋体"/>
                <w:color w:val="auto"/>
                <w:szCs w:val="21"/>
                <w:highlight w:val="none"/>
              </w:rPr>
            </w:pPr>
            <w:r>
              <w:rPr>
                <w:rFonts w:hint="eastAsia" w:ascii="宋体" w:hAnsi="宋体" w:cs="宋体"/>
                <w:color w:val="auto"/>
                <w:szCs w:val="21"/>
                <w:highlight w:val="none"/>
              </w:rPr>
              <w:t>无</w:t>
            </w:r>
          </w:p>
        </w:tc>
      </w:tr>
      <w:tr w14:paraId="0E1439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0" w:type="dxa"/>
            <w:vAlign w:val="center"/>
          </w:tcPr>
          <w:p w14:paraId="62BC2D51">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31</w:t>
            </w:r>
          </w:p>
        </w:tc>
        <w:tc>
          <w:tcPr>
            <w:tcW w:w="1860" w:type="dxa"/>
            <w:gridSpan w:val="2"/>
            <w:vAlign w:val="center"/>
          </w:tcPr>
          <w:p w14:paraId="68235EBB">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近年完成的类似项目的年份要求</w:t>
            </w:r>
          </w:p>
        </w:tc>
        <w:tc>
          <w:tcPr>
            <w:tcW w:w="6817" w:type="dxa"/>
            <w:vAlign w:val="center"/>
          </w:tcPr>
          <w:p w14:paraId="2FF611C3">
            <w:pPr>
              <w:spacing w:line="440" w:lineRule="exact"/>
              <w:rPr>
                <w:rFonts w:ascii="宋体" w:hAnsi="宋体" w:cs="宋体"/>
                <w:color w:val="auto"/>
                <w:szCs w:val="21"/>
                <w:highlight w:val="none"/>
              </w:rPr>
            </w:pPr>
            <w:r>
              <w:rPr>
                <w:rFonts w:hint="eastAsia" w:ascii="宋体" w:hAnsi="宋体" w:cs="宋体"/>
                <w:color w:val="auto"/>
                <w:szCs w:val="21"/>
                <w:highlight w:val="none"/>
              </w:rPr>
              <w:t>详见招标文件要求</w:t>
            </w:r>
          </w:p>
        </w:tc>
      </w:tr>
      <w:tr w14:paraId="146228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547" w:type="dxa"/>
            <w:gridSpan w:val="4"/>
            <w:vAlign w:val="center"/>
          </w:tcPr>
          <w:p w14:paraId="38FE71D7">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需要补充的其他内容</w:t>
            </w:r>
          </w:p>
        </w:tc>
      </w:tr>
      <w:tr w14:paraId="746091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702" w:type="dxa"/>
            <w:gridSpan w:val="2"/>
            <w:vAlign w:val="center"/>
          </w:tcPr>
          <w:p w14:paraId="14C84A63">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电子招标投标</w:t>
            </w:r>
          </w:p>
        </w:tc>
        <w:tc>
          <w:tcPr>
            <w:tcW w:w="7845" w:type="dxa"/>
            <w:gridSpan w:val="2"/>
            <w:vAlign w:val="center"/>
          </w:tcPr>
          <w:p w14:paraId="62DA8657">
            <w:pPr>
              <w:spacing w:line="440" w:lineRule="exact"/>
              <w:jc w:val="left"/>
              <w:rPr>
                <w:rFonts w:ascii="宋体" w:hAnsi="宋体" w:cs="宋体"/>
                <w:color w:val="auto"/>
                <w:szCs w:val="21"/>
                <w:highlight w:val="none"/>
              </w:rPr>
            </w:pP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eq \o\ac(□,</w:instrText>
            </w:r>
            <w:r>
              <w:rPr>
                <w:rFonts w:hint="eastAsia" w:ascii="宋体" w:hAnsi="宋体" w:cs="宋体"/>
                <w:color w:val="auto"/>
                <w:position w:val="2"/>
                <w:sz w:val="13"/>
                <w:szCs w:val="21"/>
                <w:highlight w:val="none"/>
              </w:rPr>
              <w:instrText xml:space="preserve">√</w:instrText>
            </w:r>
            <w:r>
              <w:rPr>
                <w:rFonts w:hint="eastAsia" w:ascii="宋体" w:hAnsi="宋体" w:cs="宋体"/>
                <w:color w:val="auto"/>
                <w:szCs w:val="21"/>
                <w:highlight w:val="none"/>
              </w:rPr>
              <w:instrText xml:space="preserve">)</w:instrText>
            </w:r>
            <w:r>
              <w:rPr>
                <w:rFonts w:hint="eastAsia" w:ascii="宋体" w:hAnsi="宋体" w:cs="宋体"/>
                <w:color w:val="auto"/>
                <w:szCs w:val="21"/>
                <w:highlight w:val="none"/>
              </w:rPr>
              <w:fldChar w:fldCharType="end"/>
            </w:r>
            <w:r>
              <w:rPr>
                <w:rFonts w:hint="eastAsia" w:ascii="宋体" w:hAnsi="宋体" w:cs="宋体"/>
                <w:color w:val="auto"/>
                <w:szCs w:val="21"/>
                <w:highlight w:val="none"/>
              </w:rPr>
              <w:t>否； □是，具体要求：按招标文件规定。</w:t>
            </w:r>
          </w:p>
        </w:tc>
      </w:tr>
      <w:tr w14:paraId="400E82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 w:hRule="atLeast"/>
        </w:trPr>
        <w:tc>
          <w:tcPr>
            <w:tcW w:w="1702" w:type="dxa"/>
            <w:gridSpan w:val="2"/>
            <w:vAlign w:val="center"/>
          </w:tcPr>
          <w:p w14:paraId="37B2D458">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招标代理服务费及专家评审费</w:t>
            </w:r>
          </w:p>
        </w:tc>
        <w:tc>
          <w:tcPr>
            <w:tcW w:w="7845" w:type="dxa"/>
            <w:gridSpan w:val="2"/>
            <w:vAlign w:val="center"/>
          </w:tcPr>
          <w:p w14:paraId="62891599">
            <w:pPr>
              <w:spacing w:line="440" w:lineRule="exact"/>
              <w:jc w:val="left"/>
              <w:rPr>
                <w:rFonts w:ascii="宋体" w:hAnsi="宋体" w:cs="宋体"/>
                <w:color w:val="auto"/>
                <w:szCs w:val="21"/>
                <w:highlight w:val="none"/>
              </w:rPr>
            </w:pPr>
            <w:r>
              <w:rPr>
                <w:rFonts w:hint="eastAsia" w:ascii="宋体" w:hAnsi="宋体" w:cs="宋体"/>
                <w:color w:val="auto"/>
                <w:szCs w:val="21"/>
                <w:highlight w:val="none"/>
              </w:rPr>
              <w:t>本项目的招标代理服务费用3000元人民币、专家评委费以实际发生为准，上述两项费用包含在投标报价中，投标人在投标报价中考虑上述费用，均由中标单位在领取中标通知书时，一次性支付给代理公司。</w:t>
            </w:r>
          </w:p>
        </w:tc>
      </w:tr>
      <w:tr w14:paraId="179EEF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702" w:type="dxa"/>
            <w:gridSpan w:val="2"/>
            <w:vAlign w:val="center"/>
          </w:tcPr>
          <w:p w14:paraId="07AE3C09">
            <w:pPr>
              <w:spacing w:line="440" w:lineRule="exact"/>
              <w:jc w:val="center"/>
              <w:rPr>
                <w:rFonts w:ascii="宋体" w:hAnsi="宋体" w:cs="宋体"/>
                <w:color w:val="auto"/>
                <w:szCs w:val="21"/>
                <w:highlight w:val="none"/>
              </w:rPr>
            </w:pPr>
            <w:r>
              <w:rPr>
                <w:rFonts w:hint="eastAsia" w:ascii="宋体" w:hAnsi="宋体" w:cs="宋体"/>
                <w:b/>
                <w:bCs/>
                <w:color w:val="auto"/>
                <w:szCs w:val="21"/>
                <w:highlight w:val="none"/>
              </w:rPr>
              <w:t>付款方式</w:t>
            </w:r>
          </w:p>
        </w:tc>
        <w:tc>
          <w:tcPr>
            <w:tcW w:w="7845" w:type="dxa"/>
            <w:gridSpan w:val="2"/>
            <w:vAlign w:val="center"/>
          </w:tcPr>
          <w:p w14:paraId="717E5C11">
            <w:pPr>
              <w:spacing w:line="440" w:lineRule="exact"/>
              <w:jc w:val="left"/>
              <w:rPr>
                <w:rFonts w:ascii="宋体" w:hAnsi="宋体" w:cs="宋体"/>
                <w:color w:val="auto"/>
                <w:szCs w:val="21"/>
                <w:highlight w:val="none"/>
              </w:rPr>
            </w:pPr>
            <w:bookmarkStart w:id="53" w:name="OLE_LINK16"/>
            <w:r>
              <w:rPr>
                <w:rFonts w:hint="eastAsia" w:ascii="宋体" w:hAnsi="宋体" w:cs="宋体"/>
                <w:color w:val="auto"/>
                <w:szCs w:val="21"/>
                <w:highlight w:val="none"/>
              </w:rPr>
              <w:t>本项目</w:t>
            </w:r>
            <w:r>
              <w:rPr>
                <w:rFonts w:hint="eastAsia" w:ascii="宋体" w:hAnsi="宋体" w:cs="宋体"/>
                <w:color w:val="auto"/>
                <w:szCs w:val="21"/>
                <w:highlight w:val="none"/>
                <w:lang w:val="en-US" w:eastAsia="zh-CN"/>
              </w:rPr>
              <w:t>合同内所有测绘服务完成后并提交成果一次性</w:t>
            </w:r>
            <w:r>
              <w:rPr>
                <w:rFonts w:hint="eastAsia" w:ascii="宋体" w:hAnsi="宋体" w:cs="宋体"/>
                <w:color w:val="auto"/>
                <w:szCs w:val="21"/>
                <w:highlight w:val="none"/>
              </w:rPr>
              <w:t>结算</w:t>
            </w:r>
            <w:bookmarkEnd w:id="53"/>
            <w:r>
              <w:rPr>
                <w:rFonts w:hint="eastAsia" w:ascii="宋体" w:hAnsi="宋体" w:cs="宋体"/>
                <w:color w:val="auto"/>
                <w:szCs w:val="21"/>
                <w:highlight w:val="none"/>
                <w:lang w:eastAsia="zh-CN"/>
              </w:rPr>
              <w:t>，</w:t>
            </w:r>
            <w:r>
              <w:rPr>
                <w:rFonts w:hint="eastAsia" w:ascii="宋体" w:hAnsi="宋体" w:cs="宋体"/>
                <w:color w:val="auto"/>
                <w:szCs w:val="21"/>
                <w:highlight w:val="none"/>
              </w:rPr>
              <w:t>招标方对实际发生的测绘业务量进行审核，并提出审查意见；中标方根据双方确认的工作量和业务费用结果开具增值税专用发票后，招标方将测绘业务费用支付给中标方。</w:t>
            </w:r>
          </w:p>
        </w:tc>
      </w:tr>
      <w:tr w14:paraId="665EA8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2" w:type="dxa"/>
            <w:gridSpan w:val="2"/>
            <w:vAlign w:val="center"/>
          </w:tcPr>
          <w:p w14:paraId="4766A1AC">
            <w:pPr>
              <w:spacing w:line="440" w:lineRule="exact"/>
              <w:jc w:val="center"/>
              <w:rPr>
                <w:rFonts w:ascii="宋体" w:hAnsi="宋体" w:cs="宋体"/>
                <w:color w:val="auto"/>
                <w:szCs w:val="21"/>
                <w:highlight w:val="none"/>
              </w:rPr>
            </w:pPr>
            <w:bookmarkStart w:id="54" w:name="_Toc13234"/>
            <w:bookmarkStart w:id="55" w:name="_Toc35425053"/>
            <w:bookmarkStart w:id="56" w:name="_Toc15058846"/>
            <w:bookmarkStart w:id="57" w:name="_Toc35424887"/>
            <w:bookmarkStart w:id="58" w:name="_Toc35947170"/>
            <w:bookmarkStart w:id="59" w:name="_Toc531771949"/>
            <w:bookmarkStart w:id="60" w:name="_Toc8218_WPSOffice_Level1"/>
            <w:r>
              <w:rPr>
                <w:rFonts w:hint="eastAsia" w:ascii="宋体" w:hAnsi="宋体" w:cs="宋体"/>
                <w:color w:val="auto"/>
                <w:szCs w:val="21"/>
                <w:highlight w:val="none"/>
              </w:rPr>
              <w:t>其他说明</w:t>
            </w:r>
          </w:p>
        </w:tc>
        <w:tc>
          <w:tcPr>
            <w:tcW w:w="7845" w:type="dxa"/>
            <w:gridSpan w:val="2"/>
            <w:vAlign w:val="center"/>
          </w:tcPr>
          <w:p w14:paraId="47553021">
            <w:pPr>
              <w:spacing w:line="440" w:lineRule="exact"/>
              <w:jc w:val="left"/>
              <w:rPr>
                <w:rFonts w:ascii="宋体" w:hAnsi="宋体" w:cs="宋体"/>
                <w:color w:val="auto"/>
                <w:szCs w:val="21"/>
                <w:highlight w:val="none"/>
              </w:rPr>
            </w:pPr>
            <w:r>
              <w:rPr>
                <w:rFonts w:hint="eastAsia" w:ascii="宋体" w:hAnsi="宋体" w:cs="宋体"/>
                <w:color w:val="auto"/>
                <w:szCs w:val="21"/>
                <w:highlight w:val="none"/>
              </w:rPr>
              <w:t>1、本招标文件前后条款若有不一致之处，在澄清答疑时又未作出明确规定时，各投标人的投标文件只要满足其中任一条款，均视为对本招标文件的响应。</w:t>
            </w:r>
          </w:p>
          <w:p w14:paraId="2A244A5D">
            <w:pPr>
              <w:spacing w:line="440" w:lineRule="exact"/>
              <w:jc w:val="left"/>
              <w:rPr>
                <w:rFonts w:ascii="宋体" w:hAnsi="宋体" w:cs="宋体"/>
                <w:color w:val="auto"/>
                <w:szCs w:val="21"/>
                <w:highlight w:val="none"/>
              </w:rPr>
            </w:pPr>
            <w:r>
              <w:rPr>
                <w:rFonts w:hint="eastAsia" w:ascii="宋体" w:hAnsi="宋体" w:cs="宋体"/>
                <w:color w:val="auto"/>
                <w:szCs w:val="21"/>
                <w:highlight w:val="none"/>
              </w:rPr>
              <w:t>2、系统中提供的表格与招标</w:t>
            </w:r>
            <w:r>
              <w:rPr>
                <w:rFonts w:hint="eastAsia" w:ascii="宋体" w:hAnsi="宋体" w:cs="宋体"/>
                <w:color w:val="auto"/>
                <w:szCs w:val="21"/>
                <w:highlight w:val="none"/>
                <w:lang w:eastAsia="zh-CN"/>
              </w:rPr>
              <w:t>文件</w:t>
            </w:r>
            <w:r>
              <w:rPr>
                <w:rFonts w:hint="eastAsia" w:ascii="宋体" w:hAnsi="宋体" w:cs="宋体"/>
                <w:color w:val="auto"/>
                <w:szCs w:val="21"/>
                <w:highlight w:val="none"/>
              </w:rPr>
              <w:t>不一致时，以招标文件中提供的表格格式为准。</w:t>
            </w:r>
          </w:p>
          <w:p w14:paraId="4D45AC99">
            <w:pPr>
              <w:spacing w:line="440" w:lineRule="exact"/>
              <w:jc w:val="left"/>
              <w:rPr>
                <w:rFonts w:ascii="宋体" w:hAnsi="宋体" w:cs="宋体"/>
                <w:color w:val="auto"/>
                <w:szCs w:val="21"/>
                <w:highlight w:val="none"/>
              </w:rPr>
            </w:pPr>
            <w:r>
              <w:rPr>
                <w:rFonts w:hint="eastAsia" w:ascii="宋体" w:hAnsi="宋体" w:cs="宋体"/>
                <w:color w:val="auto"/>
                <w:szCs w:val="21"/>
                <w:highlight w:val="none"/>
              </w:rPr>
              <w:t>3、本项目招标公告与本招标文件不一致之处，以本招标文件为准。</w:t>
            </w:r>
          </w:p>
          <w:p w14:paraId="04FB491F">
            <w:pPr>
              <w:spacing w:line="440" w:lineRule="exact"/>
              <w:jc w:val="left"/>
              <w:rPr>
                <w:rFonts w:ascii="宋体" w:hAnsi="宋体" w:cs="宋体"/>
                <w:color w:val="auto"/>
                <w:szCs w:val="21"/>
                <w:highlight w:val="none"/>
              </w:rPr>
            </w:pPr>
            <w:r>
              <w:rPr>
                <w:rFonts w:hint="eastAsia" w:ascii="宋体" w:hAnsi="宋体" w:cs="宋体"/>
                <w:color w:val="auto"/>
                <w:szCs w:val="21"/>
                <w:highlight w:val="none"/>
              </w:rPr>
              <w:t>4、本文件的最终解释权归招标人、招标代理机构所有。</w:t>
            </w:r>
          </w:p>
          <w:p w14:paraId="3730CE14">
            <w:pPr>
              <w:spacing w:line="440" w:lineRule="exact"/>
              <w:jc w:val="left"/>
              <w:rPr>
                <w:rFonts w:ascii="宋体" w:hAnsi="宋体" w:cs="宋体"/>
                <w:color w:val="auto"/>
                <w:szCs w:val="21"/>
                <w:highlight w:val="none"/>
              </w:rPr>
            </w:pPr>
            <w:r>
              <w:rPr>
                <w:rFonts w:hint="eastAsia" w:ascii="宋体" w:hAnsi="宋体" w:cs="宋体"/>
                <w:b/>
                <w:bCs/>
                <w:color w:val="auto"/>
                <w:szCs w:val="21"/>
                <w:highlight w:val="none"/>
              </w:rPr>
              <w:t>5、现场配合要求：因本项目工期紧，中标单位需派驻测绘组常驻项目现场。</w:t>
            </w:r>
          </w:p>
        </w:tc>
      </w:tr>
      <w:bookmarkEnd w:id="0"/>
      <w:bookmarkEnd w:id="1"/>
      <w:bookmarkEnd w:id="2"/>
      <w:bookmarkEnd w:id="3"/>
    </w:tbl>
    <w:p w14:paraId="586DBC1E">
      <w:pPr>
        <w:pStyle w:val="3"/>
        <w:spacing w:line="440" w:lineRule="exact"/>
        <w:rPr>
          <w:rFonts w:ascii="宋体" w:hAnsi="宋体" w:cs="宋体"/>
          <w:color w:val="auto"/>
          <w:highlight w:val="none"/>
        </w:rPr>
      </w:pPr>
      <w:bookmarkStart w:id="61" w:name="_Toc14097"/>
      <w:r>
        <w:rPr>
          <w:rFonts w:hint="eastAsia" w:ascii="宋体" w:hAnsi="宋体" w:cs="宋体"/>
          <w:color w:val="auto"/>
          <w:highlight w:val="none"/>
        </w:rPr>
        <w:t>1. 总则</w:t>
      </w:r>
      <w:bookmarkEnd w:id="54"/>
      <w:bookmarkEnd w:id="55"/>
      <w:bookmarkEnd w:id="56"/>
      <w:bookmarkEnd w:id="57"/>
      <w:bookmarkEnd w:id="58"/>
      <w:bookmarkEnd w:id="61"/>
    </w:p>
    <w:p w14:paraId="04D6BDEB">
      <w:pPr>
        <w:spacing w:line="440" w:lineRule="exact"/>
        <w:ind w:firstLine="422" w:firstLineChars="200"/>
        <w:outlineLvl w:val="2"/>
        <w:rPr>
          <w:rFonts w:ascii="宋体" w:hAnsi="宋体" w:cs="宋体"/>
          <w:b/>
          <w:bCs/>
          <w:color w:val="auto"/>
          <w:szCs w:val="21"/>
          <w:highlight w:val="none"/>
        </w:rPr>
      </w:pPr>
      <w:bookmarkStart w:id="62" w:name="_Toc247085690"/>
      <w:bookmarkStart w:id="63" w:name="_Toc246996176"/>
      <w:bookmarkStart w:id="64" w:name="_Toc15058847"/>
      <w:bookmarkStart w:id="65" w:name="_Toc22151"/>
      <w:bookmarkStart w:id="66" w:name="_Toc152042306"/>
      <w:bookmarkStart w:id="67" w:name="_Toc35424888"/>
      <w:bookmarkStart w:id="68" w:name="_Toc506107270"/>
      <w:bookmarkStart w:id="69" w:name="_Toc26862"/>
      <w:bookmarkStart w:id="70" w:name="_Toc179632547"/>
      <w:bookmarkStart w:id="71" w:name="_Toc144974498"/>
      <w:bookmarkStart w:id="72" w:name="_Toc35425054"/>
      <w:bookmarkStart w:id="73" w:name="_Toc35947171"/>
      <w:bookmarkStart w:id="74" w:name="_Toc324404816"/>
      <w:bookmarkStart w:id="75" w:name="_Toc246996919"/>
      <w:bookmarkStart w:id="76" w:name="_Toc296602421"/>
      <w:bookmarkStart w:id="77" w:name="_Toc152045530"/>
      <w:r>
        <w:rPr>
          <w:rFonts w:hint="eastAsia" w:ascii="宋体" w:hAnsi="宋体" w:cs="宋体"/>
          <w:b/>
          <w:bCs/>
          <w:color w:val="auto"/>
          <w:szCs w:val="21"/>
          <w:highlight w:val="none"/>
        </w:rPr>
        <w:t>1.1 项目概况</w:t>
      </w:r>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p>
    <w:p w14:paraId="3D408CE1">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1.1.1参照《中华人民共和国招标投标法》《中华人民共和国招标投标法实施条例》等有关法律、法规和规章的规定，本招标项目已具备招标条件，现对本项目服务进行招标。</w:t>
      </w:r>
    </w:p>
    <w:p w14:paraId="70696987">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1.1.2 本招标项目招标人：见投标人须知前附表。</w:t>
      </w:r>
    </w:p>
    <w:p w14:paraId="17025F6D">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1.1.3 本招标项目招标代理机构：见投标人须知前附表。</w:t>
      </w:r>
    </w:p>
    <w:p w14:paraId="511383FB">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1.1.4 本招标项目名称：见投标人须知前附表。</w:t>
      </w:r>
    </w:p>
    <w:p w14:paraId="74BB148A">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1.1.5 本招标项目建设地点：见投标人须知前附表。</w:t>
      </w:r>
    </w:p>
    <w:p w14:paraId="480FE29A">
      <w:pPr>
        <w:spacing w:line="440" w:lineRule="exact"/>
        <w:ind w:firstLine="422" w:firstLineChars="200"/>
        <w:outlineLvl w:val="2"/>
        <w:rPr>
          <w:rFonts w:ascii="宋体" w:hAnsi="宋体" w:cs="宋体"/>
          <w:b/>
          <w:bCs/>
          <w:color w:val="auto"/>
          <w:szCs w:val="21"/>
          <w:highlight w:val="none"/>
        </w:rPr>
      </w:pPr>
      <w:bookmarkStart w:id="78" w:name="_Toc246996177"/>
      <w:bookmarkStart w:id="79" w:name="_Toc152045531"/>
      <w:bookmarkStart w:id="80" w:name="_Toc324404817"/>
      <w:bookmarkStart w:id="81" w:name="_Toc35947172"/>
      <w:bookmarkStart w:id="82" w:name="_Toc296602422"/>
      <w:bookmarkStart w:id="83" w:name="_Toc179632548"/>
      <w:bookmarkStart w:id="84" w:name="_Toc506107271"/>
      <w:bookmarkStart w:id="85" w:name="_Toc15058848"/>
      <w:bookmarkStart w:id="86" w:name="_Toc35424889"/>
      <w:bookmarkStart w:id="87" w:name="_Toc247085691"/>
      <w:bookmarkStart w:id="88" w:name="_Toc35425055"/>
      <w:bookmarkStart w:id="89" w:name="_Toc246996920"/>
      <w:bookmarkStart w:id="90" w:name="_Toc152042307"/>
      <w:bookmarkStart w:id="91" w:name="_Toc12046"/>
      <w:bookmarkStart w:id="92" w:name="_Toc13913"/>
      <w:bookmarkStart w:id="93" w:name="_Toc144974499"/>
      <w:r>
        <w:rPr>
          <w:rFonts w:hint="eastAsia" w:ascii="宋体" w:hAnsi="宋体" w:cs="宋体"/>
          <w:b/>
          <w:bCs/>
          <w:color w:val="auto"/>
          <w:szCs w:val="21"/>
          <w:highlight w:val="none"/>
        </w:rPr>
        <w:t>1.2 资金来源和落实情况</w:t>
      </w:r>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p>
    <w:p w14:paraId="2474FA26">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1.2.1 本招标项目的资金来源及出资比例：见投标人须知前附表。</w:t>
      </w:r>
    </w:p>
    <w:p w14:paraId="36AD533B">
      <w:pPr>
        <w:spacing w:line="440" w:lineRule="exact"/>
        <w:ind w:firstLine="422" w:firstLineChars="200"/>
        <w:outlineLvl w:val="2"/>
        <w:rPr>
          <w:rFonts w:ascii="宋体" w:hAnsi="宋体" w:cs="宋体"/>
          <w:b/>
          <w:bCs/>
          <w:color w:val="auto"/>
          <w:szCs w:val="21"/>
          <w:highlight w:val="none"/>
        </w:rPr>
      </w:pPr>
      <w:bookmarkStart w:id="94" w:name="_Toc247085692"/>
      <w:bookmarkStart w:id="95" w:name="_Toc506107272"/>
      <w:bookmarkStart w:id="96" w:name="_Toc26911"/>
      <w:bookmarkStart w:id="97" w:name="_Toc296602423"/>
      <w:bookmarkStart w:id="98" w:name="_Toc152045532"/>
      <w:bookmarkStart w:id="99" w:name="_Toc35425056"/>
      <w:bookmarkStart w:id="100" w:name="_Toc144974500"/>
      <w:bookmarkStart w:id="101" w:name="_Toc15058849"/>
      <w:bookmarkStart w:id="102" w:name="_Toc246996178"/>
      <w:bookmarkStart w:id="103" w:name="_Toc246996921"/>
      <w:bookmarkStart w:id="104" w:name="_Toc179632549"/>
      <w:bookmarkStart w:id="105" w:name="_Toc35424890"/>
      <w:bookmarkStart w:id="106" w:name="_Toc152042308"/>
      <w:bookmarkStart w:id="107" w:name="_Toc324404818"/>
      <w:bookmarkStart w:id="108" w:name="_Toc35947173"/>
      <w:bookmarkStart w:id="109" w:name="_Toc7930"/>
      <w:r>
        <w:rPr>
          <w:rFonts w:hint="eastAsia" w:ascii="宋体" w:hAnsi="宋体" w:cs="宋体"/>
          <w:b/>
          <w:bCs/>
          <w:color w:val="auto"/>
          <w:szCs w:val="21"/>
          <w:highlight w:val="none"/>
        </w:rPr>
        <w:t>1.3 招标范围、服务期限、质量要求</w:t>
      </w:r>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p>
    <w:p w14:paraId="325EC697">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1.3.1 本次招标范围：见投标人须知前附表。</w:t>
      </w:r>
    </w:p>
    <w:p w14:paraId="78F5659F">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1.3.2 本招标项目的服务期限：见投标人须知前附表。</w:t>
      </w:r>
    </w:p>
    <w:p w14:paraId="79486BA3">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1.3.3 本招标项目的质量要求：见投标人须知前附表。</w:t>
      </w:r>
    </w:p>
    <w:p w14:paraId="6A563530">
      <w:pPr>
        <w:spacing w:line="440" w:lineRule="exact"/>
        <w:ind w:firstLine="422" w:firstLineChars="200"/>
        <w:outlineLvl w:val="2"/>
        <w:rPr>
          <w:rFonts w:ascii="宋体" w:hAnsi="宋体" w:cs="宋体"/>
          <w:b/>
          <w:bCs/>
          <w:color w:val="auto"/>
          <w:szCs w:val="21"/>
          <w:highlight w:val="none"/>
        </w:rPr>
      </w:pPr>
      <w:bookmarkStart w:id="110" w:name="_Toc152045534"/>
      <w:bookmarkStart w:id="111" w:name="_Toc35425057"/>
      <w:bookmarkStart w:id="112" w:name="_Toc506107273"/>
      <w:bookmarkStart w:id="113" w:name="_Toc324404819"/>
      <w:bookmarkStart w:id="114" w:name="_Toc18432"/>
      <w:bookmarkStart w:id="115" w:name="_Toc179632551"/>
      <w:bookmarkStart w:id="116" w:name="_Toc246996179"/>
      <w:bookmarkStart w:id="117" w:name="_Toc152042310"/>
      <w:bookmarkStart w:id="118" w:name="_Toc247085693"/>
      <w:bookmarkStart w:id="119" w:name="_Toc35947174"/>
      <w:bookmarkStart w:id="120" w:name="_Toc246996922"/>
      <w:bookmarkStart w:id="121" w:name="_Toc15058850"/>
      <w:bookmarkStart w:id="122" w:name="_Toc144974502"/>
      <w:bookmarkStart w:id="123" w:name="_Toc6279"/>
      <w:bookmarkStart w:id="124" w:name="_Toc296602424"/>
      <w:bookmarkStart w:id="125" w:name="_Toc35424891"/>
      <w:r>
        <w:rPr>
          <w:rFonts w:hint="eastAsia" w:ascii="宋体" w:hAnsi="宋体" w:cs="宋体"/>
          <w:b/>
          <w:bCs/>
          <w:color w:val="auto"/>
          <w:szCs w:val="21"/>
          <w:highlight w:val="none"/>
        </w:rPr>
        <w:t>1.4 投标人资格要求</w:t>
      </w:r>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p>
    <w:p w14:paraId="08435EB6">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1.4.1 投标人应具备承担本项目的资质条件、能力和信誉。</w:t>
      </w:r>
    </w:p>
    <w:p w14:paraId="1B9531A7">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（1）资质条件：见投标人须知前附表；</w:t>
      </w:r>
    </w:p>
    <w:p w14:paraId="459E9CB9">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（2）项目负责人资格：见投标人须知前附表；</w:t>
      </w:r>
    </w:p>
    <w:p w14:paraId="70EF42DD">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（3）财务要求：见投标人须知前附表；</w:t>
      </w:r>
    </w:p>
    <w:p w14:paraId="25E51A70">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（4）业绩要求：见投标人须知前附表；</w:t>
      </w:r>
    </w:p>
    <w:p w14:paraId="613401CB">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（5）其他要求：见投标人须知前附表。</w:t>
      </w:r>
    </w:p>
    <w:p w14:paraId="2335B10C">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1.4.2 投标人不得存在下列情形之一：</w:t>
      </w:r>
    </w:p>
    <w:p w14:paraId="5DD5ED34">
      <w:pPr>
        <w:spacing w:line="440" w:lineRule="exact"/>
        <w:ind w:firstLine="359" w:firstLineChars="171"/>
        <w:rPr>
          <w:rFonts w:ascii="宋体" w:hAnsi="宋体" w:cs="宋体"/>
          <w:color w:val="auto"/>
          <w:highlight w:val="none"/>
        </w:rPr>
      </w:pPr>
      <w:r>
        <w:rPr>
          <w:rFonts w:hint="eastAsia" w:ascii="宋体" w:hAnsi="宋体" w:cs="宋体"/>
          <w:color w:val="auto"/>
          <w:highlight w:val="none"/>
        </w:rPr>
        <w:t>（1）为招标人不具有独立法人资格的附属机构（单位） ；</w:t>
      </w:r>
    </w:p>
    <w:p w14:paraId="72F9C78B">
      <w:pPr>
        <w:spacing w:line="440" w:lineRule="exact"/>
        <w:ind w:firstLine="359" w:firstLineChars="171"/>
        <w:rPr>
          <w:rFonts w:ascii="宋体" w:hAnsi="宋体" w:cs="宋体"/>
          <w:color w:val="auto"/>
          <w:highlight w:val="none"/>
        </w:rPr>
      </w:pPr>
      <w:r>
        <w:rPr>
          <w:rFonts w:hint="eastAsia" w:ascii="宋体" w:hAnsi="宋体" w:cs="宋体"/>
          <w:color w:val="auto"/>
          <w:highlight w:val="none"/>
        </w:rPr>
        <w:t>（2）与招标人存在利害关系且可能影响招标公正性；</w:t>
      </w:r>
    </w:p>
    <w:p w14:paraId="73690FA9">
      <w:pPr>
        <w:spacing w:line="440" w:lineRule="exact"/>
        <w:ind w:firstLine="359" w:firstLineChars="171"/>
        <w:rPr>
          <w:rFonts w:ascii="宋体" w:hAnsi="宋体" w:cs="宋体"/>
          <w:color w:val="auto"/>
          <w:highlight w:val="none"/>
        </w:rPr>
      </w:pPr>
      <w:r>
        <w:rPr>
          <w:rFonts w:hint="eastAsia" w:ascii="宋体" w:hAnsi="宋体" w:cs="宋体"/>
          <w:color w:val="auto"/>
          <w:highlight w:val="none"/>
        </w:rPr>
        <w:t>（3）与本招标项目的其他投标人为同一个单位负责人；</w:t>
      </w:r>
    </w:p>
    <w:p w14:paraId="208AC374">
      <w:pPr>
        <w:spacing w:line="440" w:lineRule="exact"/>
        <w:ind w:firstLine="359" w:firstLineChars="171"/>
        <w:rPr>
          <w:rFonts w:ascii="宋体" w:hAnsi="宋体" w:cs="宋体"/>
          <w:color w:val="auto"/>
          <w:highlight w:val="none"/>
        </w:rPr>
      </w:pPr>
      <w:r>
        <w:rPr>
          <w:rFonts w:hint="eastAsia" w:ascii="宋体" w:hAnsi="宋体" w:cs="宋体"/>
          <w:color w:val="auto"/>
          <w:highlight w:val="none"/>
        </w:rPr>
        <w:t>（4）与本招标项目的其他投标人存在控股、管理关系；</w:t>
      </w:r>
    </w:p>
    <w:p w14:paraId="0678F2C4">
      <w:pPr>
        <w:spacing w:line="440" w:lineRule="exact"/>
        <w:ind w:firstLine="359" w:firstLineChars="171"/>
        <w:rPr>
          <w:rFonts w:ascii="宋体" w:hAnsi="宋体" w:cs="宋体"/>
          <w:color w:val="auto"/>
          <w:highlight w:val="none"/>
        </w:rPr>
      </w:pPr>
      <w:r>
        <w:rPr>
          <w:rFonts w:hint="eastAsia" w:ascii="宋体" w:hAnsi="宋体" w:cs="宋体"/>
          <w:color w:val="auto"/>
          <w:highlight w:val="none"/>
        </w:rPr>
        <w:t>（5）为本招标项目的代建人；</w:t>
      </w:r>
    </w:p>
    <w:p w14:paraId="6905F077">
      <w:pPr>
        <w:spacing w:line="440" w:lineRule="exact"/>
        <w:ind w:firstLine="359" w:firstLineChars="171"/>
        <w:rPr>
          <w:rFonts w:ascii="宋体" w:hAnsi="宋体" w:cs="宋体"/>
          <w:color w:val="auto"/>
          <w:highlight w:val="none"/>
        </w:rPr>
      </w:pPr>
      <w:r>
        <w:rPr>
          <w:rFonts w:hint="eastAsia" w:ascii="宋体" w:hAnsi="宋体" w:cs="宋体"/>
          <w:color w:val="auto"/>
          <w:highlight w:val="none"/>
        </w:rPr>
        <w:t>（6）为本招标项目的招标代理机构；</w:t>
      </w:r>
    </w:p>
    <w:p w14:paraId="23E6E5F7">
      <w:pPr>
        <w:spacing w:line="440" w:lineRule="exact"/>
        <w:ind w:firstLine="359" w:firstLineChars="171"/>
        <w:rPr>
          <w:rFonts w:ascii="宋体" w:hAnsi="宋体" w:cs="宋体"/>
          <w:color w:val="auto"/>
          <w:highlight w:val="none"/>
        </w:rPr>
      </w:pPr>
      <w:r>
        <w:rPr>
          <w:rFonts w:hint="eastAsia" w:ascii="宋体" w:hAnsi="宋体" w:cs="宋体"/>
          <w:color w:val="auto"/>
          <w:highlight w:val="none"/>
        </w:rPr>
        <w:t>（7）与本招标项目的代建人或招标代理机构同为一个法定代表人；</w:t>
      </w:r>
    </w:p>
    <w:p w14:paraId="6C10FB50">
      <w:pPr>
        <w:spacing w:line="440" w:lineRule="exact"/>
        <w:ind w:firstLine="359" w:firstLineChars="171"/>
        <w:rPr>
          <w:rFonts w:ascii="宋体" w:hAnsi="宋体" w:cs="宋体"/>
          <w:color w:val="auto"/>
          <w:highlight w:val="none"/>
        </w:rPr>
      </w:pPr>
      <w:r>
        <w:rPr>
          <w:rFonts w:hint="eastAsia" w:ascii="宋体" w:hAnsi="宋体" w:cs="宋体"/>
          <w:color w:val="auto"/>
          <w:highlight w:val="none"/>
        </w:rPr>
        <w:t>（8）与本招标项目的代建人或招标代理机构存在控股或参股关系；</w:t>
      </w:r>
    </w:p>
    <w:p w14:paraId="628609F2">
      <w:pPr>
        <w:spacing w:line="440" w:lineRule="exact"/>
        <w:ind w:firstLine="359" w:firstLineChars="171"/>
        <w:rPr>
          <w:rFonts w:ascii="宋体" w:hAnsi="宋体" w:cs="宋体"/>
          <w:color w:val="auto"/>
          <w:highlight w:val="none"/>
        </w:rPr>
      </w:pPr>
      <w:r>
        <w:rPr>
          <w:rFonts w:hint="eastAsia" w:ascii="宋体" w:hAnsi="宋体" w:cs="宋体"/>
          <w:color w:val="auto"/>
          <w:highlight w:val="none"/>
        </w:rPr>
        <w:t>（9）与本招标项目的施工承包人以及建筑材料、建筑构配件和设备供应商有隶属关系或者其他利害关系；</w:t>
      </w:r>
    </w:p>
    <w:p w14:paraId="4B3879AE">
      <w:pPr>
        <w:spacing w:line="440" w:lineRule="exact"/>
        <w:ind w:firstLine="359" w:firstLineChars="171"/>
        <w:rPr>
          <w:rFonts w:ascii="宋体" w:hAnsi="宋体" w:cs="宋体"/>
          <w:color w:val="auto"/>
          <w:highlight w:val="none"/>
        </w:rPr>
      </w:pPr>
      <w:r>
        <w:rPr>
          <w:rFonts w:hint="eastAsia" w:ascii="宋体" w:hAnsi="宋体" w:cs="宋体"/>
          <w:color w:val="auto"/>
          <w:highlight w:val="none"/>
        </w:rPr>
        <w:t>（10）被依法暂停或者取消投标资格；</w:t>
      </w:r>
    </w:p>
    <w:p w14:paraId="50A0F036">
      <w:pPr>
        <w:spacing w:line="440" w:lineRule="exact"/>
        <w:ind w:firstLine="359" w:firstLineChars="171"/>
        <w:rPr>
          <w:rFonts w:ascii="宋体" w:hAnsi="宋体" w:cs="宋体"/>
          <w:color w:val="auto"/>
          <w:highlight w:val="none"/>
        </w:rPr>
      </w:pPr>
      <w:r>
        <w:rPr>
          <w:rFonts w:hint="eastAsia" w:ascii="宋体" w:hAnsi="宋体" w:cs="宋体"/>
          <w:color w:val="auto"/>
          <w:highlight w:val="none"/>
        </w:rPr>
        <w:t>（11）被责令停产停业、暂扣或者吊销许可证、暂扣或者吊销执照；</w:t>
      </w:r>
    </w:p>
    <w:p w14:paraId="492C25F4">
      <w:pPr>
        <w:spacing w:line="440" w:lineRule="exact"/>
        <w:ind w:firstLine="359" w:firstLineChars="171"/>
        <w:rPr>
          <w:rFonts w:ascii="宋体" w:hAnsi="宋体" w:cs="宋体"/>
          <w:color w:val="auto"/>
          <w:highlight w:val="none"/>
        </w:rPr>
      </w:pPr>
      <w:r>
        <w:rPr>
          <w:rFonts w:hint="eastAsia" w:ascii="宋体" w:hAnsi="宋体" w:cs="宋体"/>
          <w:color w:val="auto"/>
          <w:highlight w:val="none"/>
        </w:rPr>
        <w:t>（12）进入清算程序，或被宣告破产，或其他丧失履约能力的情形；</w:t>
      </w:r>
    </w:p>
    <w:p w14:paraId="3DB8CF6B">
      <w:pPr>
        <w:spacing w:line="440" w:lineRule="exact"/>
        <w:ind w:firstLine="420" w:firstLineChars="200"/>
        <w:rPr>
          <w:rFonts w:ascii="宋体" w:hAnsi="宋体" w:cs="宋体"/>
          <w:color w:val="auto"/>
          <w:highlight w:val="none"/>
        </w:rPr>
      </w:pPr>
      <w:r>
        <w:rPr>
          <w:rFonts w:hint="eastAsia" w:ascii="宋体" w:hAnsi="宋体" w:cs="宋体"/>
          <w:color w:val="auto"/>
          <w:highlight w:val="none"/>
        </w:rPr>
        <w:t>（13）</w:t>
      </w:r>
      <w:r>
        <w:rPr>
          <w:rFonts w:hint="eastAsia" w:ascii="宋体" w:hAnsi="宋体" w:cs="宋体"/>
          <w:color w:val="auto"/>
          <w:szCs w:val="21"/>
          <w:highlight w:val="none"/>
        </w:rPr>
        <w:t>在最近三年内有骗取中标或严重违约或重大工程质量问题的；</w:t>
      </w:r>
    </w:p>
    <w:p w14:paraId="75FA042D">
      <w:pPr>
        <w:spacing w:line="440" w:lineRule="exact"/>
        <w:ind w:firstLine="420" w:firstLineChars="200"/>
        <w:rPr>
          <w:rFonts w:ascii="宋体" w:hAnsi="宋体" w:cs="宋体"/>
          <w:color w:val="auto"/>
          <w:szCs w:val="21"/>
          <w:highlight w:val="none"/>
        </w:rPr>
      </w:pPr>
      <w:r>
        <w:rPr>
          <w:rFonts w:hint="eastAsia" w:ascii="宋体" w:hAnsi="宋体" w:cs="宋体"/>
          <w:color w:val="auto"/>
          <w:highlight w:val="none"/>
        </w:rPr>
        <w:t>（14）法律法规或投标人须知前附表规定的其他情形。</w:t>
      </w:r>
    </w:p>
    <w:p w14:paraId="137F170E">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1.4.3 单位负责人为同一人或者存在控股、管理关系的不同单位，不得同时参加本招标项目投标。</w:t>
      </w:r>
    </w:p>
    <w:p w14:paraId="0DA42C5C">
      <w:pPr>
        <w:spacing w:line="440" w:lineRule="exact"/>
        <w:ind w:firstLine="422" w:firstLineChars="200"/>
        <w:outlineLvl w:val="2"/>
        <w:rPr>
          <w:rFonts w:ascii="宋体" w:hAnsi="宋体" w:cs="宋体"/>
          <w:b/>
          <w:bCs/>
          <w:color w:val="auto"/>
          <w:szCs w:val="21"/>
          <w:highlight w:val="none"/>
        </w:rPr>
      </w:pPr>
      <w:bookmarkStart w:id="126" w:name="_Toc35424892"/>
      <w:bookmarkStart w:id="127" w:name="_Toc246996923"/>
      <w:bookmarkStart w:id="128" w:name="_Toc152042311"/>
      <w:bookmarkStart w:id="129" w:name="_Toc296602425"/>
      <w:bookmarkStart w:id="130" w:name="_Toc246996180"/>
      <w:bookmarkStart w:id="131" w:name="_Toc25467"/>
      <w:bookmarkStart w:id="132" w:name="_Toc35425058"/>
      <w:bookmarkStart w:id="133" w:name="_Toc506107274"/>
      <w:bookmarkStart w:id="134" w:name="_Toc179632552"/>
      <w:bookmarkStart w:id="135" w:name="_Toc35947175"/>
      <w:bookmarkStart w:id="136" w:name="_Toc14292"/>
      <w:bookmarkStart w:id="137" w:name="_Toc15058851"/>
      <w:bookmarkStart w:id="138" w:name="_Toc247085694"/>
      <w:bookmarkStart w:id="139" w:name="_Toc152045535"/>
      <w:bookmarkStart w:id="140" w:name="_Toc144974503"/>
      <w:bookmarkStart w:id="141" w:name="_Toc324404820"/>
      <w:r>
        <w:rPr>
          <w:rFonts w:hint="eastAsia" w:ascii="宋体" w:hAnsi="宋体" w:cs="宋体"/>
          <w:b/>
          <w:bCs/>
          <w:color w:val="auto"/>
          <w:szCs w:val="21"/>
          <w:highlight w:val="none"/>
        </w:rPr>
        <w:t>1.5 费用承担</w:t>
      </w:r>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p>
    <w:p w14:paraId="6E4688B4">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投标人准备和参加投标活动发生的费用自理。</w:t>
      </w:r>
    </w:p>
    <w:p w14:paraId="22F765F1">
      <w:pPr>
        <w:spacing w:line="440" w:lineRule="exact"/>
        <w:ind w:firstLine="422" w:firstLineChars="200"/>
        <w:outlineLvl w:val="2"/>
        <w:rPr>
          <w:rFonts w:ascii="宋体" w:hAnsi="宋体" w:cs="宋体"/>
          <w:b/>
          <w:bCs/>
          <w:color w:val="auto"/>
          <w:szCs w:val="21"/>
          <w:highlight w:val="none"/>
        </w:rPr>
      </w:pPr>
      <w:bookmarkStart w:id="142" w:name="_Toc35947176"/>
      <w:bookmarkStart w:id="143" w:name="_Toc2706"/>
      <w:bookmarkStart w:id="144" w:name="_Toc296602426"/>
      <w:bookmarkStart w:id="145" w:name="_Toc246996181"/>
      <w:bookmarkStart w:id="146" w:name="_Toc246996924"/>
      <w:bookmarkStart w:id="147" w:name="_Toc247085695"/>
      <w:bookmarkStart w:id="148" w:name="_Toc179632553"/>
      <w:bookmarkStart w:id="149" w:name="_Toc152045536"/>
      <w:bookmarkStart w:id="150" w:name="_Toc506107275"/>
      <w:bookmarkStart w:id="151" w:name="_Toc35424893"/>
      <w:bookmarkStart w:id="152" w:name="_Toc152042312"/>
      <w:bookmarkStart w:id="153" w:name="_Toc15058852"/>
      <w:bookmarkStart w:id="154" w:name="_Toc324404821"/>
      <w:bookmarkStart w:id="155" w:name="_Toc35425059"/>
      <w:bookmarkStart w:id="156" w:name="_Toc851"/>
      <w:bookmarkStart w:id="157" w:name="_Toc144974504"/>
      <w:r>
        <w:rPr>
          <w:rFonts w:hint="eastAsia" w:ascii="宋体" w:hAnsi="宋体" w:cs="宋体"/>
          <w:b/>
          <w:bCs/>
          <w:color w:val="auto"/>
          <w:szCs w:val="21"/>
          <w:highlight w:val="none"/>
        </w:rPr>
        <w:t>1.6 保密</w:t>
      </w:r>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p>
    <w:p w14:paraId="080E8E78">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参与招标投标活动的各方应对招标文件和投标文件中的商业和技术等秘密保密，违者应对由此造成的后果承担法律责任。 </w:t>
      </w:r>
    </w:p>
    <w:p w14:paraId="317C42BF">
      <w:pPr>
        <w:spacing w:line="440" w:lineRule="exact"/>
        <w:ind w:firstLine="422" w:firstLineChars="200"/>
        <w:outlineLvl w:val="2"/>
        <w:rPr>
          <w:rFonts w:ascii="宋体" w:hAnsi="宋体" w:cs="宋体"/>
          <w:b/>
          <w:bCs/>
          <w:color w:val="auto"/>
          <w:szCs w:val="21"/>
          <w:highlight w:val="none"/>
        </w:rPr>
      </w:pPr>
      <w:bookmarkStart w:id="158" w:name="_Toc144974505"/>
      <w:bookmarkStart w:id="159" w:name="_Toc35425060"/>
      <w:bookmarkStart w:id="160" w:name="_Toc35947177"/>
      <w:bookmarkStart w:id="161" w:name="_Toc506107276"/>
      <w:bookmarkStart w:id="162" w:name="_Toc246996925"/>
      <w:bookmarkStart w:id="163" w:name="_Toc152045537"/>
      <w:bookmarkStart w:id="164" w:name="_Toc20183"/>
      <w:bookmarkStart w:id="165" w:name="_Toc324404822"/>
      <w:bookmarkStart w:id="166" w:name="_Toc247085696"/>
      <w:bookmarkStart w:id="167" w:name="_Toc35424894"/>
      <w:bookmarkStart w:id="168" w:name="_Toc12582"/>
      <w:bookmarkStart w:id="169" w:name="_Toc179632554"/>
      <w:bookmarkStart w:id="170" w:name="_Toc246996182"/>
      <w:bookmarkStart w:id="171" w:name="_Toc15058853"/>
      <w:bookmarkStart w:id="172" w:name="_Toc152042313"/>
      <w:bookmarkStart w:id="173" w:name="_Toc296602427"/>
      <w:r>
        <w:rPr>
          <w:rFonts w:hint="eastAsia" w:ascii="宋体" w:hAnsi="宋体" w:cs="宋体"/>
          <w:b/>
          <w:bCs/>
          <w:color w:val="auto"/>
          <w:szCs w:val="21"/>
          <w:highlight w:val="none"/>
        </w:rPr>
        <w:t>1.7 语言</w:t>
      </w:r>
      <w:bookmarkEnd w:id="158"/>
      <w:r>
        <w:rPr>
          <w:rFonts w:hint="eastAsia" w:ascii="宋体" w:hAnsi="宋体" w:cs="宋体"/>
          <w:b/>
          <w:bCs/>
          <w:color w:val="auto"/>
          <w:szCs w:val="21"/>
          <w:highlight w:val="none"/>
        </w:rPr>
        <w:t>文字</w:t>
      </w:r>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p>
    <w:p w14:paraId="07197939">
      <w:pPr>
        <w:spacing w:line="440" w:lineRule="exact"/>
        <w:ind w:firstLine="420" w:firstLineChars="200"/>
        <w:rPr>
          <w:rFonts w:ascii="宋体" w:hAnsi="宋体" w:cs="宋体"/>
          <w:color w:val="auto"/>
          <w:szCs w:val="21"/>
          <w:highlight w:val="none"/>
        </w:rPr>
      </w:pPr>
      <w:bookmarkStart w:id="174" w:name="_Toc247085697"/>
      <w:bookmarkStart w:id="175" w:name="_Toc246996183"/>
      <w:bookmarkStart w:id="176" w:name="_Toc246996926"/>
      <w:bookmarkStart w:id="177" w:name="_Toc144974506"/>
      <w:bookmarkStart w:id="178" w:name="_Toc152042314"/>
      <w:bookmarkStart w:id="179" w:name="_Toc152045538"/>
      <w:bookmarkStart w:id="180" w:name="_Toc179632555"/>
      <w:r>
        <w:rPr>
          <w:rFonts w:hint="eastAsia" w:ascii="宋体" w:hAnsi="宋体" w:cs="宋体"/>
          <w:color w:val="auto"/>
          <w:szCs w:val="21"/>
          <w:highlight w:val="none"/>
        </w:rPr>
        <w:t>招标投标文件使用的语言文字为中文。专用术语使用外文的，应附有中文注释。</w:t>
      </w:r>
    </w:p>
    <w:p w14:paraId="774C3F65">
      <w:pPr>
        <w:spacing w:line="440" w:lineRule="exact"/>
        <w:ind w:firstLine="422" w:firstLineChars="200"/>
        <w:outlineLvl w:val="2"/>
        <w:rPr>
          <w:rFonts w:ascii="宋体" w:hAnsi="宋体" w:cs="宋体"/>
          <w:b/>
          <w:bCs/>
          <w:color w:val="auto"/>
          <w:szCs w:val="21"/>
          <w:highlight w:val="none"/>
        </w:rPr>
      </w:pPr>
      <w:bookmarkStart w:id="181" w:name="_Toc35425061"/>
      <w:bookmarkStart w:id="182" w:name="_Toc35947178"/>
      <w:bookmarkStart w:id="183" w:name="_Toc35424895"/>
      <w:bookmarkStart w:id="184" w:name="_Toc9140"/>
      <w:bookmarkStart w:id="185" w:name="_Toc324404823"/>
      <w:bookmarkStart w:id="186" w:name="_Toc15058854"/>
      <w:bookmarkStart w:id="187" w:name="_Toc4238"/>
      <w:bookmarkStart w:id="188" w:name="_Toc506107277"/>
      <w:bookmarkStart w:id="189" w:name="_Toc296602428"/>
      <w:r>
        <w:rPr>
          <w:rFonts w:hint="eastAsia" w:ascii="宋体" w:hAnsi="宋体" w:cs="宋体"/>
          <w:b/>
          <w:bCs/>
          <w:color w:val="auto"/>
          <w:szCs w:val="21"/>
          <w:highlight w:val="none"/>
        </w:rPr>
        <w:t>1.8 计量单位</w:t>
      </w:r>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p>
    <w:p w14:paraId="4328EEAB">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所有计量均采用中华人民共和国法定计量单位。</w:t>
      </w:r>
    </w:p>
    <w:p w14:paraId="1458DC08">
      <w:pPr>
        <w:spacing w:line="440" w:lineRule="exact"/>
        <w:ind w:firstLine="422" w:firstLineChars="200"/>
        <w:outlineLvl w:val="2"/>
        <w:rPr>
          <w:rFonts w:ascii="宋体" w:hAnsi="宋体" w:cs="宋体"/>
          <w:b/>
          <w:bCs/>
          <w:color w:val="auto"/>
          <w:szCs w:val="21"/>
          <w:highlight w:val="none"/>
        </w:rPr>
      </w:pPr>
      <w:bookmarkStart w:id="190" w:name="_Toc35425062"/>
      <w:bookmarkStart w:id="191" w:name="_Toc296602429"/>
      <w:bookmarkStart w:id="192" w:name="_Toc152042315"/>
      <w:bookmarkStart w:id="193" w:name="_Toc247592876"/>
      <w:bookmarkStart w:id="194" w:name="_Toc324404824"/>
      <w:bookmarkStart w:id="195" w:name="_Toc506107278"/>
      <w:bookmarkStart w:id="196" w:name="_Toc144974507"/>
      <w:bookmarkStart w:id="197" w:name="_Toc15058855"/>
      <w:bookmarkStart w:id="198" w:name="_Toc17632"/>
      <w:bookmarkStart w:id="199" w:name="_Toc247527563"/>
      <w:bookmarkStart w:id="200" w:name="_Toc152045539"/>
      <w:bookmarkStart w:id="201" w:name="_Toc31371"/>
      <w:bookmarkStart w:id="202" w:name="_Toc35947179"/>
      <w:bookmarkStart w:id="203" w:name="_Toc247513962"/>
      <w:bookmarkStart w:id="204" w:name="_Toc35424896"/>
      <w:r>
        <w:rPr>
          <w:rFonts w:hint="eastAsia" w:ascii="宋体" w:hAnsi="宋体" w:cs="宋体"/>
          <w:b/>
          <w:bCs/>
          <w:color w:val="auto"/>
          <w:szCs w:val="21"/>
          <w:highlight w:val="none"/>
        </w:rPr>
        <w:t>1.9 踏勘现场</w:t>
      </w:r>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p>
    <w:p w14:paraId="2FFDE471">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1.9.1 投标人须知前附表规定组织踏勘现场的，招标人按投标人须知前附表规定的时间、地点组织投标人踏勘项目现场。 </w:t>
      </w:r>
    </w:p>
    <w:p w14:paraId="3A318C1B">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1.9.2 投标人踏勘现场发生的费用自理。</w:t>
      </w:r>
    </w:p>
    <w:p w14:paraId="19D8C579">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1.9.3 除招标人的原因外，投标人自行负责在踏勘现场中所发生的人员伤亡和财产损失。</w:t>
      </w:r>
    </w:p>
    <w:p w14:paraId="2C1C6862">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1.9.4 招标人在踏勘现场中介绍的工程场地和相关的周边环境情况，供投标人在编制投标文件时参考，招标人不对投标人据此作出的判断和决策负责。</w:t>
      </w:r>
    </w:p>
    <w:p w14:paraId="58DD3EA2">
      <w:pPr>
        <w:spacing w:line="440" w:lineRule="exact"/>
        <w:ind w:firstLine="422" w:firstLineChars="200"/>
        <w:outlineLvl w:val="2"/>
        <w:rPr>
          <w:rFonts w:ascii="宋体" w:hAnsi="宋体" w:cs="宋体"/>
          <w:b/>
          <w:bCs/>
          <w:color w:val="auto"/>
          <w:szCs w:val="21"/>
          <w:highlight w:val="none"/>
        </w:rPr>
      </w:pPr>
      <w:bookmarkStart w:id="205" w:name="_Toc15058856"/>
      <w:bookmarkStart w:id="206" w:name="_Toc152042316"/>
      <w:bookmarkStart w:id="207" w:name="_Toc296602430"/>
      <w:bookmarkStart w:id="208" w:name="_Toc35424897"/>
      <w:bookmarkStart w:id="209" w:name="_Toc35425063"/>
      <w:bookmarkStart w:id="210" w:name="_Toc324404825"/>
      <w:bookmarkStart w:id="211" w:name="_Toc35947180"/>
      <w:bookmarkStart w:id="212" w:name="_Toc247527564"/>
      <w:bookmarkStart w:id="213" w:name="_Toc144974508"/>
      <w:bookmarkStart w:id="214" w:name="_Toc3197"/>
      <w:bookmarkStart w:id="215" w:name="_Toc152045540"/>
      <w:bookmarkStart w:id="216" w:name="_Toc247592877"/>
      <w:bookmarkStart w:id="217" w:name="_Toc17067"/>
      <w:bookmarkStart w:id="218" w:name="_Toc247513963"/>
      <w:bookmarkStart w:id="219" w:name="_Toc506107279"/>
      <w:r>
        <w:rPr>
          <w:rFonts w:hint="eastAsia" w:ascii="宋体" w:hAnsi="宋体" w:cs="宋体"/>
          <w:b/>
          <w:bCs/>
          <w:color w:val="auto"/>
          <w:szCs w:val="21"/>
          <w:highlight w:val="none"/>
        </w:rPr>
        <w:t>1.10 投标预备会</w:t>
      </w:r>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p>
    <w:p w14:paraId="3AB8AE2F">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1.10.1本项目不组织投标预备会。</w:t>
      </w:r>
    </w:p>
    <w:p w14:paraId="59FF190A">
      <w:pPr>
        <w:spacing w:line="440" w:lineRule="exact"/>
        <w:ind w:firstLine="422" w:firstLineChars="200"/>
        <w:outlineLvl w:val="2"/>
        <w:rPr>
          <w:rFonts w:ascii="宋体" w:hAnsi="宋体" w:cs="宋体"/>
          <w:b/>
          <w:bCs/>
          <w:color w:val="auto"/>
          <w:szCs w:val="21"/>
          <w:highlight w:val="none"/>
        </w:rPr>
      </w:pPr>
      <w:bookmarkStart w:id="220" w:name="_Toc296602431"/>
      <w:bookmarkStart w:id="221" w:name="_Toc506107280"/>
      <w:bookmarkStart w:id="222" w:name="_Toc324404826"/>
      <w:bookmarkStart w:id="223" w:name="_Toc15058857"/>
      <w:bookmarkStart w:id="224" w:name="_Toc95223347"/>
      <w:bookmarkStart w:id="225" w:name="_Toc13146"/>
      <w:bookmarkStart w:id="226" w:name="_Toc60061444"/>
      <w:bookmarkStart w:id="227" w:name="_Toc83301699"/>
      <w:r>
        <w:rPr>
          <w:rFonts w:hint="eastAsia" w:ascii="宋体" w:hAnsi="宋体" w:cs="宋体"/>
          <w:b/>
          <w:bCs/>
          <w:color w:val="auto"/>
          <w:szCs w:val="21"/>
          <w:highlight w:val="none"/>
        </w:rPr>
        <w:t xml:space="preserve">1.11 </w:t>
      </w:r>
      <w:bookmarkEnd w:id="220"/>
      <w:bookmarkEnd w:id="221"/>
      <w:bookmarkEnd w:id="222"/>
      <w:bookmarkEnd w:id="223"/>
      <w:r>
        <w:rPr>
          <w:rFonts w:hint="eastAsia" w:ascii="宋体" w:hAnsi="宋体" w:cs="宋体"/>
          <w:b/>
          <w:bCs/>
          <w:color w:val="auto"/>
          <w:szCs w:val="21"/>
          <w:highlight w:val="none"/>
        </w:rPr>
        <w:t>分包</w:t>
      </w:r>
      <w:bookmarkEnd w:id="224"/>
      <w:bookmarkEnd w:id="225"/>
      <w:bookmarkEnd w:id="226"/>
      <w:bookmarkEnd w:id="227"/>
    </w:p>
    <w:p w14:paraId="2A7077EA">
      <w:pPr>
        <w:pStyle w:val="43"/>
        <w:adjustRightInd w:val="0"/>
        <w:snapToGrid w:val="0"/>
        <w:spacing w:after="0" w:line="560" w:lineRule="exact"/>
        <w:ind w:left="0" w:leftChars="0"/>
        <w:rPr>
          <w:rFonts w:ascii="宋体" w:hAnsi="宋体" w:cs="宋体"/>
          <w:color w:val="auto"/>
          <w:highlight w:val="none"/>
        </w:rPr>
      </w:pPr>
      <w:r>
        <w:rPr>
          <w:rFonts w:hint="eastAsia" w:ascii="宋体" w:hAnsi="宋体" w:cs="宋体"/>
          <w:bCs/>
          <w:snapToGrid w:val="0"/>
          <w:color w:val="auto"/>
          <w:kern w:val="0"/>
          <w:szCs w:val="21"/>
          <w:highlight w:val="none"/>
        </w:rPr>
        <w:t>1.11.1 本项目不允许分包</w:t>
      </w:r>
      <w:r>
        <w:rPr>
          <w:rFonts w:hint="eastAsia" w:ascii="宋体" w:hAnsi="宋体" w:cs="宋体"/>
          <w:color w:val="auto"/>
          <w:szCs w:val="21"/>
          <w:highlight w:val="none"/>
        </w:rPr>
        <w:t>。</w:t>
      </w:r>
    </w:p>
    <w:p w14:paraId="37B51956">
      <w:pPr>
        <w:spacing w:line="440" w:lineRule="exact"/>
        <w:ind w:firstLine="422" w:firstLineChars="200"/>
        <w:outlineLvl w:val="2"/>
        <w:rPr>
          <w:rFonts w:ascii="宋体" w:hAnsi="宋体" w:cs="宋体"/>
          <w:b/>
          <w:bCs/>
          <w:color w:val="auto"/>
          <w:szCs w:val="21"/>
          <w:highlight w:val="none"/>
        </w:rPr>
      </w:pPr>
      <w:bookmarkStart w:id="228" w:name="_Toc83301700"/>
      <w:bookmarkStart w:id="229" w:name="_Toc95223348"/>
      <w:bookmarkStart w:id="230" w:name="_Toc854"/>
      <w:bookmarkStart w:id="231" w:name="_Toc60061445"/>
      <w:r>
        <w:rPr>
          <w:rFonts w:hint="eastAsia" w:ascii="宋体" w:hAnsi="宋体" w:cs="宋体"/>
          <w:b/>
          <w:bCs/>
          <w:color w:val="auto"/>
          <w:szCs w:val="21"/>
          <w:highlight w:val="none"/>
        </w:rPr>
        <w:t>1.12 偏离</w:t>
      </w:r>
      <w:bookmarkEnd w:id="228"/>
      <w:bookmarkEnd w:id="229"/>
      <w:bookmarkEnd w:id="230"/>
      <w:bookmarkEnd w:id="231"/>
    </w:p>
    <w:p w14:paraId="3999BD1A">
      <w:pPr>
        <w:adjustRightInd w:val="0"/>
        <w:snapToGrid w:val="0"/>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1.12.1投标文件偏离招标文件某些要求，视为投标文件存在偏差。偏差包括重大偏差和细微偏差。</w:t>
      </w:r>
    </w:p>
    <w:p w14:paraId="59F86583">
      <w:pPr>
        <w:adjustRightInd w:val="0"/>
        <w:snapToGrid w:val="0"/>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1.12.2投标文件应对招标文件的实质性要求和条件作出满足性或更有利于招标人的响应，否则，视为投标文件存在重大偏差，投标人的投标将被否决。</w:t>
      </w:r>
    </w:p>
    <w:p w14:paraId="295B2EFA">
      <w:pPr>
        <w:adjustRightInd w:val="0"/>
        <w:snapToGrid w:val="0"/>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投标文件存在第三章“评标办法”中所列任一无效投标情形的，均属于存在重大偏差。</w:t>
      </w:r>
    </w:p>
    <w:p w14:paraId="2A26053D">
      <w:pPr>
        <w:adjustRightInd w:val="0"/>
        <w:snapToGrid w:val="0"/>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1.12.3投标文件中的下列偏差为细微偏差：</w:t>
      </w:r>
    </w:p>
    <w:p w14:paraId="0FA3B587">
      <w:pPr>
        <w:tabs>
          <w:tab w:val="left" w:pos="1014"/>
        </w:tabs>
        <w:adjustRightInd w:val="0"/>
        <w:snapToGrid w:val="0"/>
        <w:spacing w:line="440" w:lineRule="exact"/>
        <w:ind w:firstLine="420" w:firstLineChars="200"/>
        <w:rPr>
          <w:rFonts w:ascii="宋体" w:hAnsi="宋体" w:cs="宋体"/>
          <w:bCs/>
          <w:snapToGrid w:val="0"/>
          <w:color w:val="auto"/>
          <w:kern w:val="0"/>
          <w:szCs w:val="21"/>
          <w:highlight w:val="none"/>
        </w:rPr>
      </w:pPr>
      <w:r>
        <w:rPr>
          <w:rFonts w:hint="eastAsia" w:ascii="宋体" w:hAnsi="宋体" w:cs="宋体"/>
          <w:bCs/>
          <w:snapToGrid w:val="0"/>
          <w:color w:val="auto"/>
          <w:kern w:val="0"/>
          <w:szCs w:val="21"/>
          <w:highlight w:val="none"/>
        </w:rPr>
        <w:t>（1）在按照第三章“评标办法”的规定对投标价进行算术性错误修正及其他错误修正后，最终投标报价未超过最高投标限价（如有）或未被否决投标的情况下，出现第三章“评标办法”规定的算术性错误和投标报价的其他错误；</w:t>
      </w:r>
    </w:p>
    <w:p w14:paraId="1677B0A5">
      <w:pPr>
        <w:tabs>
          <w:tab w:val="left" w:pos="1014"/>
        </w:tabs>
        <w:adjustRightInd w:val="0"/>
        <w:snapToGrid w:val="0"/>
        <w:spacing w:line="440" w:lineRule="exact"/>
        <w:ind w:firstLine="420" w:firstLineChars="200"/>
        <w:rPr>
          <w:rFonts w:ascii="宋体" w:hAnsi="宋体" w:cs="宋体"/>
          <w:bCs/>
          <w:snapToGrid w:val="0"/>
          <w:color w:val="auto"/>
          <w:kern w:val="0"/>
          <w:szCs w:val="21"/>
          <w:highlight w:val="none"/>
        </w:rPr>
      </w:pPr>
      <w:r>
        <w:rPr>
          <w:rFonts w:hint="eastAsia" w:ascii="宋体" w:hAnsi="宋体" w:cs="宋体"/>
          <w:bCs/>
          <w:snapToGrid w:val="0"/>
          <w:color w:val="auto"/>
          <w:kern w:val="0"/>
          <w:szCs w:val="21"/>
          <w:highlight w:val="none"/>
        </w:rPr>
        <w:t>（2）投标文件个别文字有遗漏错误等不影响投标文件实质性内容的偏差。</w:t>
      </w:r>
    </w:p>
    <w:p w14:paraId="08C0710D">
      <w:pPr>
        <w:adjustRightInd w:val="0"/>
        <w:snapToGrid w:val="0"/>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1.12.4评标委员会对投标文件中的细微偏差按如下规定处理：</w:t>
      </w:r>
    </w:p>
    <w:p w14:paraId="59BDC1A9">
      <w:pPr>
        <w:adjustRightInd w:val="0"/>
        <w:snapToGrid w:val="0"/>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对于本章第 1.12.3 项（1）目所述的细微偏差，按照第三章“评标办法”的规定予以修正并要求投标人进行澄清；</w:t>
      </w:r>
    </w:p>
    <w:p w14:paraId="5FBB443D">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对于本章第 1.12.3 项（2）目所述的细微偏差，可要求投标人对细微偏差进行澄清。</w:t>
      </w:r>
    </w:p>
    <w:p w14:paraId="2E35BBD1">
      <w:pPr>
        <w:pStyle w:val="3"/>
        <w:spacing w:line="440" w:lineRule="exact"/>
        <w:rPr>
          <w:rFonts w:ascii="宋体" w:hAnsi="宋体" w:cs="宋体"/>
          <w:color w:val="auto"/>
          <w:highlight w:val="none"/>
        </w:rPr>
      </w:pPr>
      <w:bookmarkStart w:id="232" w:name="_Toc35425065"/>
      <w:bookmarkStart w:id="233" w:name="_Toc144974510"/>
      <w:bookmarkStart w:id="234" w:name="_Toc324404827"/>
      <w:bookmarkStart w:id="235" w:name="_Toc152045542"/>
      <w:bookmarkStart w:id="236" w:name="_Toc15058858"/>
      <w:bookmarkStart w:id="237" w:name="_Toc179632560"/>
      <w:bookmarkStart w:id="238" w:name="_Toc35947182"/>
      <w:bookmarkStart w:id="239" w:name="_Toc246996930"/>
      <w:bookmarkStart w:id="240" w:name="_Toc247085701"/>
      <w:bookmarkStart w:id="241" w:name="_Toc246996187"/>
      <w:bookmarkStart w:id="242" w:name="_Toc506107281"/>
      <w:bookmarkStart w:id="243" w:name="_Toc152042318"/>
      <w:bookmarkStart w:id="244" w:name="_Toc35424899"/>
      <w:bookmarkStart w:id="245" w:name="_Toc26510"/>
      <w:bookmarkStart w:id="246" w:name="_Toc19604"/>
      <w:r>
        <w:rPr>
          <w:rFonts w:hint="eastAsia" w:ascii="宋体" w:hAnsi="宋体" w:cs="宋体"/>
          <w:color w:val="auto"/>
          <w:highlight w:val="none"/>
        </w:rPr>
        <w:t xml:space="preserve">2. </w:t>
      </w:r>
      <w:bookmarkEnd w:id="232"/>
      <w:bookmarkEnd w:id="233"/>
      <w:bookmarkEnd w:id="234"/>
      <w:bookmarkEnd w:id="235"/>
      <w:bookmarkEnd w:id="236"/>
      <w:bookmarkEnd w:id="237"/>
      <w:bookmarkEnd w:id="238"/>
      <w:bookmarkEnd w:id="239"/>
      <w:bookmarkEnd w:id="240"/>
      <w:bookmarkEnd w:id="241"/>
      <w:bookmarkEnd w:id="242"/>
      <w:bookmarkEnd w:id="243"/>
      <w:bookmarkEnd w:id="244"/>
      <w:r>
        <w:rPr>
          <w:rFonts w:hint="eastAsia" w:ascii="宋体" w:hAnsi="宋体" w:cs="宋体"/>
          <w:color w:val="auto"/>
          <w:highlight w:val="none"/>
        </w:rPr>
        <w:t>招标文件</w:t>
      </w:r>
      <w:bookmarkEnd w:id="245"/>
      <w:bookmarkEnd w:id="246"/>
    </w:p>
    <w:p w14:paraId="5E730ABB">
      <w:pPr>
        <w:spacing w:line="440" w:lineRule="exact"/>
        <w:ind w:firstLine="422" w:firstLineChars="200"/>
        <w:outlineLvl w:val="2"/>
        <w:rPr>
          <w:rFonts w:ascii="宋体" w:hAnsi="宋体" w:cs="宋体"/>
          <w:b/>
          <w:bCs/>
          <w:color w:val="auto"/>
          <w:szCs w:val="21"/>
          <w:highlight w:val="none"/>
        </w:rPr>
      </w:pPr>
      <w:bookmarkStart w:id="247" w:name="_Toc152042319"/>
      <w:bookmarkStart w:id="248" w:name="_Toc296602433"/>
      <w:bookmarkStart w:id="249" w:name="_Toc144974511"/>
      <w:bookmarkStart w:id="250" w:name="_Toc15058859"/>
      <w:bookmarkStart w:id="251" w:name="_Toc247085702"/>
      <w:bookmarkStart w:id="252" w:name="_Toc28791"/>
      <w:bookmarkStart w:id="253" w:name="_Toc246996931"/>
      <w:bookmarkStart w:id="254" w:name="_Toc179632561"/>
      <w:bookmarkStart w:id="255" w:name="_Toc506107282"/>
      <w:bookmarkStart w:id="256" w:name="_Toc35425066"/>
      <w:bookmarkStart w:id="257" w:name="_Toc152045543"/>
      <w:bookmarkStart w:id="258" w:name="_Toc324404828"/>
      <w:bookmarkStart w:id="259" w:name="_Toc23619"/>
      <w:bookmarkStart w:id="260" w:name="_Toc35424900"/>
      <w:bookmarkStart w:id="261" w:name="_Toc35947183"/>
      <w:bookmarkStart w:id="262" w:name="_Toc246996188"/>
      <w:r>
        <w:rPr>
          <w:rFonts w:hint="eastAsia" w:ascii="宋体" w:hAnsi="宋体" w:cs="宋体"/>
          <w:b/>
          <w:bCs/>
          <w:color w:val="auto"/>
          <w:szCs w:val="21"/>
          <w:highlight w:val="none"/>
        </w:rPr>
        <w:t>2.1 招标文件的组成</w:t>
      </w:r>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p>
    <w:p w14:paraId="7E6F7E8C">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2.1.1 本招标文件包括：</w:t>
      </w:r>
    </w:p>
    <w:p w14:paraId="1656C02A">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（1）招标公告</w:t>
      </w:r>
    </w:p>
    <w:p w14:paraId="1916D61D">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（2）投标人须知；</w:t>
      </w:r>
    </w:p>
    <w:p w14:paraId="1C20DB9F">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（3）资格审查办法</w:t>
      </w:r>
    </w:p>
    <w:p w14:paraId="3396285F">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（4）评标办法；</w:t>
      </w:r>
    </w:p>
    <w:p w14:paraId="2297948A">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（5）合同条款及格式；</w:t>
      </w:r>
    </w:p>
    <w:p w14:paraId="2C2A254F">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（6）投标文件格式；</w:t>
      </w:r>
    </w:p>
    <w:p w14:paraId="67E623DC">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（7）投标人须知前附表规定的其他材料。</w:t>
      </w:r>
    </w:p>
    <w:p w14:paraId="02FA98CD">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2.1.2 根据本章第1.10款、第2.2款和第2.3款对招标文件所作的澄清、修改，构成招标文件的组成部分。</w:t>
      </w:r>
    </w:p>
    <w:p w14:paraId="62C496D6">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2.1.3当招标文件、招标文件的澄清或修改等在同一内容的表述上不一致时，以最后发出的文件为准。</w:t>
      </w:r>
    </w:p>
    <w:p w14:paraId="2ADB6996">
      <w:pPr>
        <w:spacing w:line="440" w:lineRule="exact"/>
        <w:ind w:firstLine="422" w:firstLineChars="200"/>
        <w:outlineLvl w:val="2"/>
        <w:rPr>
          <w:rFonts w:ascii="宋体" w:hAnsi="宋体" w:cs="宋体"/>
          <w:b/>
          <w:bCs/>
          <w:color w:val="auto"/>
          <w:szCs w:val="21"/>
          <w:highlight w:val="none"/>
        </w:rPr>
      </w:pPr>
      <w:bookmarkStart w:id="263" w:name="_Toc324404829"/>
      <w:bookmarkStart w:id="264" w:name="_Toc246996932"/>
      <w:bookmarkStart w:id="265" w:name="_Toc179632562"/>
      <w:bookmarkStart w:id="266" w:name="_Toc35424901"/>
      <w:bookmarkStart w:id="267" w:name="_Toc296602434"/>
      <w:bookmarkStart w:id="268" w:name="_Toc144974512"/>
      <w:bookmarkStart w:id="269" w:name="_Toc246996189"/>
      <w:bookmarkStart w:id="270" w:name="_Toc247085703"/>
      <w:bookmarkStart w:id="271" w:name="_Toc35425067"/>
      <w:bookmarkStart w:id="272" w:name="_Toc152042320"/>
      <w:bookmarkStart w:id="273" w:name="_Toc15058860"/>
      <w:bookmarkStart w:id="274" w:name="_Toc506107283"/>
      <w:bookmarkStart w:id="275" w:name="_Toc7670"/>
      <w:bookmarkStart w:id="276" w:name="_Toc152045544"/>
      <w:bookmarkStart w:id="277" w:name="_Toc35947184"/>
      <w:bookmarkStart w:id="278" w:name="_Toc17513"/>
      <w:r>
        <w:rPr>
          <w:rFonts w:hint="eastAsia" w:ascii="宋体" w:hAnsi="宋体" w:cs="宋体"/>
          <w:b/>
          <w:bCs/>
          <w:color w:val="auto"/>
          <w:szCs w:val="21"/>
          <w:highlight w:val="none"/>
        </w:rPr>
        <w:t xml:space="preserve">2.2 </w:t>
      </w:r>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r>
        <w:rPr>
          <w:rFonts w:hint="eastAsia" w:ascii="宋体" w:hAnsi="宋体" w:cs="宋体"/>
          <w:b/>
          <w:bCs/>
          <w:color w:val="auto"/>
          <w:szCs w:val="21"/>
          <w:highlight w:val="none"/>
        </w:rPr>
        <w:t>招标文件的澄清、修改、补充、解释</w:t>
      </w:r>
      <w:bookmarkEnd w:id="278"/>
      <w:r>
        <w:rPr>
          <w:rFonts w:hint="eastAsia" w:ascii="宋体" w:hAnsi="宋体" w:cs="宋体"/>
          <w:b/>
          <w:bCs/>
          <w:color w:val="auto"/>
          <w:szCs w:val="21"/>
          <w:highlight w:val="none"/>
        </w:rPr>
        <w:t xml:space="preserve"> </w:t>
      </w:r>
    </w:p>
    <w:p w14:paraId="3E6E61CE">
      <w:pPr>
        <w:spacing w:line="440" w:lineRule="exact"/>
        <w:ind w:firstLine="420" w:firstLineChars="200"/>
        <w:rPr>
          <w:rFonts w:ascii="宋体" w:hAnsi="宋体" w:cs="宋体"/>
          <w:color w:val="auto"/>
          <w:szCs w:val="21"/>
          <w:highlight w:val="none"/>
        </w:rPr>
      </w:pPr>
      <w:r>
        <w:rPr>
          <w:rFonts w:hint="eastAsia" w:ascii="宋体" w:hAnsi="宋体" w:cs="宋体"/>
          <w:color w:val="auto"/>
          <w:kern w:val="0"/>
          <w:szCs w:val="21"/>
          <w:highlight w:val="none"/>
          <w:lang w:val="zh-CN"/>
        </w:rPr>
        <w:t>招标文件发出后</w:t>
      </w:r>
      <w:r>
        <w:rPr>
          <w:rFonts w:hint="eastAsia" w:ascii="宋体" w:hAnsi="宋体" w:cs="宋体"/>
          <w:color w:val="auto"/>
          <w:kern w:val="0"/>
          <w:szCs w:val="21"/>
          <w:highlight w:val="none"/>
        </w:rPr>
        <w:t>，</w:t>
      </w:r>
      <w:r>
        <w:rPr>
          <w:rFonts w:hint="eastAsia" w:ascii="宋体" w:hAnsi="宋体" w:cs="宋体"/>
          <w:color w:val="auto"/>
          <w:kern w:val="0"/>
          <w:szCs w:val="21"/>
          <w:highlight w:val="none"/>
          <w:lang w:val="zh-CN"/>
        </w:rPr>
        <w:t>招标人可对招标文件进行必要的澄清、修改和补充</w:t>
      </w:r>
      <w:r>
        <w:rPr>
          <w:rFonts w:hint="eastAsia" w:ascii="宋体" w:hAnsi="宋体" w:cs="宋体"/>
          <w:color w:val="auto"/>
          <w:kern w:val="0"/>
          <w:szCs w:val="21"/>
          <w:highlight w:val="none"/>
        </w:rPr>
        <w:t>，并在</w:t>
      </w:r>
      <w:r>
        <w:rPr>
          <w:rFonts w:hint="eastAsia" w:ascii="宋体" w:hAnsi="宋体" w:cs="宋体"/>
          <w:color w:val="auto"/>
          <w:szCs w:val="21"/>
          <w:highlight w:val="none"/>
        </w:rPr>
        <w:t>滁州市扬子工业投资集团有限公司官网（https://czyzgtjt.com/)网站发布</w:t>
      </w:r>
      <w:r>
        <w:rPr>
          <w:rFonts w:hint="eastAsia" w:ascii="宋体" w:hAnsi="宋体" w:cs="宋体"/>
          <w:color w:val="auto"/>
          <w:kern w:val="0"/>
          <w:szCs w:val="21"/>
          <w:highlight w:val="none"/>
          <w:lang w:val="zh-CN"/>
        </w:rPr>
        <w:t>。招标文件的修改内容作为招标文件的组成部分，具有约束作用</w:t>
      </w:r>
      <w:r>
        <w:rPr>
          <w:rFonts w:hint="eastAsia" w:ascii="宋体" w:hAnsi="宋体" w:cs="宋体"/>
          <w:color w:val="auto"/>
          <w:szCs w:val="21"/>
          <w:highlight w:val="none"/>
        </w:rPr>
        <w:t>。</w:t>
      </w:r>
    </w:p>
    <w:p w14:paraId="2BAAEC29">
      <w:pPr>
        <w:spacing w:line="440" w:lineRule="exact"/>
        <w:ind w:firstLine="422" w:firstLineChars="200"/>
        <w:outlineLvl w:val="2"/>
        <w:rPr>
          <w:rFonts w:ascii="宋体" w:hAnsi="宋体" w:cs="宋体"/>
          <w:b/>
          <w:bCs/>
          <w:color w:val="auto"/>
          <w:szCs w:val="21"/>
          <w:highlight w:val="none"/>
        </w:rPr>
      </w:pPr>
      <w:bookmarkStart w:id="279" w:name="_Toc15058862"/>
      <w:bookmarkStart w:id="280" w:name="_Toc992"/>
      <w:bookmarkStart w:id="281" w:name="_Toc35947186"/>
      <w:bookmarkStart w:id="282" w:name="_Toc324404831"/>
      <w:bookmarkStart w:id="283" w:name="_Toc35425069"/>
      <w:bookmarkStart w:id="284" w:name="_Toc35424903"/>
      <w:bookmarkStart w:id="285" w:name="_Toc3702"/>
      <w:r>
        <w:rPr>
          <w:rFonts w:hint="eastAsia" w:ascii="宋体" w:hAnsi="宋体" w:cs="宋体"/>
          <w:b/>
          <w:bCs/>
          <w:color w:val="auto"/>
          <w:szCs w:val="21"/>
          <w:highlight w:val="none"/>
        </w:rPr>
        <w:t>2.</w:t>
      </w:r>
      <w:bookmarkEnd w:id="279"/>
      <w:bookmarkEnd w:id="280"/>
      <w:bookmarkEnd w:id="281"/>
      <w:bookmarkEnd w:id="282"/>
      <w:bookmarkEnd w:id="283"/>
      <w:bookmarkEnd w:id="284"/>
      <w:r>
        <w:rPr>
          <w:rFonts w:hint="eastAsia" w:ascii="宋体" w:hAnsi="宋体" w:cs="宋体"/>
          <w:b/>
          <w:bCs/>
          <w:color w:val="auto"/>
          <w:szCs w:val="21"/>
          <w:highlight w:val="none"/>
        </w:rPr>
        <w:t>3最高投标限价</w:t>
      </w:r>
      <w:bookmarkEnd w:id="285"/>
    </w:p>
    <w:p w14:paraId="5732AFF1">
      <w:pPr>
        <w:spacing w:line="440" w:lineRule="exact"/>
        <w:ind w:firstLine="525" w:firstLineChars="250"/>
        <w:rPr>
          <w:rFonts w:ascii="宋体" w:hAnsi="宋体" w:cs="宋体"/>
          <w:color w:val="auto"/>
          <w:szCs w:val="21"/>
          <w:highlight w:val="none"/>
        </w:rPr>
      </w:pPr>
      <w:r>
        <w:rPr>
          <w:rFonts w:hint="eastAsia" w:ascii="宋体" w:hAnsi="宋体" w:cs="宋体"/>
          <w:color w:val="auto"/>
          <w:szCs w:val="21"/>
          <w:highlight w:val="none"/>
        </w:rPr>
        <w:t>2.3.1最高投标限价的作用和说明</w:t>
      </w:r>
    </w:p>
    <w:p w14:paraId="4E94A297">
      <w:pPr>
        <w:spacing w:line="440" w:lineRule="exact"/>
        <w:ind w:firstLine="420" w:firstLineChars="200"/>
        <w:rPr>
          <w:rFonts w:ascii="宋体" w:hAnsi="宋体" w:cs="宋体"/>
          <w:color w:val="auto"/>
          <w:highlight w:val="none"/>
        </w:rPr>
      </w:pPr>
      <w:r>
        <w:rPr>
          <w:rFonts w:hint="eastAsia" w:ascii="宋体" w:hAnsi="宋体" w:cs="宋体"/>
          <w:color w:val="auto"/>
          <w:szCs w:val="21"/>
          <w:highlight w:val="none"/>
        </w:rPr>
        <w:t>（1）投标人</w:t>
      </w:r>
      <w:r>
        <w:rPr>
          <w:rFonts w:hint="eastAsia" w:ascii="宋体" w:hAnsi="宋体" w:cs="宋体"/>
          <w:color w:val="auto"/>
          <w:highlight w:val="none"/>
        </w:rPr>
        <w:t>的响应报价不得超过最高投标限价，最高投标限价的发布时间及方式在投标人须知前附表中载明。</w:t>
      </w:r>
    </w:p>
    <w:p w14:paraId="372E663B">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（2）投标人对最高投标限价有异议的，可在投标</w:t>
      </w:r>
      <w:r>
        <w:rPr>
          <w:rFonts w:hint="eastAsia" w:ascii="宋体" w:hAnsi="宋体" w:cs="宋体"/>
          <w:color w:val="auto"/>
          <w:highlight w:val="none"/>
        </w:rPr>
        <w:t>人须知前附表规定的时间内向招标单位提出异议，</w:t>
      </w:r>
      <w:r>
        <w:rPr>
          <w:rFonts w:hint="eastAsia" w:ascii="宋体" w:hAnsi="宋体" w:cs="宋体"/>
          <w:color w:val="auto"/>
          <w:szCs w:val="21"/>
          <w:highlight w:val="none"/>
        </w:rPr>
        <w:t>未在规定时间内提出异议的或投标人提出异议经招标单位复核后的最高投标限价，视为合理有效。</w:t>
      </w:r>
    </w:p>
    <w:p w14:paraId="0A14A414">
      <w:pPr>
        <w:pStyle w:val="3"/>
        <w:spacing w:line="440" w:lineRule="exact"/>
        <w:rPr>
          <w:rFonts w:ascii="宋体" w:hAnsi="宋体" w:cs="宋体"/>
          <w:color w:val="auto"/>
          <w:highlight w:val="none"/>
        </w:rPr>
      </w:pPr>
      <w:bookmarkStart w:id="286" w:name="_Toc4244"/>
      <w:bookmarkStart w:id="287" w:name="_Toc35425070"/>
      <w:bookmarkStart w:id="288" w:name="_Toc15058863"/>
      <w:bookmarkStart w:id="289" w:name="_Toc24360"/>
      <w:bookmarkStart w:id="290" w:name="_Toc506107285"/>
      <w:bookmarkStart w:id="291" w:name="_Toc35947187"/>
      <w:bookmarkStart w:id="292" w:name="_Toc35424904"/>
      <w:r>
        <w:rPr>
          <w:rFonts w:hint="eastAsia" w:ascii="宋体" w:hAnsi="宋体" w:cs="宋体"/>
          <w:color w:val="auto"/>
          <w:highlight w:val="none"/>
        </w:rPr>
        <w:t>3. 投标文件</w:t>
      </w:r>
      <w:bookmarkEnd w:id="286"/>
      <w:bookmarkEnd w:id="287"/>
      <w:bookmarkEnd w:id="288"/>
      <w:bookmarkEnd w:id="289"/>
      <w:bookmarkEnd w:id="290"/>
      <w:bookmarkEnd w:id="291"/>
      <w:bookmarkEnd w:id="292"/>
    </w:p>
    <w:p w14:paraId="54E7410C">
      <w:pPr>
        <w:spacing w:line="440" w:lineRule="exact"/>
        <w:ind w:firstLine="422" w:firstLineChars="200"/>
        <w:outlineLvl w:val="2"/>
        <w:rPr>
          <w:rFonts w:ascii="宋体" w:hAnsi="宋体" w:cs="宋体"/>
          <w:b/>
          <w:bCs/>
          <w:color w:val="auto"/>
          <w:szCs w:val="21"/>
          <w:highlight w:val="none"/>
        </w:rPr>
      </w:pPr>
      <w:bookmarkStart w:id="293" w:name="_Toc15058864"/>
      <w:bookmarkStart w:id="294" w:name="_Toc35947188"/>
      <w:bookmarkStart w:id="295" w:name="_Toc10744"/>
      <w:bookmarkStart w:id="296" w:name="_Toc35424905"/>
      <w:bookmarkStart w:id="297" w:name="_Toc5019"/>
      <w:bookmarkStart w:id="298" w:name="_Toc35425071"/>
      <w:bookmarkStart w:id="299" w:name="_Toc506107286"/>
      <w:r>
        <w:rPr>
          <w:rFonts w:hint="eastAsia" w:ascii="宋体" w:hAnsi="宋体" w:cs="宋体"/>
          <w:b/>
          <w:bCs/>
          <w:color w:val="auto"/>
          <w:szCs w:val="21"/>
          <w:highlight w:val="none"/>
        </w:rPr>
        <w:t>3.1 投标文件的组成</w:t>
      </w:r>
      <w:bookmarkEnd w:id="293"/>
      <w:bookmarkEnd w:id="294"/>
      <w:bookmarkEnd w:id="295"/>
      <w:bookmarkEnd w:id="296"/>
      <w:bookmarkEnd w:id="297"/>
      <w:bookmarkEnd w:id="298"/>
      <w:bookmarkEnd w:id="299"/>
    </w:p>
    <w:p w14:paraId="46B74286">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投标文件的具体组成部分及材料要求详见本招标文件第六章“投标文件格式”。</w:t>
      </w:r>
    </w:p>
    <w:p w14:paraId="7F7FEE5C">
      <w:pPr>
        <w:spacing w:line="440" w:lineRule="exact"/>
        <w:ind w:firstLine="422" w:firstLineChars="200"/>
        <w:outlineLvl w:val="2"/>
        <w:rPr>
          <w:rFonts w:ascii="宋体" w:hAnsi="宋体" w:cs="宋体"/>
          <w:b/>
          <w:bCs/>
          <w:color w:val="auto"/>
          <w:szCs w:val="21"/>
          <w:highlight w:val="none"/>
        </w:rPr>
      </w:pPr>
      <w:bookmarkStart w:id="300" w:name="_Toc247085707"/>
      <w:bookmarkStart w:id="301" w:name="_Toc12242"/>
      <w:bookmarkStart w:id="302" w:name="_Toc152042324"/>
      <w:bookmarkStart w:id="303" w:name="_Toc246996193"/>
      <w:bookmarkStart w:id="304" w:name="_Toc15058865"/>
      <w:bookmarkStart w:id="305" w:name="_Toc246996936"/>
      <w:bookmarkStart w:id="306" w:name="_Toc152045548"/>
      <w:bookmarkStart w:id="307" w:name="_Toc179632566"/>
      <w:bookmarkStart w:id="308" w:name="_Toc506107287"/>
      <w:bookmarkStart w:id="309" w:name="_Toc296602438"/>
      <w:bookmarkStart w:id="310" w:name="_Toc324404834"/>
      <w:bookmarkStart w:id="311" w:name="_Toc35424906"/>
      <w:bookmarkStart w:id="312" w:name="_Toc35947189"/>
      <w:bookmarkStart w:id="313" w:name="_Toc144974516"/>
      <w:bookmarkStart w:id="314" w:name="_Toc31424"/>
      <w:bookmarkStart w:id="315" w:name="_Toc35425072"/>
      <w:r>
        <w:rPr>
          <w:rFonts w:hint="eastAsia" w:ascii="宋体" w:hAnsi="宋体" w:cs="宋体"/>
          <w:b/>
          <w:bCs/>
          <w:color w:val="auto"/>
          <w:szCs w:val="21"/>
          <w:highlight w:val="none"/>
        </w:rPr>
        <w:t>3.2 投标报价</w:t>
      </w:r>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p>
    <w:p w14:paraId="69E83DE6">
      <w:pPr>
        <w:spacing w:line="440" w:lineRule="exact"/>
        <w:ind w:firstLine="420" w:firstLineChars="200"/>
        <w:rPr>
          <w:rFonts w:ascii="宋体" w:hAnsi="宋体" w:cs="宋体"/>
          <w:color w:val="auto"/>
          <w:highlight w:val="none"/>
        </w:rPr>
      </w:pPr>
      <w:bookmarkStart w:id="316" w:name="_Toc144974517"/>
      <w:bookmarkStart w:id="317" w:name="_Toc324404835"/>
      <w:bookmarkStart w:id="318" w:name="_Toc179632567"/>
      <w:bookmarkStart w:id="319" w:name="_Toc246996194"/>
      <w:bookmarkStart w:id="320" w:name="_Toc247085708"/>
      <w:bookmarkStart w:id="321" w:name="_Toc152045549"/>
      <w:bookmarkStart w:id="322" w:name="_Toc296602439"/>
      <w:bookmarkStart w:id="323" w:name="_Toc152042325"/>
      <w:bookmarkStart w:id="324" w:name="_Toc246996937"/>
      <w:r>
        <w:rPr>
          <w:rFonts w:hint="eastAsia" w:ascii="宋体" w:hAnsi="宋体" w:cs="宋体"/>
          <w:color w:val="auto"/>
          <w:highlight w:val="none"/>
        </w:rPr>
        <w:t>3.2.1 投标人的投标报价不得超过最高投标限价，最高投标限价的发布时间及方式在投标人须知前附表中载明。</w:t>
      </w:r>
    </w:p>
    <w:p w14:paraId="0D9B91C6">
      <w:pPr>
        <w:spacing w:line="440" w:lineRule="exact"/>
        <w:ind w:firstLine="420" w:firstLineChars="200"/>
        <w:rPr>
          <w:rFonts w:ascii="宋体" w:hAnsi="宋体" w:cs="宋体"/>
          <w:color w:val="auto"/>
          <w:highlight w:val="none"/>
        </w:rPr>
      </w:pPr>
      <w:r>
        <w:rPr>
          <w:rFonts w:hint="eastAsia" w:ascii="宋体" w:hAnsi="宋体" w:cs="宋体"/>
          <w:color w:val="auto"/>
          <w:highlight w:val="none"/>
        </w:rPr>
        <w:t>3.2.2投标报价应由法定代表人或被授权人签署。</w:t>
      </w:r>
    </w:p>
    <w:p w14:paraId="24341E04">
      <w:pPr>
        <w:spacing w:line="440" w:lineRule="exact"/>
        <w:ind w:firstLine="420" w:firstLineChars="200"/>
        <w:rPr>
          <w:rFonts w:ascii="宋体" w:hAnsi="宋体" w:cs="宋体"/>
          <w:color w:val="auto"/>
          <w:highlight w:val="none"/>
        </w:rPr>
      </w:pPr>
      <w:r>
        <w:rPr>
          <w:rFonts w:hint="eastAsia" w:ascii="宋体" w:hAnsi="宋体" w:cs="宋体"/>
          <w:color w:val="auto"/>
          <w:highlight w:val="none"/>
        </w:rPr>
        <w:t>3.2.3投标人的投标报价应为项目招标范围内全部服务工作内容所需的全部费用，包含所有成本、利润和税金、招标代理费、专家评审费等全部费用。</w:t>
      </w:r>
    </w:p>
    <w:p w14:paraId="7E70450F">
      <w:pPr>
        <w:spacing w:line="440" w:lineRule="exact"/>
        <w:ind w:firstLine="422" w:firstLineChars="200"/>
        <w:outlineLvl w:val="2"/>
        <w:rPr>
          <w:rFonts w:ascii="宋体" w:hAnsi="宋体" w:cs="宋体"/>
          <w:b/>
          <w:bCs/>
          <w:color w:val="auto"/>
          <w:szCs w:val="21"/>
          <w:highlight w:val="none"/>
        </w:rPr>
      </w:pPr>
      <w:bookmarkStart w:id="325" w:name="_Toc506107288"/>
      <w:bookmarkStart w:id="326" w:name="_Toc35425073"/>
      <w:bookmarkStart w:id="327" w:name="_Toc26363"/>
      <w:bookmarkStart w:id="328" w:name="_Toc24368"/>
      <w:bookmarkStart w:id="329" w:name="_Toc35947190"/>
      <w:bookmarkStart w:id="330" w:name="_Toc15058866"/>
      <w:bookmarkStart w:id="331" w:name="_Toc35424907"/>
      <w:r>
        <w:rPr>
          <w:rFonts w:hint="eastAsia" w:ascii="宋体" w:hAnsi="宋体" w:cs="宋体"/>
          <w:b/>
          <w:bCs/>
          <w:color w:val="auto"/>
          <w:szCs w:val="21"/>
          <w:highlight w:val="none"/>
        </w:rPr>
        <w:t>3.3 投标有效期</w:t>
      </w:r>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p>
    <w:p w14:paraId="341646D6">
      <w:pPr>
        <w:spacing w:line="440" w:lineRule="exact"/>
        <w:ind w:firstLine="420" w:firstLineChars="200"/>
        <w:rPr>
          <w:rFonts w:ascii="宋体" w:hAnsi="宋体" w:cs="宋体"/>
          <w:color w:val="auto"/>
          <w:highlight w:val="none"/>
        </w:rPr>
      </w:pPr>
      <w:r>
        <w:rPr>
          <w:rFonts w:hint="eastAsia" w:ascii="宋体" w:hAnsi="宋体" w:cs="宋体"/>
          <w:color w:val="auto"/>
          <w:highlight w:val="none"/>
        </w:rPr>
        <w:t>3.3.1 除投标人须知前附表另有规定外，投标有效期为 90天。</w:t>
      </w:r>
    </w:p>
    <w:p w14:paraId="55A85948">
      <w:pPr>
        <w:spacing w:line="440" w:lineRule="exact"/>
        <w:ind w:firstLine="420" w:firstLineChars="200"/>
        <w:rPr>
          <w:rFonts w:ascii="宋体" w:hAnsi="宋体" w:cs="宋体"/>
          <w:color w:val="auto"/>
          <w:highlight w:val="none"/>
        </w:rPr>
      </w:pPr>
      <w:r>
        <w:rPr>
          <w:rFonts w:hint="eastAsia" w:ascii="宋体" w:hAnsi="宋体" w:cs="宋体"/>
          <w:color w:val="auto"/>
          <w:highlight w:val="none"/>
        </w:rPr>
        <w:t>3.3.2 在投标有效期内，投标人撤销或修改其投标文件的，应承担招标文件和法律规定的责任。</w:t>
      </w:r>
    </w:p>
    <w:p w14:paraId="3675FB52">
      <w:pPr>
        <w:spacing w:line="440" w:lineRule="exact"/>
        <w:ind w:firstLine="420" w:firstLineChars="200"/>
        <w:rPr>
          <w:rFonts w:ascii="宋体" w:hAnsi="宋体" w:cs="宋体"/>
          <w:color w:val="auto"/>
          <w:highlight w:val="none"/>
        </w:rPr>
      </w:pPr>
      <w:r>
        <w:rPr>
          <w:rFonts w:hint="eastAsia" w:ascii="宋体" w:hAnsi="宋体" w:cs="宋体"/>
          <w:color w:val="auto"/>
          <w:highlight w:val="none"/>
        </w:rPr>
        <w:t>3.3.3 出现特殊情况需要延长投标有效期的，招标人以书面形式通知所有投标人延长投标有效期。投标人同意延长的，应相应延长其投标保证金的有效期，但不得要求或被允许修改或撤销其投标文件；投标人拒绝延长的，其投标失效，但投标人有权收回其投标保证金。</w:t>
      </w:r>
    </w:p>
    <w:p w14:paraId="67373C4C">
      <w:pPr>
        <w:spacing w:line="440" w:lineRule="exact"/>
        <w:ind w:firstLine="422" w:firstLineChars="200"/>
        <w:outlineLvl w:val="2"/>
        <w:rPr>
          <w:rFonts w:ascii="宋体" w:hAnsi="宋体" w:cs="宋体"/>
          <w:b/>
          <w:bCs/>
          <w:color w:val="auto"/>
          <w:szCs w:val="21"/>
          <w:highlight w:val="none"/>
        </w:rPr>
      </w:pPr>
      <w:bookmarkStart w:id="332" w:name="_Toc324404836"/>
      <w:bookmarkStart w:id="333" w:name="_Toc246996195"/>
      <w:bookmarkStart w:id="334" w:name="_Toc179632568"/>
      <w:bookmarkStart w:id="335" w:name="_Toc152045550"/>
      <w:bookmarkStart w:id="336" w:name="_Toc35425074"/>
      <w:bookmarkStart w:id="337" w:name="_Toc246996938"/>
      <w:bookmarkStart w:id="338" w:name="_Toc144974518"/>
      <w:bookmarkStart w:id="339" w:name="_Toc15058867"/>
      <w:bookmarkStart w:id="340" w:name="_Toc506107289"/>
      <w:bookmarkStart w:id="341" w:name="_Toc35424908"/>
      <w:bookmarkStart w:id="342" w:name="_Toc152042326"/>
      <w:bookmarkStart w:id="343" w:name="_Toc11832"/>
      <w:bookmarkStart w:id="344" w:name="_Toc296602440"/>
      <w:bookmarkStart w:id="345" w:name="_Toc35947191"/>
      <w:bookmarkStart w:id="346" w:name="_Toc247085709"/>
      <w:bookmarkStart w:id="347" w:name="_Toc27397"/>
      <w:r>
        <w:rPr>
          <w:rFonts w:hint="eastAsia" w:ascii="宋体" w:hAnsi="宋体" w:cs="宋体"/>
          <w:b/>
          <w:bCs/>
          <w:color w:val="auto"/>
          <w:szCs w:val="21"/>
          <w:highlight w:val="none"/>
        </w:rPr>
        <w:t>3.4 投标保证金</w:t>
      </w:r>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p>
    <w:p w14:paraId="4D1122B3">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3.4.1 投标人须知前附表规定递交投标保证金的，投标人在递交投标文件的同时，应按投标人须知前附表规定的金额格式递交保证金，并作为其投标文件的组成部分。</w:t>
      </w:r>
    </w:p>
    <w:p w14:paraId="256D06DE">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3.4.2 投标人不按本章第3.4.1项要求提交保证金的，评标委员会将否决其投标。</w:t>
      </w:r>
    </w:p>
    <w:p w14:paraId="62AD4452">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3.4.3中标通知书发放后五个工作日内退还未中标单位的投标保证金，自合同签订并备案后起五个工作日内退还中标人的投标保证金。</w:t>
      </w:r>
    </w:p>
    <w:p w14:paraId="2C22D72E">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3.4.4 有下列情形之一的，投标保证金将不予退还： </w:t>
      </w:r>
    </w:p>
    <w:p w14:paraId="4FA5CDEF">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（1）投标人在规定的投标有效期内撤销或修改其投标文件；</w:t>
      </w:r>
    </w:p>
    <w:p w14:paraId="26DA3BF1">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（2）中标人在收到中标通知书后，无正当理由拒签合同协议书或未按招标文件规定提交履约担保。</w:t>
      </w:r>
    </w:p>
    <w:p w14:paraId="1D3A5888">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（3）投标人在投标中存在弄虚作假、串通投标等违法行为的；</w:t>
      </w:r>
    </w:p>
    <w:p w14:paraId="626313EC">
      <w:pPr>
        <w:spacing w:line="440" w:lineRule="exact"/>
        <w:ind w:firstLine="422" w:firstLineChars="200"/>
        <w:outlineLvl w:val="2"/>
        <w:rPr>
          <w:rFonts w:ascii="宋体" w:hAnsi="宋体" w:cs="宋体"/>
          <w:b/>
          <w:bCs/>
          <w:color w:val="auto"/>
          <w:szCs w:val="21"/>
          <w:highlight w:val="none"/>
        </w:rPr>
      </w:pPr>
      <w:bookmarkStart w:id="348" w:name="_Toc2570"/>
      <w:bookmarkStart w:id="349" w:name="_Toc35947192"/>
      <w:bookmarkStart w:id="350" w:name="_Toc506107290"/>
      <w:bookmarkStart w:id="351" w:name="_Toc15240"/>
      <w:bookmarkStart w:id="352" w:name="_Toc296602442"/>
      <w:bookmarkStart w:id="353" w:name="_Toc324404837"/>
      <w:bookmarkStart w:id="354" w:name="_Toc35424909"/>
      <w:bookmarkStart w:id="355" w:name="_Toc15058868"/>
      <w:bookmarkStart w:id="356" w:name="_Toc35425075"/>
      <w:bookmarkStart w:id="357" w:name="_Toc246996197"/>
      <w:bookmarkStart w:id="358" w:name="_Toc152042329"/>
      <w:bookmarkStart w:id="359" w:name="_Toc144974521"/>
      <w:bookmarkStart w:id="360" w:name="_Toc246996940"/>
      <w:bookmarkStart w:id="361" w:name="_Toc247085711"/>
      <w:bookmarkStart w:id="362" w:name="_Toc179632571"/>
      <w:bookmarkStart w:id="363" w:name="_Toc152045553"/>
      <w:r>
        <w:rPr>
          <w:rFonts w:hint="eastAsia" w:ascii="宋体" w:hAnsi="宋体" w:cs="宋体"/>
          <w:b/>
          <w:bCs/>
          <w:color w:val="auto"/>
          <w:szCs w:val="21"/>
          <w:highlight w:val="none"/>
        </w:rPr>
        <w:t>3.5投标文件的编制</w:t>
      </w:r>
      <w:bookmarkEnd w:id="348"/>
      <w:bookmarkEnd w:id="349"/>
      <w:bookmarkEnd w:id="350"/>
      <w:bookmarkEnd w:id="351"/>
      <w:bookmarkEnd w:id="352"/>
      <w:bookmarkEnd w:id="353"/>
      <w:bookmarkEnd w:id="354"/>
      <w:bookmarkEnd w:id="355"/>
      <w:bookmarkEnd w:id="356"/>
    </w:p>
    <w:bookmarkEnd w:id="357"/>
    <w:bookmarkEnd w:id="358"/>
    <w:bookmarkEnd w:id="359"/>
    <w:bookmarkEnd w:id="360"/>
    <w:bookmarkEnd w:id="361"/>
    <w:bookmarkEnd w:id="362"/>
    <w:bookmarkEnd w:id="363"/>
    <w:p w14:paraId="0E003F9F">
      <w:pPr>
        <w:adjustRightInd w:val="0"/>
        <w:snapToGrid w:val="0"/>
        <w:spacing w:line="440" w:lineRule="exact"/>
        <w:ind w:firstLine="420" w:firstLineChars="200"/>
        <w:rPr>
          <w:rFonts w:ascii="宋体" w:hAnsi="宋体" w:cs="宋体"/>
          <w:color w:val="auto"/>
          <w:szCs w:val="21"/>
          <w:highlight w:val="none"/>
        </w:rPr>
      </w:pPr>
      <w:bookmarkStart w:id="364" w:name="_Toc246996942"/>
      <w:bookmarkStart w:id="365" w:name="_Toc247085713"/>
      <w:bookmarkStart w:id="366" w:name="_Toc324404838"/>
      <w:bookmarkStart w:id="367" w:name="_Toc152045555"/>
      <w:bookmarkStart w:id="368" w:name="_Toc144974523"/>
      <w:bookmarkStart w:id="369" w:name="_Toc179632573"/>
      <w:bookmarkStart w:id="370" w:name="_Toc246996199"/>
      <w:bookmarkStart w:id="371" w:name="_Toc152042331"/>
      <w:r>
        <w:rPr>
          <w:rFonts w:hint="eastAsia" w:ascii="宋体" w:hAnsi="宋体" w:cs="宋体"/>
          <w:color w:val="auto"/>
          <w:szCs w:val="21"/>
          <w:highlight w:val="none"/>
        </w:rPr>
        <w:t>3.5.1投标文件应按第五章“投标文件格式”进行编写，如有必要，可以增加附页，作为投标文件的组成部分。</w:t>
      </w:r>
    </w:p>
    <w:p w14:paraId="3A95660B">
      <w:pPr>
        <w:adjustRightInd w:val="0"/>
        <w:snapToGrid w:val="0"/>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3.5.2 投标文件应当对招标文件有关工期、投标有效期、质量要求、技术标准和要求、招标范围等实质性内容作出响应。</w:t>
      </w:r>
    </w:p>
    <w:p w14:paraId="10787F14">
      <w:pPr>
        <w:adjustRightInd w:val="0"/>
        <w:snapToGrid w:val="0"/>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3.5.3投标文件应用不褪色的材料书写或打印，并由投标人的法定代表人或其委托代理人签字或盖单位章。委托代理人签字的，投标文件应附法定代表人签署的授权委托书。投标文件应尽量避免涂改、行间插字或删除。如果出现上述情况，改动之处应加盖单位公章或由投标人的法定代表人或其授权的代理人签字确认。签字或盖章的具体要求见投标人须知前附表。</w:t>
      </w:r>
    </w:p>
    <w:p w14:paraId="79AFD5E3">
      <w:pPr>
        <w:adjustRightInd w:val="0"/>
        <w:snapToGrid w:val="0"/>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3.5.4 投标文件正本、 副本份数见投标人须知前附表。正本和副本的封面上应清楚地标记“正本”或“副本”的字样。当副本和正本不一致时，以正本为准。</w:t>
      </w:r>
    </w:p>
    <w:p w14:paraId="69AD6B6F">
      <w:pPr>
        <w:adjustRightInd w:val="0"/>
        <w:snapToGrid w:val="0"/>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3.5.5 投标文件的正本与副本应分别装订成册，具体装订要求见投标人须知前附表规定</w:t>
      </w:r>
      <w:r>
        <w:rPr>
          <w:rFonts w:hint="eastAsia" w:ascii="宋体" w:hAnsi="宋体" w:cs="宋体"/>
          <w:color w:val="auto"/>
          <w:kern w:val="0"/>
          <w:szCs w:val="21"/>
          <w:highlight w:val="none"/>
        </w:rPr>
        <w:t>。</w:t>
      </w:r>
    </w:p>
    <w:p w14:paraId="3CFF78D6">
      <w:pPr>
        <w:spacing w:line="440" w:lineRule="exact"/>
        <w:ind w:firstLine="422" w:firstLineChars="200"/>
        <w:outlineLvl w:val="2"/>
        <w:rPr>
          <w:rFonts w:ascii="宋体" w:hAnsi="宋体" w:cs="宋体"/>
          <w:b/>
          <w:bCs/>
          <w:color w:val="auto"/>
          <w:szCs w:val="21"/>
          <w:highlight w:val="none"/>
        </w:rPr>
      </w:pPr>
      <w:bookmarkStart w:id="372" w:name="_Toc26762"/>
      <w:bookmarkStart w:id="373" w:name="_Toc35947193"/>
      <w:bookmarkStart w:id="374" w:name="_Toc35424910"/>
      <w:bookmarkStart w:id="375" w:name="_Toc15058869"/>
      <w:bookmarkStart w:id="376" w:name="_Toc506107291"/>
      <w:bookmarkStart w:id="377" w:name="_Toc35425076"/>
      <w:bookmarkStart w:id="378" w:name="_Toc8706"/>
      <w:r>
        <w:rPr>
          <w:rFonts w:hint="eastAsia" w:ascii="宋体" w:hAnsi="宋体" w:cs="宋体"/>
          <w:b/>
          <w:bCs/>
          <w:color w:val="auto"/>
          <w:szCs w:val="21"/>
          <w:highlight w:val="none"/>
        </w:rPr>
        <w:t>4.投标</w:t>
      </w:r>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p>
    <w:p w14:paraId="2FCB78B8">
      <w:pPr>
        <w:adjustRightInd w:val="0"/>
        <w:snapToGrid w:val="0"/>
        <w:spacing w:line="440" w:lineRule="exact"/>
        <w:ind w:firstLine="420" w:firstLineChars="200"/>
        <w:rPr>
          <w:rFonts w:ascii="宋体" w:hAnsi="宋体" w:cs="宋体"/>
          <w:color w:val="auto"/>
          <w:szCs w:val="21"/>
          <w:highlight w:val="none"/>
        </w:rPr>
      </w:pPr>
      <w:bookmarkStart w:id="379" w:name="_Toc246996203"/>
      <w:bookmarkStart w:id="380" w:name="_Toc179632577"/>
      <w:bookmarkStart w:id="381" w:name="_Toc144974527"/>
      <w:bookmarkStart w:id="382" w:name="_Toc246996946"/>
      <w:bookmarkStart w:id="383" w:name="_Toc247085717"/>
      <w:bookmarkStart w:id="384" w:name="_Toc152045559"/>
      <w:bookmarkStart w:id="385" w:name="_Toc324404842"/>
      <w:bookmarkStart w:id="386" w:name="_Toc506107295"/>
      <w:bookmarkStart w:id="387" w:name="_Toc152042335"/>
      <w:bookmarkStart w:id="388" w:name="_Toc21611136"/>
      <w:bookmarkStart w:id="389" w:name="_Toc35425085"/>
      <w:bookmarkStart w:id="390" w:name="_Toc144974530"/>
      <w:bookmarkStart w:id="391" w:name="_Toc152042338"/>
      <w:bookmarkStart w:id="392" w:name="_Toc247085720"/>
      <w:bookmarkStart w:id="393" w:name="_Toc15058884"/>
      <w:bookmarkStart w:id="394" w:name="_Toc246996949"/>
      <w:bookmarkStart w:id="395" w:name="_Toc324404846"/>
      <w:bookmarkStart w:id="396" w:name="_Toc152045562"/>
      <w:bookmarkStart w:id="397" w:name="_Toc35424919"/>
      <w:bookmarkStart w:id="398" w:name="_Toc246996206"/>
      <w:bookmarkStart w:id="399" w:name="_Toc179632580"/>
      <w:bookmarkStart w:id="400" w:name="_Toc506107299"/>
      <w:bookmarkStart w:id="401" w:name="_Toc35947202"/>
      <w:r>
        <w:rPr>
          <w:rFonts w:hint="eastAsia" w:ascii="宋体" w:hAnsi="宋体" w:cs="宋体"/>
          <w:color w:val="auto"/>
          <w:szCs w:val="21"/>
          <w:highlight w:val="none"/>
        </w:rPr>
        <w:t>4.1 投标文件的密封和标记</w:t>
      </w:r>
    </w:p>
    <w:p w14:paraId="2BE2EF8E">
      <w:pPr>
        <w:adjustRightInd w:val="0"/>
        <w:snapToGrid w:val="0"/>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4.1.1 投标文件应进行密封包装，并在封套上加盖投标人单位章。</w:t>
      </w:r>
    </w:p>
    <w:p w14:paraId="3C0CE3B7">
      <w:pPr>
        <w:adjustRightInd w:val="0"/>
        <w:snapToGrid w:val="0"/>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4.1.2 投标文件封套上应写明的内容及具体密封要求见投标人须知前附表。</w:t>
      </w:r>
    </w:p>
    <w:p w14:paraId="5588C81C">
      <w:pPr>
        <w:adjustRightInd w:val="0"/>
        <w:snapToGrid w:val="0"/>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4.1.3 未按本章第4.1.1项或第4.1.2项要求密封和加写标记的投标文件，招标人应予拒收。</w:t>
      </w:r>
    </w:p>
    <w:p w14:paraId="7B71B1D6">
      <w:pPr>
        <w:adjustRightInd w:val="0"/>
        <w:snapToGrid w:val="0"/>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4.2 投标文件的递交</w:t>
      </w:r>
    </w:p>
    <w:p w14:paraId="53C04C83">
      <w:pPr>
        <w:adjustRightInd w:val="0"/>
        <w:snapToGrid w:val="0"/>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4.2.1投标人应在投标人须知前附表规定的投标截止时间前递交投标文件。</w:t>
      </w:r>
    </w:p>
    <w:p w14:paraId="13441B7A">
      <w:pPr>
        <w:adjustRightInd w:val="0"/>
        <w:snapToGrid w:val="0"/>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4.2.2 投标人递交投标文件的地点：见投标人须知前附表。</w:t>
      </w:r>
    </w:p>
    <w:p w14:paraId="36DEE1A6">
      <w:pPr>
        <w:adjustRightInd w:val="0"/>
        <w:snapToGrid w:val="0"/>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4.2.3 除投标人须知前附表另有规定外，投标人所递交的投标文件不予退还。</w:t>
      </w:r>
    </w:p>
    <w:p w14:paraId="1F837E57">
      <w:pPr>
        <w:adjustRightInd w:val="0"/>
        <w:snapToGrid w:val="0"/>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4.2.4 招标人收到投标文件后，各投标人须在相关表格上签到。</w:t>
      </w:r>
    </w:p>
    <w:p w14:paraId="12928BB3">
      <w:pPr>
        <w:adjustRightInd w:val="0"/>
        <w:snapToGrid w:val="0"/>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4.2.5 逾期送达的或者未送达指定地点的投标文件，招标人不予受理。</w:t>
      </w:r>
    </w:p>
    <w:p w14:paraId="1B061F6E">
      <w:pPr>
        <w:adjustRightInd w:val="0"/>
        <w:snapToGrid w:val="0"/>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4.3 投标文件的修改与撤回</w:t>
      </w:r>
    </w:p>
    <w:p w14:paraId="54F08ACA">
      <w:pPr>
        <w:adjustRightInd w:val="0"/>
        <w:snapToGrid w:val="0"/>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4.3.1在投标人须知前附表规定的投标截止时间前，投标人可以修改或撤回已递交的投标文件，但应以书面形式通知招标人。</w:t>
      </w:r>
    </w:p>
    <w:p w14:paraId="2B093A54">
      <w:pPr>
        <w:adjustRightInd w:val="0"/>
        <w:snapToGrid w:val="0"/>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4.3.2 投标人修改或撤回已递交投标文件的书面通知应按照本章第3.5.3项的要求签字或盖章。招标人收到书面通知后，投标人签到登记。</w:t>
      </w:r>
    </w:p>
    <w:p w14:paraId="1C0F8548">
      <w:pPr>
        <w:adjustRightInd w:val="0"/>
        <w:snapToGrid w:val="0"/>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4.3.3 投标人撤回投标文件的，招标人自收到投标人书面撤回通知之日起5日内退还已收取的投标保证金。（本条不采用）</w:t>
      </w:r>
    </w:p>
    <w:p w14:paraId="1A78C9B0">
      <w:pPr>
        <w:adjustRightInd w:val="0"/>
        <w:snapToGrid w:val="0"/>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4.3.4 修改的内容为投标文件的组成部分。修改的投标文件应按照本章第3条、第4条规定进行编制、密封、标记和递交，并标明“修改”字样。</w:t>
      </w:r>
    </w:p>
    <w:p w14:paraId="26DE3710">
      <w:pPr>
        <w:spacing w:line="440" w:lineRule="exact"/>
        <w:ind w:firstLine="422" w:firstLineChars="200"/>
        <w:outlineLvl w:val="2"/>
        <w:rPr>
          <w:rFonts w:ascii="宋体" w:hAnsi="宋体" w:cs="宋体"/>
          <w:b/>
          <w:bCs/>
          <w:color w:val="auto"/>
          <w:szCs w:val="21"/>
          <w:highlight w:val="none"/>
        </w:rPr>
      </w:pPr>
      <w:bookmarkStart w:id="402" w:name="_Toc7584"/>
      <w:bookmarkStart w:id="403" w:name="_Toc440"/>
      <w:r>
        <w:rPr>
          <w:rFonts w:hint="eastAsia" w:ascii="宋体" w:hAnsi="宋体" w:cs="宋体"/>
          <w:b/>
          <w:bCs/>
          <w:color w:val="auto"/>
          <w:szCs w:val="21"/>
          <w:highlight w:val="none"/>
        </w:rPr>
        <w:t>5. 开标</w:t>
      </w:r>
      <w:bookmarkEnd w:id="379"/>
      <w:bookmarkEnd w:id="380"/>
      <w:bookmarkEnd w:id="381"/>
      <w:bookmarkEnd w:id="382"/>
      <w:bookmarkEnd w:id="383"/>
      <w:bookmarkEnd w:id="384"/>
      <w:bookmarkEnd w:id="385"/>
      <w:bookmarkEnd w:id="386"/>
      <w:bookmarkEnd w:id="387"/>
      <w:bookmarkEnd w:id="388"/>
      <w:bookmarkEnd w:id="402"/>
      <w:bookmarkEnd w:id="403"/>
    </w:p>
    <w:p w14:paraId="35F31749">
      <w:pPr>
        <w:spacing w:line="440" w:lineRule="exact"/>
        <w:ind w:firstLine="422" w:firstLineChars="200"/>
        <w:outlineLvl w:val="2"/>
        <w:rPr>
          <w:rFonts w:ascii="宋体" w:hAnsi="宋体" w:cs="宋体"/>
          <w:b/>
          <w:bCs/>
          <w:color w:val="auto"/>
          <w:szCs w:val="21"/>
          <w:highlight w:val="none"/>
        </w:rPr>
      </w:pPr>
      <w:bookmarkStart w:id="404" w:name="_Toc506107296"/>
      <w:bookmarkStart w:id="405" w:name="_Toc247085718"/>
      <w:bookmarkStart w:id="406" w:name="_Toc179632578"/>
      <w:bookmarkStart w:id="407" w:name="_Toc324404843"/>
      <w:bookmarkStart w:id="408" w:name="_Toc246996947"/>
      <w:bookmarkStart w:id="409" w:name="_Toc296602448"/>
      <w:bookmarkStart w:id="410" w:name="_Toc21611137"/>
      <w:bookmarkStart w:id="411" w:name="_Toc246996204"/>
      <w:bookmarkStart w:id="412" w:name="_Toc20195"/>
      <w:bookmarkStart w:id="413" w:name="_Toc152042336"/>
      <w:bookmarkStart w:id="414" w:name="_Toc19769"/>
      <w:bookmarkStart w:id="415" w:name="_Toc144974528"/>
      <w:bookmarkStart w:id="416" w:name="_Toc152045560"/>
      <w:r>
        <w:rPr>
          <w:rFonts w:hint="eastAsia" w:ascii="宋体" w:hAnsi="宋体" w:cs="宋体"/>
          <w:b/>
          <w:bCs/>
          <w:color w:val="auto"/>
          <w:szCs w:val="21"/>
          <w:highlight w:val="none"/>
        </w:rPr>
        <w:t>5.1 开标时间和地点</w:t>
      </w:r>
      <w:bookmarkEnd w:id="404"/>
      <w:bookmarkEnd w:id="405"/>
      <w:bookmarkEnd w:id="406"/>
      <w:bookmarkEnd w:id="407"/>
      <w:bookmarkEnd w:id="408"/>
      <w:bookmarkEnd w:id="409"/>
      <w:bookmarkEnd w:id="410"/>
      <w:bookmarkEnd w:id="411"/>
      <w:bookmarkEnd w:id="412"/>
      <w:bookmarkEnd w:id="413"/>
      <w:bookmarkEnd w:id="414"/>
      <w:bookmarkEnd w:id="415"/>
      <w:bookmarkEnd w:id="416"/>
    </w:p>
    <w:p w14:paraId="49D12762">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招标人在投标人须知前附表规定的投标截止时间（开标时间）和地点公开开标。</w:t>
      </w:r>
    </w:p>
    <w:p w14:paraId="77E0A899">
      <w:pPr>
        <w:spacing w:line="440" w:lineRule="exact"/>
        <w:ind w:firstLine="422" w:firstLineChars="200"/>
        <w:outlineLvl w:val="2"/>
        <w:rPr>
          <w:rFonts w:ascii="宋体" w:hAnsi="宋体" w:cs="宋体"/>
          <w:b/>
          <w:bCs/>
          <w:color w:val="auto"/>
          <w:szCs w:val="21"/>
          <w:highlight w:val="none"/>
        </w:rPr>
      </w:pPr>
      <w:bookmarkStart w:id="417" w:name="_Toc144974529"/>
      <w:bookmarkStart w:id="418" w:name="_Toc296602449"/>
      <w:bookmarkStart w:id="419" w:name="_Toc1996"/>
      <w:bookmarkStart w:id="420" w:name="_Toc324404844"/>
      <w:bookmarkStart w:id="421" w:name="_Toc5380"/>
      <w:bookmarkStart w:id="422" w:name="_Toc152042337"/>
      <w:bookmarkStart w:id="423" w:name="_Toc247085719"/>
      <w:bookmarkStart w:id="424" w:name="_Toc179632579"/>
      <w:bookmarkStart w:id="425" w:name="_Toc506107297"/>
      <w:bookmarkStart w:id="426" w:name="_Toc246996948"/>
      <w:bookmarkStart w:id="427" w:name="_Toc246996205"/>
      <w:bookmarkStart w:id="428" w:name="_Toc152045561"/>
      <w:bookmarkStart w:id="429" w:name="_Toc21611138"/>
      <w:r>
        <w:rPr>
          <w:rFonts w:hint="eastAsia" w:ascii="宋体" w:hAnsi="宋体" w:cs="宋体"/>
          <w:b/>
          <w:bCs/>
          <w:color w:val="auto"/>
          <w:szCs w:val="21"/>
          <w:highlight w:val="none"/>
        </w:rPr>
        <w:t>5.2 开标程序</w:t>
      </w:r>
      <w:bookmarkEnd w:id="417"/>
      <w:bookmarkEnd w:id="418"/>
      <w:bookmarkEnd w:id="419"/>
      <w:bookmarkEnd w:id="420"/>
      <w:bookmarkEnd w:id="421"/>
      <w:bookmarkEnd w:id="422"/>
      <w:bookmarkEnd w:id="423"/>
      <w:bookmarkEnd w:id="424"/>
      <w:bookmarkEnd w:id="425"/>
      <w:bookmarkEnd w:id="426"/>
      <w:bookmarkEnd w:id="427"/>
      <w:bookmarkEnd w:id="428"/>
      <w:bookmarkEnd w:id="429"/>
    </w:p>
    <w:p w14:paraId="00B0F929">
      <w:pPr>
        <w:wordWrap w:val="0"/>
        <w:spacing w:line="440" w:lineRule="exact"/>
        <w:ind w:firstLine="420" w:firstLineChars="200"/>
        <w:rPr>
          <w:rFonts w:ascii="宋体" w:hAnsi="宋体" w:cs="宋体"/>
          <w:color w:val="auto"/>
          <w:highlight w:val="none"/>
        </w:rPr>
      </w:pPr>
      <w:bookmarkStart w:id="430" w:name="_Toc21611143"/>
      <w:bookmarkStart w:id="431" w:name="_Toc15058881"/>
      <w:bookmarkStart w:id="432" w:name="_Toc296602450"/>
      <w:bookmarkStart w:id="433" w:name="_Toc506107298"/>
      <w:bookmarkStart w:id="434" w:name="_Toc324404845"/>
      <w:r>
        <w:rPr>
          <w:rFonts w:hint="eastAsia" w:ascii="宋体" w:hAnsi="宋体" w:cs="宋体"/>
          <w:color w:val="auto"/>
          <w:highlight w:val="none"/>
        </w:rPr>
        <w:t>主持人按下列程序进行开标：</w:t>
      </w:r>
    </w:p>
    <w:p w14:paraId="20534BE0">
      <w:pPr>
        <w:wordWrap w:val="0"/>
        <w:spacing w:line="440" w:lineRule="exact"/>
        <w:ind w:firstLine="420" w:firstLineChars="200"/>
        <w:rPr>
          <w:rFonts w:ascii="宋体" w:hAnsi="宋体" w:cs="宋体"/>
          <w:color w:val="auto"/>
          <w:highlight w:val="none"/>
        </w:rPr>
      </w:pPr>
      <w:r>
        <w:rPr>
          <w:rFonts w:hint="eastAsia" w:ascii="宋体" w:hAnsi="宋体" w:cs="宋体"/>
          <w:color w:val="auto"/>
          <w:highlight w:val="none"/>
        </w:rPr>
        <w:t>（1）宣布开标纪律；</w:t>
      </w:r>
    </w:p>
    <w:p w14:paraId="369289C6">
      <w:pPr>
        <w:wordWrap w:val="0"/>
        <w:spacing w:line="440" w:lineRule="exact"/>
        <w:ind w:firstLine="420" w:firstLineChars="200"/>
        <w:rPr>
          <w:rFonts w:ascii="宋体" w:hAnsi="宋体" w:cs="宋体"/>
          <w:color w:val="auto"/>
          <w:highlight w:val="none"/>
        </w:rPr>
      </w:pPr>
      <w:r>
        <w:rPr>
          <w:rFonts w:hint="eastAsia" w:ascii="宋体" w:hAnsi="宋体" w:cs="宋体"/>
          <w:color w:val="auto"/>
          <w:highlight w:val="none"/>
        </w:rPr>
        <w:t>（2）公布在投标截止时间前递交投标文件的投标人名称；</w:t>
      </w:r>
    </w:p>
    <w:p w14:paraId="2EBC3527">
      <w:pPr>
        <w:wordWrap w:val="0"/>
        <w:spacing w:line="440" w:lineRule="exact"/>
        <w:ind w:firstLine="420" w:firstLineChars="200"/>
        <w:rPr>
          <w:rFonts w:ascii="宋体" w:hAnsi="宋体" w:cs="宋体"/>
          <w:color w:val="auto"/>
          <w:highlight w:val="none"/>
        </w:rPr>
      </w:pPr>
      <w:r>
        <w:rPr>
          <w:rFonts w:hint="eastAsia" w:ascii="宋体" w:hAnsi="宋体" w:cs="宋体"/>
          <w:color w:val="auto"/>
          <w:highlight w:val="none"/>
        </w:rPr>
        <w:t>（3）宣布开标人、唱标人、记录人、监标人等有关人员姓名；</w:t>
      </w:r>
    </w:p>
    <w:p w14:paraId="054FEE97">
      <w:pPr>
        <w:wordWrap w:val="0"/>
        <w:spacing w:line="440" w:lineRule="exact"/>
        <w:ind w:firstLine="420" w:firstLineChars="200"/>
        <w:rPr>
          <w:rFonts w:ascii="宋体" w:hAnsi="宋体" w:cs="宋体"/>
          <w:color w:val="auto"/>
          <w:highlight w:val="none"/>
        </w:rPr>
      </w:pPr>
      <w:r>
        <w:rPr>
          <w:rFonts w:hint="eastAsia" w:ascii="宋体" w:hAnsi="宋体" w:cs="宋体"/>
          <w:color w:val="auto"/>
          <w:highlight w:val="none"/>
        </w:rPr>
        <w:t>（4）按照投标人须知前附表规定检查投标文件的密封情况；</w:t>
      </w:r>
    </w:p>
    <w:p w14:paraId="6680CD07">
      <w:pPr>
        <w:wordWrap w:val="0"/>
        <w:spacing w:line="440" w:lineRule="exact"/>
        <w:ind w:firstLine="420" w:firstLineChars="200"/>
        <w:rPr>
          <w:rFonts w:ascii="宋体" w:hAnsi="宋体" w:cs="宋体"/>
          <w:color w:val="auto"/>
          <w:highlight w:val="none"/>
        </w:rPr>
      </w:pPr>
      <w:r>
        <w:rPr>
          <w:rFonts w:hint="eastAsia" w:ascii="宋体" w:hAnsi="宋体" w:cs="宋体"/>
          <w:color w:val="auto"/>
          <w:highlight w:val="none"/>
        </w:rPr>
        <w:t>（5）按照投标人须知前附表的规定确定并宣布投标文件开标顺序；</w:t>
      </w:r>
    </w:p>
    <w:p w14:paraId="76466BE4">
      <w:pPr>
        <w:wordWrap w:val="0"/>
        <w:spacing w:line="440" w:lineRule="exact"/>
        <w:ind w:firstLine="420" w:firstLineChars="200"/>
        <w:rPr>
          <w:rFonts w:ascii="宋体" w:hAnsi="宋体" w:cs="宋体"/>
          <w:color w:val="auto"/>
          <w:highlight w:val="none"/>
        </w:rPr>
      </w:pPr>
      <w:r>
        <w:rPr>
          <w:rFonts w:hint="eastAsia" w:ascii="宋体" w:hAnsi="宋体" w:cs="宋体"/>
          <w:color w:val="auto"/>
          <w:highlight w:val="none"/>
        </w:rPr>
        <w:t>（6）按照宣布的开标顺序当众开标，公布投标人名称；</w:t>
      </w:r>
    </w:p>
    <w:p w14:paraId="06A60EAE">
      <w:pPr>
        <w:wordWrap w:val="0"/>
        <w:spacing w:line="440" w:lineRule="exact"/>
        <w:ind w:firstLine="420" w:firstLineChars="200"/>
        <w:rPr>
          <w:rFonts w:ascii="宋体" w:hAnsi="宋体" w:cs="宋体"/>
          <w:color w:val="auto"/>
          <w:highlight w:val="none"/>
        </w:rPr>
      </w:pPr>
      <w:r>
        <w:rPr>
          <w:rFonts w:hint="eastAsia" w:ascii="宋体" w:hAnsi="宋体" w:cs="宋体"/>
          <w:color w:val="auto"/>
          <w:highlight w:val="none"/>
        </w:rPr>
        <w:t xml:space="preserve">（7）进行资格审查； </w:t>
      </w:r>
    </w:p>
    <w:p w14:paraId="2B8DDEA3">
      <w:pPr>
        <w:wordWrap w:val="0"/>
        <w:spacing w:line="440" w:lineRule="exact"/>
        <w:ind w:firstLine="420" w:firstLineChars="200"/>
        <w:rPr>
          <w:rFonts w:ascii="宋体" w:hAnsi="宋体" w:cs="宋体"/>
          <w:color w:val="auto"/>
          <w:highlight w:val="none"/>
        </w:rPr>
      </w:pPr>
      <w:r>
        <w:rPr>
          <w:rFonts w:hint="eastAsia" w:ascii="宋体" w:hAnsi="宋体" w:cs="宋体"/>
          <w:color w:val="auto"/>
          <w:highlight w:val="none"/>
        </w:rPr>
        <w:t>（8）对投标人进行技术标和商务标评审；</w:t>
      </w:r>
    </w:p>
    <w:p w14:paraId="7CA2DA3E">
      <w:pPr>
        <w:wordWrap w:val="0"/>
        <w:spacing w:line="440" w:lineRule="exact"/>
        <w:ind w:firstLine="420" w:firstLineChars="200"/>
        <w:rPr>
          <w:rFonts w:ascii="宋体" w:hAnsi="宋体" w:cs="宋体"/>
          <w:color w:val="auto"/>
          <w:highlight w:val="none"/>
        </w:rPr>
      </w:pPr>
      <w:r>
        <w:rPr>
          <w:rFonts w:hint="eastAsia" w:ascii="宋体" w:hAnsi="宋体" w:cs="宋体"/>
          <w:color w:val="auto"/>
          <w:highlight w:val="none"/>
        </w:rPr>
        <w:t>（9）有关人员在开标记录上签字确认；</w:t>
      </w:r>
    </w:p>
    <w:p w14:paraId="0E9B8439">
      <w:pPr>
        <w:wordWrap w:val="0"/>
        <w:spacing w:line="440" w:lineRule="exact"/>
        <w:ind w:firstLine="420" w:firstLineChars="200"/>
        <w:rPr>
          <w:rFonts w:ascii="宋体" w:hAnsi="宋体" w:cs="宋体"/>
          <w:color w:val="auto"/>
          <w:szCs w:val="21"/>
          <w:highlight w:val="none"/>
        </w:rPr>
      </w:pPr>
      <w:r>
        <w:rPr>
          <w:rFonts w:hint="eastAsia" w:ascii="宋体" w:hAnsi="宋体" w:cs="宋体"/>
          <w:color w:val="auto"/>
          <w:highlight w:val="none"/>
        </w:rPr>
        <w:t>（10）开标结束。</w:t>
      </w:r>
    </w:p>
    <w:bookmarkEnd w:id="430"/>
    <w:bookmarkEnd w:id="431"/>
    <w:p w14:paraId="7F2C3062">
      <w:pPr>
        <w:spacing w:line="440" w:lineRule="exact"/>
        <w:ind w:firstLine="422" w:firstLineChars="200"/>
        <w:outlineLvl w:val="2"/>
        <w:rPr>
          <w:rFonts w:ascii="宋体" w:hAnsi="宋体" w:cs="宋体"/>
          <w:b/>
          <w:bCs/>
          <w:color w:val="auto"/>
          <w:szCs w:val="21"/>
          <w:highlight w:val="none"/>
        </w:rPr>
      </w:pPr>
      <w:bookmarkStart w:id="435" w:name="_Toc9292"/>
      <w:bookmarkStart w:id="436" w:name="_Toc24518"/>
      <w:bookmarkStart w:id="437" w:name="_Toc21611145"/>
      <w:r>
        <w:rPr>
          <w:rFonts w:hint="eastAsia" w:ascii="宋体" w:hAnsi="宋体" w:cs="宋体"/>
          <w:b/>
          <w:bCs/>
          <w:color w:val="auto"/>
          <w:szCs w:val="21"/>
          <w:highlight w:val="none"/>
        </w:rPr>
        <w:t>5.3 开标异议</w:t>
      </w:r>
      <w:bookmarkEnd w:id="432"/>
      <w:bookmarkEnd w:id="433"/>
      <w:bookmarkEnd w:id="434"/>
      <w:bookmarkEnd w:id="435"/>
      <w:bookmarkEnd w:id="436"/>
      <w:bookmarkEnd w:id="437"/>
    </w:p>
    <w:p w14:paraId="5D4909D9">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投标人对开标有异议的，应当在开标过程中提出，招标人在开标过程中作出答复，并制作记录。</w:t>
      </w:r>
    </w:p>
    <w:p w14:paraId="560BB98D">
      <w:pPr>
        <w:spacing w:line="440" w:lineRule="exact"/>
        <w:ind w:firstLine="422" w:firstLineChars="200"/>
        <w:outlineLvl w:val="2"/>
        <w:rPr>
          <w:rFonts w:ascii="宋体" w:hAnsi="宋体" w:cs="宋体"/>
          <w:b/>
          <w:bCs/>
          <w:color w:val="auto"/>
          <w:szCs w:val="21"/>
          <w:highlight w:val="none"/>
        </w:rPr>
      </w:pPr>
      <w:bookmarkStart w:id="438" w:name="_Toc25571"/>
      <w:bookmarkStart w:id="439" w:name="_Toc17195"/>
      <w:r>
        <w:rPr>
          <w:rFonts w:hint="eastAsia" w:ascii="宋体" w:hAnsi="宋体" w:cs="宋体"/>
          <w:b/>
          <w:bCs/>
          <w:color w:val="auto"/>
          <w:szCs w:val="21"/>
          <w:highlight w:val="none"/>
        </w:rPr>
        <w:t>6. 评标</w:t>
      </w:r>
      <w:bookmarkEnd w:id="389"/>
      <w:bookmarkEnd w:id="390"/>
      <w:bookmarkEnd w:id="391"/>
      <w:bookmarkEnd w:id="392"/>
      <w:bookmarkEnd w:id="393"/>
      <w:bookmarkEnd w:id="394"/>
      <w:bookmarkEnd w:id="395"/>
      <w:bookmarkEnd w:id="396"/>
      <w:bookmarkEnd w:id="397"/>
      <w:bookmarkEnd w:id="398"/>
      <w:bookmarkEnd w:id="399"/>
      <w:bookmarkEnd w:id="400"/>
      <w:bookmarkEnd w:id="401"/>
      <w:bookmarkEnd w:id="438"/>
      <w:bookmarkEnd w:id="439"/>
    </w:p>
    <w:p w14:paraId="1ADA2965">
      <w:pPr>
        <w:adjustRightInd w:val="0"/>
        <w:snapToGrid w:val="0"/>
        <w:spacing w:line="440" w:lineRule="exact"/>
        <w:ind w:firstLine="420" w:firstLineChars="200"/>
        <w:rPr>
          <w:rFonts w:ascii="宋体" w:hAnsi="宋体" w:cs="宋体"/>
          <w:color w:val="auto"/>
          <w:szCs w:val="21"/>
          <w:highlight w:val="none"/>
        </w:rPr>
      </w:pPr>
      <w:bookmarkStart w:id="440" w:name="_Toc246996953"/>
      <w:bookmarkStart w:id="441" w:name="_Toc144974534"/>
      <w:bookmarkStart w:id="442" w:name="_Toc246996210"/>
      <w:bookmarkStart w:id="443" w:name="_Toc152042342"/>
      <w:bookmarkStart w:id="444" w:name="_Toc324404850"/>
      <w:bookmarkStart w:id="445" w:name="_Toc247085724"/>
      <w:bookmarkStart w:id="446" w:name="_Toc152045566"/>
      <w:bookmarkStart w:id="447" w:name="_Toc179632584"/>
      <w:r>
        <w:rPr>
          <w:rFonts w:hint="eastAsia" w:ascii="宋体" w:hAnsi="宋体" w:cs="宋体"/>
          <w:color w:val="auto"/>
          <w:szCs w:val="21"/>
          <w:highlight w:val="none"/>
        </w:rPr>
        <w:t>6.1.1 评标由招标人依法组建的评标委员会负责。评标委员会由招标人或其委托的招标代理机构熟悉相关业务的代表，以及有关技术、经济等方面的专家组成。评标委员会成员人数以及技术、经济等方面专家的确定方式见投标人须知前附表。</w:t>
      </w:r>
    </w:p>
    <w:p w14:paraId="3E72D2FF">
      <w:pPr>
        <w:adjustRightInd w:val="0"/>
        <w:snapToGrid w:val="0"/>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6.1.2 评标委员会成员有下列情形之一的，应当回避：</w:t>
      </w:r>
    </w:p>
    <w:p w14:paraId="5615492B">
      <w:pPr>
        <w:adjustRightInd w:val="0"/>
        <w:snapToGrid w:val="0"/>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（1）项目主管部门或行政监督管理部门，项目属地的公共资源交易综合管理部门、交易中心的工作人员； </w:t>
      </w:r>
    </w:p>
    <w:p w14:paraId="09A4C9DF">
      <w:pPr>
        <w:adjustRightInd w:val="0"/>
        <w:snapToGrid w:val="0"/>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（2）与竞争主体主要负责人或者授权参与交易的代理人有近亲属关系的人员； </w:t>
      </w:r>
    </w:p>
    <w:p w14:paraId="11E11BEC">
      <w:pPr>
        <w:adjustRightInd w:val="0"/>
        <w:snapToGrid w:val="0"/>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（3）竞争主体的工作人员或者退休人员； </w:t>
      </w:r>
    </w:p>
    <w:p w14:paraId="03F8F126">
      <w:pPr>
        <w:adjustRightInd w:val="0"/>
        <w:snapToGrid w:val="0"/>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（4）竞争主体的上级主管、控股或者被控股单位等相关利害关系的人员，或任职单位与竞争主体单位为同一法定代表人的； </w:t>
      </w:r>
    </w:p>
    <w:p w14:paraId="0047EC11">
      <w:pPr>
        <w:adjustRightInd w:val="0"/>
        <w:snapToGrid w:val="0"/>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（5）存在其他法定回避情形的。</w:t>
      </w:r>
    </w:p>
    <w:p w14:paraId="6237F08F">
      <w:pPr>
        <w:adjustRightInd w:val="0"/>
        <w:snapToGrid w:val="0"/>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项目实施主体及其子公司、下属单位、上级主管部门或者控股公司的工作人员或者退休人员不得以专家身份参与本单位或者代理项目的评标评审。 </w:t>
      </w:r>
    </w:p>
    <w:p w14:paraId="17149A7C">
      <w:pPr>
        <w:adjustRightInd w:val="0"/>
        <w:snapToGrid w:val="0"/>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评标委员会或评审机构成员有前两款规定情形的，应当主动提出回避；已经进入的应当更换，被更换的成员评标评审意见无效。 </w:t>
      </w:r>
    </w:p>
    <w:p w14:paraId="0C774491">
      <w:pPr>
        <w:adjustRightInd w:val="0"/>
        <w:snapToGrid w:val="0"/>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6.1.3评标过程中，评标委员会成员有回避事由、擅离职守或因健康等原因不能继续评标的， 招标人有权更换。被更换的评标委员会成员作出的评审结论无效，由更换后的评标委员会成员重新进行评审。</w:t>
      </w:r>
    </w:p>
    <w:p w14:paraId="568E2705">
      <w:pPr>
        <w:adjustRightInd w:val="0"/>
        <w:snapToGrid w:val="0"/>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6.2 评标原则</w:t>
      </w:r>
    </w:p>
    <w:p w14:paraId="267BDB6F">
      <w:pPr>
        <w:adjustRightInd w:val="0"/>
        <w:snapToGrid w:val="0"/>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评标活动遵循公平、公正、科学和择优的原则。</w:t>
      </w:r>
    </w:p>
    <w:p w14:paraId="789E0B63">
      <w:pPr>
        <w:adjustRightInd w:val="0"/>
        <w:snapToGrid w:val="0"/>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6.3 评标</w:t>
      </w:r>
    </w:p>
    <w:p w14:paraId="6227BB8A">
      <w:pPr>
        <w:adjustRightInd w:val="0"/>
        <w:snapToGrid w:val="0"/>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6.3.1评标委员会按照第三章“评标办法”规定的方法、评审因素、标准和程序对投标文件进行评审。第三章“评标办法”没有规定的方法、评审因素和标准，不作为评标依据。</w:t>
      </w:r>
    </w:p>
    <w:p w14:paraId="29529099">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6.3.2评标完成后，评标委员会应向招标人提交书面评标报告和中标候选人名单。评标委员会推荐中标候选人的人数见投标人须知前附表。</w:t>
      </w:r>
    </w:p>
    <w:p w14:paraId="5F8213E6">
      <w:pPr>
        <w:spacing w:line="440" w:lineRule="exact"/>
        <w:ind w:firstLine="422" w:firstLineChars="200"/>
        <w:outlineLvl w:val="2"/>
        <w:rPr>
          <w:rFonts w:ascii="宋体" w:hAnsi="宋体" w:cs="宋体"/>
          <w:b/>
          <w:bCs/>
          <w:color w:val="auto"/>
          <w:szCs w:val="21"/>
          <w:highlight w:val="none"/>
        </w:rPr>
      </w:pPr>
      <w:bookmarkStart w:id="448" w:name="_Toc35947206"/>
      <w:bookmarkStart w:id="449" w:name="_Toc35425089"/>
      <w:bookmarkStart w:id="450" w:name="_Toc35424923"/>
      <w:bookmarkStart w:id="451" w:name="_Toc506107303"/>
      <w:bookmarkStart w:id="452" w:name="_Toc15037"/>
      <w:bookmarkStart w:id="453" w:name="_Toc15058888"/>
      <w:bookmarkStart w:id="454" w:name="_Toc23962"/>
      <w:r>
        <w:rPr>
          <w:rFonts w:hint="eastAsia" w:ascii="宋体" w:hAnsi="宋体" w:cs="宋体"/>
          <w:b/>
          <w:bCs/>
          <w:color w:val="auto"/>
          <w:szCs w:val="21"/>
          <w:highlight w:val="none"/>
        </w:rPr>
        <w:t>7. 合同授予</w:t>
      </w:r>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p>
    <w:p w14:paraId="1C4241FD">
      <w:pPr>
        <w:spacing w:line="440" w:lineRule="exact"/>
        <w:ind w:firstLine="422" w:firstLineChars="200"/>
        <w:outlineLvl w:val="2"/>
        <w:rPr>
          <w:rFonts w:ascii="宋体" w:hAnsi="宋体" w:cs="宋体"/>
          <w:b/>
          <w:bCs/>
          <w:color w:val="auto"/>
          <w:szCs w:val="21"/>
          <w:highlight w:val="none"/>
        </w:rPr>
      </w:pPr>
      <w:bookmarkStart w:id="455" w:name="_Toc247085725"/>
      <w:bookmarkStart w:id="456" w:name="_Toc35947207"/>
      <w:bookmarkStart w:id="457" w:name="_Toc84"/>
      <w:bookmarkStart w:id="458" w:name="_Toc35425090"/>
      <w:bookmarkStart w:id="459" w:name="_Toc15058889"/>
      <w:bookmarkStart w:id="460" w:name="_Toc35424924"/>
      <w:bookmarkStart w:id="461" w:name="_Toc28335"/>
      <w:bookmarkStart w:id="462" w:name="_Toc246996954"/>
      <w:bookmarkStart w:id="463" w:name="_Toc246996211"/>
      <w:bookmarkStart w:id="464" w:name="_Toc506107304"/>
      <w:bookmarkStart w:id="465" w:name="_Toc179632585"/>
      <w:bookmarkStart w:id="466" w:name="_Toc324404851"/>
      <w:bookmarkStart w:id="467" w:name="_Toc152042343"/>
      <w:bookmarkStart w:id="468" w:name="_Toc144974535"/>
      <w:bookmarkStart w:id="469" w:name="_Toc152045567"/>
      <w:bookmarkStart w:id="470" w:name="_Toc296602456"/>
      <w:r>
        <w:rPr>
          <w:rFonts w:hint="eastAsia" w:ascii="宋体" w:hAnsi="宋体" w:cs="宋体"/>
          <w:b/>
          <w:bCs/>
          <w:color w:val="auto"/>
          <w:szCs w:val="21"/>
          <w:highlight w:val="none"/>
        </w:rPr>
        <w:t>7.1 定标方式</w:t>
      </w:r>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p>
    <w:p w14:paraId="34EA3BCF">
      <w:pPr>
        <w:spacing w:line="440" w:lineRule="exact"/>
        <w:ind w:firstLine="420" w:firstLineChars="200"/>
        <w:rPr>
          <w:rFonts w:ascii="宋体" w:hAnsi="宋体" w:cs="宋体"/>
          <w:color w:val="auto"/>
          <w:szCs w:val="21"/>
          <w:highlight w:val="none"/>
        </w:rPr>
      </w:pPr>
      <w:bookmarkStart w:id="471" w:name="_Toc296602457"/>
      <w:bookmarkStart w:id="472" w:name="_Toc324404852"/>
      <w:r>
        <w:rPr>
          <w:rFonts w:hint="eastAsia" w:ascii="宋体" w:hAnsi="宋体" w:cs="宋体"/>
          <w:color w:val="auto"/>
          <w:szCs w:val="21"/>
          <w:highlight w:val="none"/>
        </w:rPr>
        <w:t>除投标人须知前附表规定评标委员会直接确定中标人外，招标人依据评标委员会推荐的中标候选人确定中标人，评标委员会推荐中标候选人的人数见投标人须知前附表。</w:t>
      </w:r>
    </w:p>
    <w:p w14:paraId="1905572F">
      <w:pPr>
        <w:spacing w:line="440" w:lineRule="exact"/>
        <w:ind w:firstLine="422" w:firstLineChars="200"/>
        <w:outlineLvl w:val="2"/>
        <w:rPr>
          <w:rFonts w:ascii="宋体" w:hAnsi="宋体" w:cs="宋体"/>
          <w:b/>
          <w:bCs/>
          <w:color w:val="auto"/>
          <w:szCs w:val="21"/>
          <w:highlight w:val="none"/>
        </w:rPr>
      </w:pPr>
      <w:bookmarkStart w:id="473" w:name="_Toc12015"/>
      <w:bookmarkStart w:id="474" w:name="_Toc506107305"/>
      <w:bookmarkStart w:id="475" w:name="_Toc35425091"/>
      <w:bookmarkStart w:id="476" w:name="_Toc35947208"/>
      <w:bookmarkStart w:id="477" w:name="_Toc9338"/>
      <w:bookmarkStart w:id="478" w:name="_Toc15058890"/>
      <w:bookmarkStart w:id="479" w:name="_Toc35424925"/>
      <w:r>
        <w:rPr>
          <w:rFonts w:hint="eastAsia" w:ascii="宋体" w:hAnsi="宋体" w:cs="宋体"/>
          <w:b/>
          <w:bCs/>
          <w:color w:val="auto"/>
          <w:szCs w:val="21"/>
          <w:highlight w:val="none"/>
        </w:rPr>
        <w:t>7.2 评标结果异议</w:t>
      </w:r>
      <w:bookmarkEnd w:id="473"/>
    </w:p>
    <w:p w14:paraId="7CEE5786">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投标人或其他利害关系人对评标结果有异议的，应在中标候选人公示期内提出。招标人将在收到异议之日起 3 日内作出答复；作出答复前，将暂停招标投标活动。</w:t>
      </w:r>
    </w:p>
    <w:p w14:paraId="5EA0AB62">
      <w:pPr>
        <w:spacing w:line="440" w:lineRule="exact"/>
        <w:ind w:firstLine="422" w:firstLineChars="200"/>
        <w:outlineLvl w:val="2"/>
        <w:rPr>
          <w:rFonts w:ascii="宋体" w:hAnsi="宋体" w:cs="宋体"/>
          <w:b/>
          <w:bCs/>
          <w:color w:val="auto"/>
          <w:szCs w:val="21"/>
          <w:highlight w:val="none"/>
        </w:rPr>
      </w:pPr>
      <w:bookmarkStart w:id="480" w:name="_Toc29736"/>
      <w:r>
        <w:rPr>
          <w:rFonts w:hint="eastAsia" w:ascii="宋体" w:hAnsi="宋体" w:cs="宋体"/>
          <w:b/>
          <w:bCs/>
          <w:color w:val="auto"/>
          <w:szCs w:val="21"/>
          <w:highlight w:val="none"/>
        </w:rPr>
        <w:t>7.3 中标候选人公示</w:t>
      </w:r>
      <w:bookmarkEnd w:id="471"/>
      <w:bookmarkEnd w:id="472"/>
      <w:bookmarkEnd w:id="474"/>
      <w:bookmarkEnd w:id="475"/>
      <w:bookmarkEnd w:id="476"/>
      <w:bookmarkEnd w:id="477"/>
      <w:bookmarkEnd w:id="478"/>
      <w:bookmarkEnd w:id="479"/>
      <w:bookmarkEnd w:id="480"/>
    </w:p>
    <w:p w14:paraId="54DBCA9B">
      <w:pPr>
        <w:spacing w:line="440" w:lineRule="exact"/>
        <w:ind w:firstLine="420" w:firstLineChars="200"/>
        <w:rPr>
          <w:rFonts w:ascii="宋体" w:hAnsi="宋体" w:cs="宋体"/>
          <w:color w:val="auto"/>
          <w:szCs w:val="21"/>
          <w:highlight w:val="none"/>
        </w:rPr>
      </w:pPr>
      <w:bookmarkStart w:id="481" w:name="_Toc247085726"/>
      <w:bookmarkStart w:id="482" w:name="_Toc324404853"/>
      <w:bookmarkStart w:id="483" w:name="_Toc246996955"/>
      <w:bookmarkStart w:id="484" w:name="_Toc152045568"/>
      <w:bookmarkStart w:id="485" w:name="_Toc246996212"/>
      <w:bookmarkStart w:id="486" w:name="_Toc152042344"/>
      <w:bookmarkStart w:id="487" w:name="_Toc144974536"/>
      <w:bookmarkStart w:id="488" w:name="_Toc179632586"/>
      <w:bookmarkStart w:id="489" w:name="_Toc296602458"/>
      <w:r>
        <w:rPr>
          <w:rFonts w:hint="eastAsia" w:ascii="宋体" w:hAnsi="宋体" w:cs="宋体"/>
          <w:color w:val="auto"/>
          <w:szCs w:val="21"/>
          <w:highlight w:val="none"/>
        </w:rPr>
        <w:t>招标人在投标人须知前附表规定的媒介公示中标候选人。</w:t>
      </w:r>
    </w:p>
    <w:p w14:paraId="0EF88DC1">
      <w:pPr>
        <w:spacing w:line="440" w:lineRule="exact"/>
        <w:ind w:firstLine="422" w:firstLineChars="200"/>
        <w:outlineLvl w:val="2"/>
        <w:rPr>
          <w:rFonts w:ascii="宋体" w:hAnsi="宋体" w:cs="宋体"/>
          <w:b/>
          <w:bCs/>
          <w:color w:val="auto"/>
          <w:szCs w:val="21"/>
          <w:highlight w:val="none"/>
        </w:rPr>
      </w:pPr>
      <w:bookmarkStart w:id="490" w:name="_Toc95223375"/>
      <w:bookmarkStart w:id="491" w:name="_Toc12611"/>
      <w:bookmarkStart w:id="492" w:name="_Toc83301727"/>
      <w:bookmarkStart w:id="493" w:name="_Toc35425093"/>
      <w:bookmarkStart w:id="494" w:name="_Toc18325"/>
      <w:bookmarkStart w:id="495" w:name="_Toc35424927"/>
      <w:bookmarkStart w:id="496" w:name="_Toc506107306"/>
      <w:bookmarkStart w:id="497" w:name="_Toc15058891"/>
      <w:bookmarkStart w:id="498" w:name="_Toc35947210"/>
      <w:r>
        <w:rPr>
          <w:rFonts w:hint="eastAsia" w:ascii="宋体" w:hAnsi="宋体" w:cs="宋体"/>
          <w:b/>
          <w:bCs/>
          <w:color w:val="auto"/>
          <w:szCs w:val="21"/>
          <w:highlight w:val="none"/>
        </w:rPr>
        <w:t>7.4 定标</w:t>
      </w:r>
      <w:bookmarkEnd w:id="490"/>
      <w:bookmarkEnd w:id="491"/>
      <w:bookmarkEnd w:id="492"/>
    </w:p>
    <w:p w14:paraId="7062D8BC">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按照投标人须知前附表的规定，由招标人或招标人授权的评标委员会依法确定中标人。排名第一的中标候选人放弃中标、因不可抗力不能履行合同、不按照招标文件要求提交履约保证金，或者被查实存在影响中标结果的违法行为等情形，不符合中标条件的，招标人可以按照评标委员会提出的中标候选人名单排序依次确定其他中标候选人为中标人，也可以重新招标。</w:t>
      </w:r>
    </w:p>
    <w:p w14:paraId="1B21AA45">
      <w:pPr>
        <w:spacing w:line="440" w:lineRule="exact"/>
        <w:ind w:firstLine="422" w:firstLineChars="200"/>
        <w:outlineLvl w:val="2"/>
        <w:rPr>
          <w:rFonts w:ascii="宋体" w:hAnsi="宋体" w:cs="宋体"/>
          <w:b/>
          <w:bCs/>
          <w:color w:val="auto"/>
          <w:szCs w:val="21"/>
          <w:highlight w:val="none"/>
        </w:rPr>
      </w:pPr>
      <w:bookmarkStart w:id="499" w:name="_Toc14217"/>
      <w:r>
        <w:rPr>
          <w:rFonts w:hint="eastAsia" w:ascii="宋体" w:hAnsi="宋体" w:cs="宋体"/>
          <w:b/>
          <w:bCs/>
          <w:color w:val="auto"/>
          <w:szCs w:val="21"/>
          <w:highlight w:val="none"/>
        </w:rPr>
        <w:t>7.5 中标通知</w:t>
      </w:r>
      <w:bookmarkEnd w:id="481"/>
      <w:bookmarkEnd w:id="482"/>
      <w:bookmarkEnd w:id="483"/>
      <w:bookmarkEnd w:id="484"/>
      <w:bookmarkEnd w:id="485"/>
      <w:bookmarkEnd w:id="486"/>
      <w:bookmarkEnd w:id="487"/>
      <w:bookmarkEnd w:id="488"/>
      <w:bookmarkEnd w:id="489"/>
      <w:bookmarkEnd w:id="493"/>
      <w:bookmarkEnd w:id="494"/>
      <w:bookmarkEnd w:id="495"/>
      <w:bookmarkEnd w:id="496"/>
      <w:bookmarkEnd w:id="497"/>
      <w:bookmarkEnd w:id="498"/>
      <w:bookmarkEnd w:id="499"/>
    </w:p>
    <w:p w14:paraId="758DEA36">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在本章第3.3款规定的投标有效期内，招标人以书面形式向中标人发出中标通知书，同时将中标结果通知未中标的投标人。</w:t>
      </w:r>
    </w:p>
    <w:p w14:paraId="605F0EF4">
      <w:pPr>
        <w:spacing w:line="440" w:lineRule="exact"/>
        <w:ind w:firstLine="422" w:firstLineChars="200"/>
        <w:outlineLvl w:val="2"/>
        <w:rPr>
          <w:rFonts w:ascii="宋体" w:hAnsi="宋体" w:cs="宋体"/>
          <w:b/>
          <w:bCs/>
          <w:color w:val="auto"/>
          <w:szCs w:val="21"/>
          <w:highlight w:val="none"/>
        </w:rPr>
      </w:pPr>
      <w:bookmarkStart w:id="500" w:name="_Toc35947211"/>
      <w:bookmarkStart w:id="501" w:name="_Toc4651"/>
      <w:bookmarkStart w:id="502" w:name="_Toc33"/>
      <w:bookmarkStart w:id="503" w:name="_Toc35424928"/>
      <w:bookmarkStart w:id="504" w:name="_Toc35425094"/>
      <w:r>
        <w:rPr>
          <w:rFonts w:hint="eastAsia" w:ascii="宋体" w:hAnsi="宋体" w:cs="宋体"/>
          <w:b/>
          <w:bCs/>
          <w:color w:val="auto"/>
          <w:szCs w:val="21"/>
          <w:highlight w:val="none"/>
        </w:rPr>
        <w:t>7.6 重点项目约谈</w:t>
      </w:r>
      <w:bookmarkEnd w:id="500"/>
      <w:bookmarkEnd w:id="501"/>
      <w:bookmarkEnd w:id="502"/>
      <w:bookmarkEnd w:id="503"/>
      <w:bookmarkEnd w:id="504"/>
    </w:p>
    <w:p w14:paraId="39CD91DD">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实行重点工程项目考察约谈机制。项目单位牵头负责，对预中标单位进行考察约谈、警醒提示，防止非法转包、违法分包、挂靠及出借资质的情况发生。</w:t>
      </w:r>
    </w:p>
    <w:p w14:paraId="1E61A25B">
      <w:pPr>
        <w:spacing w:line="440" w:lineRule="exact"/>
        <w:ind w:firstLine="422" w:firstLineChars="200"/>
        <w:outlineLvl w:val="2"/>
        <w:rPr>
          <w:rFonts w:ascii="宋体" w:hAnsi="宋体" w:cs="宋体"/>
          <w:b/>
          <w:bCs/>
          <w:color w:val="auto"/>
          <w:szCs w:val="21"/>
          <w:highlight w:val="none"/>
        </w:rPr>
      </w:pPr>
      <w:bookmarkStart w:id="505" w:name="_Toc296602460"/>
      <w:bookmarkStart w:id="506" w:name="_Toc35947213"/>
      <w:bookmarkStart w:id="507" w:name="_Toc506107308"/>
      <w:bookmarkStart w:id="508" w:name="_Toc247085728"/>
      <w:bookmarkStart w:id="509" w:name="_Toc324404855"/>
      <w:bookmarkStart w:id="510" w:name="_Toc246996957"/>
      <w:bookmarkStart w:id="511" w:name="_Toc22650"/>
      <w:bookmarkStart w:id="512" w:name="_Toc35425096"/>
      <w:bookmarkStart w:id="513" w:name="_Toc144974538"/>
      <w:bookmarkStart w:id="514" w:name="_Toc152042346"/>
      <w:bookmarkStart w:id="515" w:name="_Toc152045570"/>
      <w:bookmarkStart w:id="516" w:name="_Toc14106"/>
      <w:bookmarkStart w:id="517" w:name="_Toc246996214"/>
      <w:bookmarkStart w:id="518" w:name="_Toc35424930"/>
      <w:bookmarkStart w:id="519" w:name="_Toc179632588"/>
      <w:bookmarkStart w:id="520" w:name="_Toc15058893"/>
      <w:r>
        <w:rPr>
          <w:rFonts w:hint="eastAsia" w:ascii="宋体" w:hAnsi="宋体" w:cs="宋体"/>
          <w:b/>
          <w:bCs/>
          <w:color w:val="auto"/>
          <w:szCs w:val="21"/>
          <w:highlight w:val="none"/>
        </w:rPr>
        <w:t>7.7 签订合同</w:t>
      </w:r>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p>
    <w:p w14:paraId="229E3316">
      <w:pPr>
        <w:wordWrap w:val="0"/>
        <w:spacing w:line="440" w:lineRule="exact"/>
        <w:ind w:firstLine="420" w:firstLineChars="200"/>
        <w:rPr>
          <w:rFonts w:ascii="宋体" w:hAnsi="宋体" w:cs="宋体"/>
          <w:bCs/>
          <w:color w:val="auto"/>
          <w:szCs w:val="21"/>
          <w:highlight w:val="none"/>
        </w:rPr>
      </w:pPr>
      <w:bookmarkStart w:id="521" w:name="_Toc506107309"/>
      <w:bookmarkStart w:id="522" w:name="_Toc15058894"/>
      <w:bookmarkStart w:id="523" w:name="_Toc324404856"/>
      <w:r>
        <w:rPr>
          <w:rFonts w:hint="eastAsia" w:ascii="宋体" w:hAnsi="宋体" w:cs="宋体"/>
          <w:bCs/>
          <w:color w:val="auto"/>
          <w:szCs w:val="21"/>
          <w:highlight w:val="none"/>
        </w:rPr>
        <w:t xml:space="preserve">7.7.1本招标合同将授予按本须知第7.1条规定所确定的中标人。 </w:t>
      </w:r>
    </w:p>
    <w:p w14:paraId="2A1A850C">
      <w:pPr>
        <w:wordWrap w:val="0"/>
        <w:spacing w:line="440" w:lineRule="exact"/>
        <w:ind w:firstLine="420" w:firstLineChars="200"/>
        <w:rPr>
          <w:rFonts w:ascii="宋体" w:hAnsi="宋体" w:cs="宋体"/>
          <w:bCs/>
          <w:color w:val="auto"/>
          <w:szCs w:val="21"/>
          <w:highlight w:val="none"/>
        </w:rPr>
      </w:pPr>
      <w:r>
        <w:rPr>
          <w:rFonts w:hint="eastAsia" w:ascii="宋体" w:hAnsi="宋体" w:cs="宋体"/>
          <w:bCs/>
          <w:color w:val="auto"/>
          <w:szCs w:val="21"/>
          <w:highlight w:val="none"/>
        </w:rPr>
        <w:t>7.7.2</w:t>
      </w:r>
      <w:r>
        <w:rPr>
          <w:rFonts w:hint="eastAsia" w:ascii="宋体" w:hAnsi="宋体" w:cs="宋体"/>
          <w:color w:val="auto"/>
          <w:highlight w:val="none"/>
        </w:rPr>
        <w:t>招标人与中标人将于中标通知书发出之日起30个日历天内，按照招标文件和中标人的投标文件订立书面合同。招标人和中标人不得再行订立背离合同实质性内容的其他协议</w:t>
      </w:r>
      <w:r>
        <w:rPr>
          <w:rFonts w:hint="eastAsia" w:ascii="宋体" w:hAnsi="宋体" w:cs="宋体"/>
          <w:bCs/>
          <w:color w:val="auto"/>
          <w:szCs w:val="21"/>
          <w:highlight w:val="none"/>
        </w:rPr>
        <w:t>。中标人无正当理由拒签合同的，招标人取消其中标资格，其投标保证金不予退还；给招标人造成的损失超过投标保证金数额的，中标人还应当对超过部分予以赔偿。</w:t>
      </w:r>
    </w:p>
    <w:p w14:paraId="566EDDB9">
      <w:pPr>
        <w:wordWrap w:val="0"/>
        <w:spacing w:line="440" w:lineRule="exact"/>
        <w:ind w:firstLine="420" w:firstLineChars="200"/>
        <w:rPr>
          <w:rFonts w:ascii="宋体" w:hAnsi="宋体" w:cs="宋体"/>
          <w:bCs/>
          <w:color w:val="auto"/>
          <w:szCs w:val="21"/>
          <w:highlight w:val="none"/>
        </w:rPr>
      </w:pPr>
      <w:r>
        <w:rPr>
          <w:rFonts w:hint="eastAsia" w:ascii="宋体" w:hAnsi="宋体" w:cs="宋体"/>
          <w:bCs/>
          <w:color w:val="auto"/>
          <w:szCs w:val="21"/>
          <w:highlight w:val="none"/>
        </w:rPr>
        <w:t>7.7.3 发出中标通知书后，招标人无正当理由拒签合同的，招标人向中标人退还投标保证金；给中标人造成损失的，还应当赔偿损失。</w:t>
      </w:r>
    </w:p>
    <w:p w14:paraId="763CDD2B">
      <w:pPr>
        <w:wordWrap w:val="0"/>
        <w:spacing w:line="440" w:lineRule="exact"/>
        <w:ind w:firstLine="420" w:firstLineChars="200"/>
        <w:rPr>
          <w:rFonts w:ascii="宋体" w:hAnsi="宋体" w:cs="宋体"/>
          <w:bCs/>
          <w:color w:val="auto"/>
          <w:szCs w:val="21"/>
          <w:highlight w:val="none"/>
        </w:rPr>
      </w:pPr>
      <w:r>
        <w:rPr>
          <w:rFonts w:hint="eastAsia" w:ascii="宋体" w:hAnsi="宋体" w:cs="宋体"/>
          <w:bCs/>
          <w:color w:val="auto"/>
          <w:szCs w:val="21"/>
          <w:highlight w:val="none"/>
        </w:rPr>
        <w:t>7.7.4  除法定情形外，合同履行期间</w:t>
      </w:r>
      <w:r>
        <w:rPr>
          <w:rFonts w:hint="eastAsia" w:ascii="宋体" w:hAnsi="宋体" w:cs="宋体"/>
          <w:color w:val="auto"/>
          <w:szCs w:val="21"/>
          <w:highlight w:val="none"/>
        </w:rPr>
        <w:t>拟派项目负责人</w:t>
      </w:r>
      <w:r>
        <w:rPr>
          <w:rFonts w:hint="eastAsia" w:ascii="宋体" w:hAnsi="宋体" w:cs="宋体"/>
          <w:bCs/>
          <w:color w:val="auto"/>
          <w:szCs w:val="21"/>
          <w:highlight w:val="none"/>
        </w:rPr>
        <w:t>不得更换。</w:t>
      </w:r>
      <w:r>
        <w:rPr>
          <w:rFonts w:hint="eastAsia" w:ascii="宋体" w:hAnsi="宋体" w:cs="宋体"/>
          <w:color w:val="auto"/>
          <w:szCs w:val="21"/>
          <w:highlight w:val="none"/>
        </w:rPr>
        <w:t>拟派项目负责人</w:t>
      </w:r>
      <w:r>
        <w:rPr>
          <w:rFonts w:hint="eastAsia" w:ascii="宋体" w:hAnsi="宋体" w:cs="宋体"/>
          <w:bCs/>
          <w:color w:val="auto"/>
          <w:szCs w:val="21"/>
          <w:highlight w:val="none"/>
        </w:rPr>
        <w:t>确需变更的，应根据招标文件要求，变更后的</w:t>
      </w:r>
      <w:r>
        <w:rPr>
          <w:rFonts w:hint="eastAsia" w:ascii="宋体" w:hAnsi="宋体" w:cs="宋体"/>
          <w:color w:val="auto"/>
          <w:szCs w:val="21"/>
          <w:highlight w:val="none"/>
        </w:rPr>
        <w:t>项目负责人</w:t>
      </w:r>
      <w:r>
        <w:rPr>
          <w:rFonts w:hint="eastAsia" w:ascii="宋体" w:hAnsi="宋体" w:cs="宋体"/>
          <w:bCs/>
          <w:color w:val="auto"/>
          <w:szCs w:val="21"/>
          <w:highlight w:val="none"/>
        </w:rPr>
        <w:t>不低于投标文件中</w:t>
      </w:r>
      <w:r>
        <w:rPr>
          <w:rFonts w:hint="eastAsia" w:ascii="宋体" w:hAnsi="宋体" w:cs="宋体"/>
          <w:color w:val="auto"/>
          <w:szCs w:val="21"/>
          <w:highlight w:val="none"/>
        </w:rPr>
        <w:t>拟派项目负责人</w:t>
      </w:r>
      <w:r>
        <w:rPr>
          <w:rFonts w:hint="eastAsia" w:ascii="宋体" w:hAnsi="宋体" w:cs="宋体"/>
          <w:bCs/>
          <w:color w:val="auto"/>
          <w:szCs w:val="21"/>
          <w:highlight w:val="none"/>
        </w:rPr>
        <w:t>的资格条件。</w:t>
      </w:r>
    </w:p>
    <w:p w14:paraId="17FDA818">
      <w:pPr>
        <w:wordWrap w:val="0"/>
        <w:spacing w:line="440" w:lineRule="exact"/>
        <w:ind w:firstLine="420" w:firstLineChars="200"/>
        <w:rPr>
          <w:rFonts w:ascii="宋体" w:hAnsi="宋体" w:cs="宋体"/>
          <w:bCs/>
          <w:color w:val="auto"/>
          <w:szCs w:val="21"/>
          <w:highlight w:val="none"/>
        </w:rPr>
      </w:pPr>
      <w:r>
        <w:rPr>
          <w:rFonts w:hint="eastAsia" w:ascii="宋体" w:hAnsi="宋体" w:cs="宋体"/>
          <w:color w:val="auto"/>
          <w:szCs w:val="21"/>
          <w:highlight w:val="none"/>
        </w:rPr>
        <w:t>拟派项目负责人</w:t>
      </w:r>
      <w:r>
        <w:rPr>
          <w:rFonts w:hint="eastAsia" w:ascii="宋体" w:hAnsi="宋体" w:cs="宋体"/>
          <w:bCs/>
          <w:color w:val="auto"/>
          <w:szCs w:val="21"/>
          <w:highlight w:val="none"/>
        </w:rPr>
        <w:t>的变更，应经项目单位审核同意。</w:t>
      </w:r>
    </w:p>
    <w:p w14:paraId="792662BA">
      <w:pPr>
        <w:spacing w:line="440" w:lineRule="exact"/>
        <w:ind w:firstLine="422" w:firstLineChars="200"/>
        <w:outlineLvl w:val="2"/>
        <w:rPr>
          <w:rFonts w:ascii="宋体" w:hAnsi="宋体" w:cs="宋体"/>
          <w:b/>
          <w:bCs/>
          <w:color w:val="auto"/>
          <w:szCs w:val="21"/>
          <w:highlight w:val="none"/>
        </w:rPr>
      </w:pPr>
      <w:bookmarkStart w:id="524" w:name="_Toc9177"/>
      <w:bookmarkStart w:id="525" w:name="_Toc25230"/>
      <w:bookmarkStart w:id="526" w:name="_Toc35947214"/>
      <w:bookmarkStart w:id="527" w:name="_Toc35424931"/>
      <w:bookmarkStart w:id="528" w:name="_Toc35425097"/>
      <w:r>
        <w:rPr>
          <w:rFonts w:hint="eastAsia" w:ascii="宋体" w:hAnsi="宋体" w:cs="宋体"/>
          <w:b/>
          <w:bCs/>
          <w:color w:val="auto"/>
          <w:szCs w:val="21"/>
          <w:highlight w:val="none"/>
        </w:rPr>
        <w:t>8. 纪律和监督</w:t>
      </w:r>
      <w:bookmarkEnd w:id="521"/>
      <w:bookmarkEnd w:id="522"/>
      <w:bookmarkEnd w:id="523"/>
      <w:bookmarkEnd w:id="524"/>
      <w:bookmarkEnd w:id="525"/>
      <w:bookmarkEnd w:id="526"/>
      <w:bookmarkEnd w:id="527"/>
      <w:bookmarkEnd w:id="528"/>
    </w:p>
    <w:p w14:paraId="50A67ABF">
      <w:pPr>
        <w:spacing w:line="440" w:lineRule="exact"/>
        <w:ind w:firstLine="422" w:firstLineChars="200"/>
        <w:outlineLvl w:val="2"/>
        <w:rPr>
          <w:rFonts w:ascii="宋体" w:hAnsi="宋体" w:cs="宋体"/>
          <w:b/>
          <w:bCs/>
          <w:color w:val="auto"/>
          <w:szCs w:val="21"/>
          <w:highlight w:val="none"/>
        </w:rPr>
      </w:pPr>
      <w:bookmarkStart w:id="529" w:name="_Toc179632593"/>
      <w:bookmarkStart w:id="530" w:name="_Toc296602462"/>
      <w:bookmarkStart w:id="531" w:name="_Toc324404857"/>
      <w:bookmarkStart w:id="532" w:name="_Toc247085733"/>
      <w:bookmarkStart w:id="533" w:name="_Toc15058895"/>
      <w:bookmarkStart w:id="534" w:name="_Toc35425098"/>
      <w:bookmarkStart w:id="535" w:name="_Toc152042351"/>
      <w:bookmarkStart w:id="536" w:name="_Toc246996962"/>
      <w:bookmarkStart w:id="537" w:name="_Toc28363"/>
      <w:bookmarkStart w:id="538" w:name="_Toc152045575"/>
      <w:bookmarkStart w:id="539" w:name="_Toc144974543"/>
      <w:bookmarkStart w:id="540" w:name="_Toc35947215"/>
      <w:bookmarkStart w:id="541" w:name="_Toc296590983"/>
      <w:bookmarkStart w:id="542" w:name="_Toc11235"/>
      <w:bookmarkStart w:id="543" w:name="_Toc246996219"/>
      <w:bookmarkStart w:id="544" w:name="_Toc506107310"/>
      <w:bookmarkStart w:id="545" w:name="_Toc35424932"/>
      <w:r>
        <w:rPr>
          <w:rFonts w:hint="eastAsia" w:ascii="宋体" w:hAnsi="宋体" w:cs="宋体"/>
          <w:b/>
          <w:bCs/>
          <w:color w:val="auto"/>
          <w:szCs w:val="21"/>
          <w:highlight w:val="none"/>
        </w:rPr>
        <w:t>8.1 对招标人的纪律要求</w:t>
      </w:r>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p>
    <w:p w14:paraId="1DBFD0EC">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招标人不得泄露招标投标活动中应当保密的情况和资料，不得与投标人串通损害国家利益、社会公共利益或者他人合法权益。</w:t>
      </w:r>
    </w:p>
    <w:p w14:paraId="62BEB7E9">
      <w:pPr>
        <w:spacing w:line="440" w:lineRule="exact"/>
        <w:ind w:firstLine="422" w:firstLineChars="200"/>
        <w:outlineLvl w:val="2"/>
        <w:rPr>
          <w:rFonts w:ascii="宋体" w:hAnsi="宋体" w:cs="宋体"/>
          <w:b/>
          <w:bCs/>
          <w:color w:val="auto"/>
          <w:szCs w:val="21"/>
          <w:highlight w:val="none"/>
        </w:rPr>
      </w:pPr>
      <w:bookmarkStart w:id="546" w:name="_Toc15058896"/>
      <w:bookmarkStart w:id="547" w:name="_Toc144974544"/>
      <w:bookmarkStart w:id="548" w:name="_Toc35424933"/>
      <w:bookmarkStart w:id="549" w:name="_Toc246996220"/>
      <w:bookmarkStart w:id="550" w:name="_Toc17314"/>
      <w:bookmarkStart w:id="551" w:name="_Toc152045576"/>
      <w:bookmarkStart w:id="552" w:name="_Toc35425099"/>
      <w:bookmarkStart w:id="553" w:name="_Toc296602463"/>
      <w:bookmarkStart w:id="554" w:name="_Toc247085734"/>
      <w:bookmarkStart w:id="555" w:name="_Toc324404858"/>
      <w:bookmarkStart w:id="556" w:name="_Toc246996963"/>
      <w:bookmarkStart w:id="557" w:name="_Toc18269"/>
      <w:bookmarkStart w:id="558" w:name="_Toc152042352"/>
      <w:bookmarkStart w:id="559" w:name="_Toc179632594"/>
      <w:bookmarkStart w:id="560" w:name="_Toc35947216"/>
      <w:bookmarkStart w:id="561" w:name="_Toc506107311"/>
      <w:r>
        <w:rPr>
          <w:rFonts w:hint="eastAsia" w:ascii="宋体" w:hAnsi="宋体" w:cs="宋体"/>
          <w:b/>
          <w:bCs/>
          <w:color w:val="auto"/>
          <w:szCs w:val="21"/>
          <w:highlight w:val="none"/>
        </w:rPr>
        <w:t>8.2 对投标人的纪律要求</w:t>
      </w:r>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p>
    <w:p w14:paraId="49A25F1A">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投标人不得相互串通投标或者与招标人串通投标，不得向招标人或者评标委员会成员行贿谋取中标，不得以他人名义投标或者以其他方式弄虚作假骗取中标；投标人不得以任何方式干扰、影响评标工作。</w:t>
      </w:r>
    </w:p>
    <w:p w14:paraId="75275324">
      <w:pPr>
        <w:spacing w:line="440" w:lineRule="exact"/>
        <w:ind w:firstLine="422" w:firstLineChars="200"/>
        <w:outlineLvl w:val="2"/>
        <w:rPr>
          <w:rFonts w:ascii="宋体" w:hAnsi="宋体" w:cs="宋体"/>
          <w:b/>
          <w:bCs/>
          <w:color w:val="auto"/>
          <w:szCs w:val="21"/>
          <w:highlight w:val="none"/>
        </w:rPr>
      </w:pPr>
      <w:bookmarkStart w:id="562" w:name="_Toc296602464"/>
      <w:bookmarkStart w:id="563" w:name="_Toc246996221"/>
      <w:bookmarkStart w:id="564" w:name="_Toc4023"/>
      <w:bookmarkStart w:id="565" w:name="_Toc179632595"/>
      <w:bookmarkStart w:id="566" w:name="_Toc324404859"/>
      <w:bookmarkStart w:id="567" w:name="_Toc152045577"/>
      <w:bookmarkStart w:id="568" w:name="_Toc23747"/>
      <w:bookmarkStart w:id="569" w:name="_Toc144974545"/>
      <w:bookmarkStart w:id="570" w:name="_Toc506107312"/>
      <w:bookmarkStart w:id="571" w:name="_Toc247085735"/>
      <w:bookmarkStart w:id="572" w:name="_Toc35425100"/>
      <w:bookmarkStart w:id="573" w:name="_Toc35424934"/>
      <w:bookmarkStart w:id="574" w:name="_Toc15058897"/>
      <w:bookmarkStart w:id="575" w:name="_Toc246996964"/>
      <w:bookmarkStart w:id="576" w:name="_Toc152042353"/>
      <w:bookmarkStart w:id="577" w:name="_Toc35947217"/>
      <w:r>
        <w:rPr>
          <w:rFonts w:hint="eastAsia" w:ascii="宋体" w:hAnsi="宋体" w:cs="宋体"/>
          <w:b/>
          <w:bCs/>
          <w:color w:val="auto"/>
          <w:szCs w:val="21"/>
          <w:highlight w:val="none"/>
        </w:rPr>
        <w:t>8.3 对评标委员会成员的纪律要求</w:t>
      </w:r>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p>
    <w:p w14:paraId="00AD7F19">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评标委员会成员不得收受他人的财物或者其他好处，不得向他人透露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14:paraId="1AF18EAB">
      <w:pPr>
        <w:spacing w:line="440" w:lineRule="exact"/>
        <w:ind w:firstLine="422" w:firstLineChars="200"/>
        <w:outlineLvl w:val="2"/>
        <w:rPr>
          <w:rFonts w:ascii="宋体" w:hAnsi="宋体" w:cs="宋体"/>
          <w:b/>
          <w:bCs/>
          <w:color w:val="auto"/>
          <w:szCs w:val="21"/>
          <w:highlight w:val="none"/>
        </w:rPr>
      </w:pPr>
      <w:bookmarkStart w:id="578" w:name="_Toc35947218"/>
      <w:bookmarkStart w:id="579" w:name="_Toc324404860"/>
      <w:bookmarkStart w:id="580" w:name="_Toc152045578"/>
      <w:bookmarkStart w:id="581" w:name="_Toc179632596"/>
      <w:bookmarkStart w:id="582" w:name="_Toc247085736"/>
      <w:bookmarkStart w:id="583" w:name="_Toc35425101"/>
      <w:bookmarkStart w:id="584" w:name="_Toc24693"/>
      <w:bookmarkStart w:id="585" w:name="_Toc15058898"/>
      <w:bookmarkStart w:id="586" w:name="_Toc152042354"/>
      <w:bookmarkStart w:id="587" w:name="_Toc35424935"/>
      <w:bookmarkStart w:id="588" w:name="_Toc296602465"/>
      <w:bookmarkStart w:id="589" w:name="_Toc246996222"/>
      <w:bookmarkStart w:id="590" w:name="_Toc506107313"/>
      <w:bookmarkStart w:id="591" w:name="_Toc8865"/>
      <w:bookmarkStart w:id="592" w:name="_Toc246996965"/>
      <w:bookmarkStart w:id="593" w:name="_Toc144974546"/>
      <w:r>
        <w:rPr>
          <w:rFonts w:hint="eastAsia" w:ascii="宋体" w:hAnsi="宋体" w:cs="宋体"/>
          <w:b/>
          <w:bCs/>
          <w:color w:val="auto"/>
          <w:szCs w:val="21"/>
          <w:highlight w:val="none"/>
        </w:rPr>
        <w:t>8.4 对与评标活动有关的工作人员的纪律要求</w:t>
      </w:r>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p>
    <w:p w14:paraId="3FFAEC85">
      <w:pPr>
        <w:spacing w:line="440" w:lineRule="exact"/>
        <w:ind w:firstLine="420" w:firstLineChars="200"/>
        <w:rPr>
          <w:rFonts w:ascii="宋体" w:hAnsi="宋体" w:cs="宋体"/>
          <w:color w:val="auto"/>
          <w:szCs w:val="21"/>
          <w:highlight w:val="none"/>
        </w:rPr>
      </w:pPr>
      <w:bookmarkStart w:id="594" w:name="_Toc152042355"/>
      <w:r>
        <w:rPr>
          <w:rFonts w:hint="eastAsia" w:ascii="宋体" w:hAnsi="宋体" w:cs="宋体"/>
          <w:color w:val="auto"/>
          <w:szCs w:val="21"/>
          <w:highlight w:val="none"/>
        </w:rPr>
        <w:t>与评标活动有关的工作人员不得收受他人的财物或者其他好处，不得向他人透露对投标文件的评审和比较、中标候选人的推荐情况以及与评标有关的其他情况。在评标活动中，与评标活动有关的工作人员不得擅离职守，影响评标程序正常进行。</w:t>
      </w:r>
      <w:bookmarkEnd w:id="594"/>
    </w:p>
    <w:p w14:paraId="18508AB7">
      <w:pPr>
        <w:spacing w:line="440" w:lineRule="exact"/>
        <w:ind w:firstLine="422" w:firstLineChars="200"/>
        <w:outlineLvl w:val="2"/>
        <w:rPr>
          <w:rFonts w:ascii="宋体" w:hAnsi="宋体" w:cs="宋体"/>
          <w:b/>
          <w:bCs/>
          <w:color w:val="auto"/>
          <w:szCs w:val="21"/>
          <w:highlight w:val="none"/>
        </w:rPr>
      </w:pPr>
      <w:bookmarkStart w:id="595" w:name="_Toc35947219"/>
      <w:bookmarkStart w:id="596" w:name="_Toc179632597"/>
      <w:bookmarkStart w:id="597" w:name="_Toc15058899"/>
      <w:bookmarkStart w:id="598" w:name="_Toc35425102"/>
      <w:bookmarkStart w:id="599" w:name="_Toc246996223"/>
      <w:bookmarkStart w:id="600" w:name="_Toc506107314"/>
      <w:bookmarkStart w:id="601" w:name="_Toc35424936"/>
      <w:bookmarkStart w:id="602" w:name="_Toc247085737"/>
      <w:bookmarkStart w:id="603" w:name="_Toc22416"/>
      <w:bookmarkStart w:id="604" w:name="_Toc296602466"/>
      <w:bookmarkStart w:id="605" w:name="_Toc324404861"/>
      <w:bookmarkStart w:id="606" w:name="_Toc246996966"/>
      <w:bookmarkStart w:id="607" w:name="_Toc16237"/>
      <w:bookmarkStart w:id="608" w:name="_Toc152042356"/>
      <w:bookmarkStart w:id="609" w:name="_Toc152045579"/>
      <w:r>
        <w:rPr>
          <w:rFonts w:hint="eastAsia" w:ascii="宋体" w:hAnsi="宋体" w:cs="宋体"/>
          <w:b/>
          <w:bCs/>
          <w:color w:val="auto"/>
          <w:szCs w:val="21"/>
          <w:highlight w:val="none"/>
        </w:rPr>
        <w:t>8.5 投诉</w:t>
      </w:r>
      <w:bookmarkEnd w:id="593"/>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p>
    <w:p w14:paraId="64E648EC">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8.5.1投标人和其他利害关系人认为本次招标活动违反法律法规和规章规定的，有权向有关行政监督部门投诉。投诉应当有明确的请求和必要的证明材料。</w:t>
      </w:r>
    </w:p>
    <w:p w14:paraId="718879A5">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8.5.2投标人和其他利害关系人对评标结果等事项投诉的，应当在开标期间或中标候选人公示期间，先向招标人提出异议。</w:t>
      </w:r>
    </w:p>
    <w:p w14:paraId="1BAFAF12">
      <w:pPr>
        <w:spacing w:line="440" w:lineRule="exact"/>
        <w:ind w:firstLine="422" w:firstLineChars="200"/>
        <w:outlineLvl w:val="2"/>
        <w:rPr>
          <w:rFonts w:ascii="宋体" w:hAnsi="宋体" w:cs="宋体"/>
          <w:b/>
          <w:bCs/>
          <w:color w:val="auto"/>
          <w:szCs w:val="21"/>
          <w:highlight w:val="none"/>
        </w:rPr>
      </w:pPr>
      <w:bookmarkStart w:id="610" w:name="_Toc246996224"/>
      <w:bookmarkStart w:id="611" w:name="_Toc35424937"/>
      <w:bookmarkStart w:id="612" w:name="_Toc324404862"/>
      <w:bookmarkStart w:id="613" w:name="_Toc35425103"/>
      <w:bookmarkStart w:id="614" w:name="_Toc246996967"/>
      <w:bookmarkStart w:id="615" w:name="_Toc247085738"/>
      <w:bookmarkStart w:id="616" w:name="_Toc23581"/>
      <w:bookmarkStart w:id="617" w:name="_Toc23899"/>
      <w:bookmarkStart w:id="618" w:name="_Toc152045580"/>
      <w:bookmarkStart w:id="619" w:name="_Toc15058900"/>
      <w:bookmarkStart w:id="620" w:name="_Toc506107315"/>
      <w:bookmarkStart w:id="621" w:name="_Toc35947220"/>
      <w:bookmarkStart w:id="622" w:name="_Toc179632598"/>
      <w:bookmarkStart w:id="623" w:name="_Toc144974547"/>
      <w:bookmarkStart w:id="624" w:name="_Toc152042357"/>
      <w:r>
        <w:rPr>
          <w:rFonts w:hint="eastAsia" w:ascii="宋体" w:hAnsi="宋体" w:cs="宋体"/>
          <w:b/>
          <w:bCs/>
          <w:color w:val="auto"/>
          <w:szCs w:val="21"/>
          <w:highlight w:val="none"/>
        </w:rPr>
        <w:t>9.变更交易方式</w:t>
      </w:r>
    </w:p>
    <w:p w14:paraId="3DDC1065">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9.1按照滁州市公共资源交易监督管理局相关规定执行。</w:t>
      </w:r>
    </w:p>
    <w:p w14:paraId="3E6DB7C7">
      <w:pPr>
        <w:spacing w:line="440" w:lineRule="exact"/>
        <w:ind w:firstLine="422" w:firstLineChars="200"/>
        <w:outlineLvl w:val="2"/>
        <w:rPr>
          <w:rFonts w:ascii="宋体" w:hAnsi="宋体" w:cs="宋体"/>
          <w:b/>
          <w:bCs/>
          <w:color w:val="auto"/>
          <w:szCs w:val="21"/>
          <w:highlight w:val="none"/>
        </w:rPr>
      </w:pPr>
      <w:r>
        <w:rPr>
          <w:rFonts w:hint="eastAsia" w:ascii="宋体" w:hAnsi="宋体" w:cs="宋体"/>
          <w:b/>
          <w:bCs/>
          <w:color w:val="auto"/>
          <w:szCs w:val="21"/>
          <w:highlight w:val="none"/>
        </w:rPr>
        <w:t>10.需要补充的其他内容</w:t>
      </w:r>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p>
    <w:p w14:paraId="123012E8">
      <w:pPr>
        <w:spacing w:line="440" w:lineRule="exact"/>
        <w:ind w:firstLine="420" w:firstLineChars="200"/>
        <w:rPr>
          <w:rFonts w:ascii="宋体" w:hAnsi="宋体" w:cs="宋体"/>
          <w:color w:val="auto"/>
          <w:highlight w:val="none"/>
        </w:rPr>
      </w:pPr>
      <w:bookmarkStart w:id="625" w:name="_Toc15058901"/>
      <w:r>
        <w:rPr>
          <w:rFonts w:hint="eastAsia" w:ascii="宋体" w:hAnsi="宋体" w:cs="宋体"/>
          <w:color w:val="auto"/>
          <w:highlight w:val="none"/>
        </w:rPr>
        <w:t>需要补充的其他内容：见投标人须知前附表。</w:t>
      </w:r>
      <w:bookmarkEnd w:id="625"/>
    </w:p>
    <w:p w14:paraId="5951F7F1">
      <w:pPr>
        <w:pStyle w:val="43"/>
        <w:rPr>
          <w:rFonts w:ascii="宋体" w:hAnsi="宋体" w:cs="宋体"/>
          <w:color w:val="auto"/>
          <w:highlight w:val="none"/>
        </w:rPr>
      </w:pPr>
    </w:p>
    <w:bookmarkEnd w:id="59"/>
    <w:p w14:paraId="38A1B217">
      <w:pPr>
        <w:pStyle w:val="2"/>
        <w:spacing w:after="0"/>
        <w:rPr>
          <w:rFonts w:ascii="宋体" w:hAnsi="宋体" w:cs="宋体"/>
          <w:color w:val="auto"/>
          <w:sz w:val="32"/>
          <w:szCs w:val="32"/>
          <w:highlight w:val="none"/>
        </w:rPr>
      </w:pPr>
      <w:bookmarkStart w:id="626" w:name="_Toc324404864"/>
      <w:bookmarkStart w:id="627" w:name="_Toc15058902"/>
      <w:bookmarkStart w:id="628" w:name="_Toc35947222"/>
      <w:bookmarkStart w:id="629" w:name="_Toc35425105"/>
      <w:bookmarkStart w:id="630" w:name="_Toc35424939"/>
      <w:bookmarkStart w:id="631" w:name="_Toc506107317"/>
      <w:r>
        <w:rPr>
          <w:rFonts w:hint="eastAsia" w:ascii="宋体" w:hAnsi="宋体" w:cs="宋体"/>
          <w:color w:val="auto"/>
          <w:sz w:val="32"/>
          <w:szCs w:val="32"/>
          <w:highlight w:val="none"/>
        </w:rPr>
        <w:br w:type="page"/>
      </w:r>
      <w:bookmarkStart w:id="632" w:name="_Toc4545"/>
      <w:bookmarkStart w:id="633" w:name="_Toc30835"/>
      <w:r>
        <w:rPr>
          <w:rFonts w:hint="eastAsia" w:ascii="宋体" w:hAnsi="宋体" w:cs="宋体"/>
          <w:color w:val="auto"/>
          <w:sz w:val="32"/>
          <w:szCs w:val="32"/>
          <w:highlight w:val="none"/>
        </w:rPr>
        <w:t>第二章  资格审查</w:t>
      </w:r>
      <w:bookmarkEnd w:id="626"/>
      <w:r>
        <w:rPr>
          <w:rFonts w:hint="eastAsia" w:ascii="宋体" w:hAnsi="宋体" w:cs="宋体"/>
          <w:color w:val="auto"/>
          <w:sz w:val="32"/>
          <w:szCs w:val="32"/>
          <w:highlight w:val="none"/>
        </w:rPr>
        <w:t>办法</w:t>
      </w:r>
      <w:bookmarkEnd w:id="627"/>
      <w:bookmarkEnd w:id="628"/>
      <w:bookmarkEnd w:id="629"/>
      <w:bookmarkEnd w:id="630"/>
      <w:bookmarkEnd w:id="631"/>
      <w:bookmarkEnd w:id="632"/>
      <w:bookmarkEnd w:id="633"/>
    </w:p>
    <w:p w14:paraId="2E39F885">
      <w:pPr>
        <w:jc w:val="center"/>
        <w:rPr>
          <w:rFonts w:ascii="宋体" w:hAnsi="宋体" w:cs="宋体"/>
          <w:color w:val="auto"/>
          <w:highlight w:val="none"/>
        </w:rPr>
      </w:pPr>
      <w:bookmarkStart w:id="634" w:name="_Toc324404865"/>
      <w:bookmarkStart w:id="635" w:name="_Toc35425106"/>
      <w:bookmarkStart w:id="636" w:name="_Toc35947223"/>
      <w:bookmarkStart w:id="637" w:name="_Toc15058903"/>
      <w:bookmarkStart w:id="638" w:name="_Toc506107318"/>
      <w:bookmarkStart w:id="639" w:name="_Toc35424940"/>
      <w:r>
        <w:rPr>
          <w:rFonts w:hint="eastAsia" w:ascii="宋体" w:hAnsi="宋体" w:cs="宋体"/>
          <w:color w:val="auto"/>
          <w:highlight w:val="none"/>
        </w:rPr>
        <w:t>资格审查办法前附表</w:t>
      </w:r>
      <w:bookmarkEnd w:id="634"/>
      <w:bookmarkEnd w:id="635"/>
      <w:bookmarkEnd w:id="636"/>
      <w:bookmarkEnd w:id="637"/>
      <w:bookmarkEnd w:id="638"/>
      <w:bookmarkEnd w:id="639"/>
    </w:p>
    <w:tbl>
      <w:tblPr>
        <w:tblStyle w:val="44"/>
        <w:tblW w:w="100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5"/>
        <w:gridCol w:w="872"/>
        <w:gridCol w:w="6904"/>
        <w:gridCol w:w="1525"/>
      </w:tblGrid>
      <w:tr w14:paraId="0C6E8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1637" w:type="dxa"/>
            <w:gridSpan w:val="2"/>
            <w:vAlign w:val="center"/>
          </w:tcPr>
          <w:p w14:paraId="00FFC9D5">
            <w:pPr>
              <w:spacing w:line="440" w:lineRule="exact"/>
              <w:jc w:val="center"/>
              <w:rPr>
                <w:rFonts w:ascii="宋体" w:hAnsi="宋体" w:cs="宋体"/>
                <w:b/>
                <w:bCs/>
                <w:color w:val="auto"/>
                <w:szCs w:val="21"/>
                <w:highlight w:val="none"/>
              </w:rPr>
            </w:pPr>
            <w:r>
              <w:rPr>
                <w:rFonts w:hint="eastAsia" w:ascii="宋体" w:hAnsi="宋体" w:cs="宋体"/>
                <w:b/>
                <w:bCs/>
                <w:color w:val="auto"/>
                <w:szCs w:val="21"/>
                <w:highlight w:val="none"/>
              </w:rPr>
              <w:t>条款号</w:t>
            </w:r>
          </w:p>
        </w:tc>
        <w:tc>
          <w:tcPr>
            <w:tcW w:w="6904" w:type="dxa"/>
            <w:vAlign w:val="center"/>
          </w:tcPr>
          <w:p w14:paraId="6FEE96BD">
            <w:pPr>
              <w:spacing w:line="440" w:lineRule="exact"/>
              <w:jc w:val="center"/>
              <w:rPr>
                <w:rFonts w:ascii="宋体" w:hAnsi="宋体" w:cs="宋体"/>
                <w:b/>
                <w:bCs/>
                <w:color w:val="auto"/>
                <w:szCs w:val="21"/>
                <w:highlight w:val="none"/>
              </w:rPr>
            </w:pPr>
            <w:r>
              <w:rPr>
                <w:rFonts w:hint="eastAsia" w:ascii="宋体" w:hAnsi="宋体" w:cs="宋体"/>
                <w:b/>
                <w:bCs/>
                <w:color w:val="auto"/>
                <w:szCs w:val="21"/>
                <w:highlight w:val="none"/>
              </w:rPr>
              <w:t>审查内容</w:t>
            </w:r>
          </w:p>
        </w:tc>
        <w:tc>
          <w:tcPr>
            <w:tcW w:w="1525" w:type="dxa"/>
            <w:vAlign w:val="center"/>
          </w:tcPr>
          <w:p w14:paraId="2F19D0DD">
            <w:pPr>
              <w:spacing w:line="440" w:lineRule="exact"/>
              <w:jc w:val="center"/>
              <w:rPr>
                <w:rFonts w:ascii="宋体" w:hAnsi="宋体" w:cs="宋体"/>
                <w:b/>
                <w:bCs/>
                <w:color w:val="auto"/>
                <w:szCs w:val="21"/>
                <w:highlight w:val="none"/>
              </w:rPr>
            </w:pPr>
            <w:r>
              <w:rPr>
                <w:rFonts w:hint="eastAsia" w:ascii="宋体" w:hAnsi="宋体" w:cs="宋体"/>
                <w:b/>
                <w:bCs/>
                <w:color w:val="auto"/>
                <w:szCs w:val="21"/>
                <w:highlight w:val="none"/>
              </w:rPr>
              <w:t>评审标准</w:t>
            </w:r>
          </w:p>
        </w:tc>
      </w:tr>
      <w:tr w14:paraId="33C780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65" w:type="dxa"/>
            <w:vMerge w:val="restart"/>
            <w:vAlign w:val="center"/>
          </w:tcPr>
          <w:p w14:paraId="07ED3F5A">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1</w:t>
            </w:r>
          </w:p>
        </w:tc>
        <w:tc>
          <w:tcPr>
            <w:tcW w:w="872" w:type="dxa"/>
            <w:vMerge w:val="restart"/>
            <w:vAlign w:val="center"/>
          </w:tcPr>
          <w:p w14:paraId="33A414F8">
            <w:pPr>
              <w:spacing w:line="440" w:lineRule="exact"/>
              <w:jc w:val="center"/>
              <w:rPr>
                <w:rFonts w:ascii="宋体" w:hAnsi="宋体" w:cs="宋体"/>
                <w:b/>
                <w:bCs/>
                <w:color w:val="auto"/>
                <w:szCs w:val="21"/>
                <w:highlight w:val="none"/>
              </w:rPr>
            </w:pPr>
            <w:r>
              <w:rPr>
                <w:rFonts w:hint="eastAsia" w:ascii="宋体" w:hAnsi="宋体" w:cs="宋体"/>
                <w:b/>
                <w:bCs/>
                <w:color w:val="auto"/>
                <w:szCs w:val="21"/>
                <w:highlight w:val="none"/>
              </w:rPr>
              <w:t>审查资料</w:t>
            </w:r>
          </w:p>
        </w:tc>
        <w:tc>
          <w:tcPr>
            <w:tcW w:w="6904" w:type="dxa"/>
            <w:vAlign w:val="center"/>
          </w:tcPr>
          <w:p w14:paraId="38C54D8E">
            <w:pPr>
              <w:spacing w:line="440" w:lineRule="exact"/>
              <w:rPr>
                <w:rFonts w:ascii="宋体" w:hAnsi="宋体" w:cs="宋体"/>
                <w:color w:val="auto"/>
                <w:szCs w:val="21"/>
                <w:highlight w:val="none"/>
              </w:rPr>
            </w:pPr>
            <w:r>
              <w:rPr>
                <w:rFonts w:hint="eastAsia" w:ascii="宋体" w:hAnsi="宋体" w:cs="宋体"/>
                <w:color w:val="auto"/>
                <w:szCs w:val="21"/>
                <w:highlight w:val="none"/>
              </w:rPr>
              <w:t>法定代表人身份证明文件和本人有效身份证（或法定代表人授权委托书和委托代理人有效身份证）</w:t>
            </w:r>
          </w:p>
        </w:tc>
        <w:tc>
          <w:tcPr>
            <w:tcW w:w="1525" w:type="dxa"/>
            <w:vMerge w:val="restart"/>
            <w:vAlign w:val="center"/>
          </w:tcPr>
          <w:p w14:paraId="043D03CD">
            <w:pPr>
              <w:spacing w:line="360" w:lineRule="exact"/>
              <w:jc w:val="center"/>
              <w:rPr>
                <w:rFonts w:ascii="宋体" w:hAnsi="宋体" w:cs="宋体"/>
                <w:b/>
                <w:color w:val="auto"/>
                <w:szCs w:val="21"/>
                <w:highlight w:val="none"/>
              </w:rPr>
            </w:pPr>
            <w:r>
              <w:rPr>
                <w:rFonts w:hint="eastAsia" w:ascii="宋体" w:hAnsi="宋体" w:cs="宋体"/>
                <w:color w:val="auto"/>
                <w:szCs w:val="21"/>
                <w:highlight w:val="none"/>
              </w:rPr>
              <w:t>检验投标文件</w:t>
            </w:r>
          </w:p>
        </w:tc>
      </w:tr>
      <w:tr w14:paraId="1F697E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765" w:type="dxa"/>
            <w:vMerge w:val="continue"/>
            <w:vAlign w:val="center"/>
          </w:tcPr>
          <w:p w14:paraId="0792DA7B">
            <w:pPr>
              <w:spacing w:line="440" w:lineRule="exact"/>
              <w:jc w:val="center"/>
              <w:rPr>
                <w:rFonts w:ascii="宋体" w:hAnsi="宋体" w:cs="宋体"/>
                <w:color w:val="auto"/>
                <w:szCs w:val="21"/>
                <w:highlight w:val="none"/>
              </w:rPr>
            </w:pPr>
          </w:p>
        </w:tc>
        <w:tc>
          <w:tcPr>
            <w:tcW w:w="872" w:type="dxa"/>
            <w:vMerge w:val="continue"/>
            <w:vAlign w:val="center"/>
          </w:tcPr>
          <w:p w14:paraId="27D44A7F">
            <w:pPr>
              <w:spacing w:line="440" w:lineRule="exact"/>
              <w:jc w:val="center"/>
              <w:rPr>
                <w:rFonts w:ascii="宋体" w:hAnsi="宋体" w:cs="宋体"/>
                <w:b/>
                <w:bCs/>
                <w:color w:val="auto"/>
                <w:szCs w:val="21"/>
                <w:highlight w:val="none"/>
              </w:rPr>
            </w:pPr>
          </w:p>
        </w:tc>
        <w:tc>
          <w:tcPr>
            <w:tcW w:w="6904" w:type="dxa"/>
            <w:vAlign w:val="center"/>
          </w:tcPr>
          <w:p w14:paraId="163AAB41">
            <w:pPr>
              <w:spacing w:line="440" w:lineRule="exact"/>
              <w:rPr>
                <w:rFonts w:ascii="宋体" w:hAnsi="宋体" w:cs="宋体"/>
                <w:color w:val="auto"/>
                <w:szCs w:val="21"/>
                <w:highlight w:val="none"/>
              </w:rPr>
            </w:pPr>
            <w:r>
              <w:rPr>
                <w:rFonts w:hint="eastAsia" w:ascii="宋体" w:hAnsi="宋体" w:cs="宋体"/>
                <w:color w:val="auto"/>
                <w:szCs w:val="21"/>
                <w:highlight w:val="none"/>
              </w:rPr>
              <w:t>诚信投标承诺书</w:t>
            </w:r>
          </w:p>
        </w:tc>
        <w:tc>
          <w:tcPr>
            <w:tcW w:w="1525" w:type="dxa"/>
            <w:vMerge w:val="continue"/>
            <w:vAlign w:val="center"/>
          </w:tcPr>
          <w:p w14:paraId="63C88A2B">
            <w:pPr>
              <w:spacing w:line="360" w:lineRule="exact"/>
              <w:jc w:val="center"/>
              <w:rPr>
                <w:rFonts w:ascii="宋体" w:hAnsi="宋体" w:cs="宋体"/>
                <w:b/>
                <w:color w:val="auto"/>
                <w:szCs w:val="21"/>
                <w:highlight w:val="none"/>
              </w:rPr>
            </w:pPr>
          </w:p>
        </w:tc>
      </w:tr>
      <w:tr w14:paraId="14077E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765" w:type="dxa"/>
            <w:vMerge w:val="continue"/>
            <w:vAlign w:val="center"/>
          </w:tcPr>
          <w:p w14:paraId="2D1CFC92">
            <w:pPr>
              <w:spacing w:line="440" w:lineRule="exact"/>
              <w:jc w:val="center"/>
              <w:rPr>
                <w:rFonts w:ascii="宋体" w:hAnsi="宋体" w:cs="宋体"/>
                <w:color w:val="auto"/>
                <w:szCs w:val="21"/>
                <w:highlight w:val="none"/>
              </w:rPr>
            </w:pPr>
          </w:p>
        </w:tc>
        <w:tc>
          <w:tcPr>
            <w:tcW w:w="872" w:type="dxa"/>
            <w:vMerge w:val="continue"/>
            <w:vAlign w:val="center"/>
          </w:tcPr>
          <w:p w14:paraId="4C124408">
            <w:pPr>
              <w:spacing w:line="440" w:lineRule="exact"/>
              <w:jc w:val="center"/>
              <w:rPr>
                <w:rFonts w:ascii="宋体" w:hAnsi="宋体" w:cs="宋体"/>
                <w:b/>
                <w:bCs/>
                <w:color w:val="auto"/>
                <w:szCs w:val="21"/>
                <w:highlight w:val="none"/>
              </w:rPr>
            </w:pPr>
          </w:p>
        </w:tc>
        <w:tc>
          <w:tcPr>
            <w:tcW w:w="6904" w:type="dxa"/>
            <w:vAlign w:val="center"/>
          </w:tcPr>
          <w:p w14:paraId="73C8BC52">
            <w:pPr>
              <w:spacing w:line="440" w:lineRule="exact"/>
              <w:rPr>
                <w:rFonts w:ascii="宋体" w:hAnsi="宋体" w:cs="宋体"/>
                <w:color w:val="auto"/>
                <w:szCs w:val="21"/>
                <w:highlight w:val="none"/>
              </w:rPr>
            </w:pPr>
            <w:r>
              <w:rPr>
                <w:rFonts w:hint="eastAsia" w:ascii="宋体" w:hAnsi="宋体" w:cs="宋体"/>
                <w:color w:val="auto"/>
                <w:szCs w:val="21"/>
                <w:highlight w:val="none"/>
              </w:rPr>
              <w:t>企业法人营业执照</w:t>
            </w:r>
          </w:p>
        </w:tc>
        <w:tc>
          <w:tcPr>
            <w:tcW w:w="1525" w:type="dxa"/>
            <w:vMerge w:val="continue"/>
            <w:vAlign w:val="center"/>
          </w:tcPr>
          <w:p w14:paraId="76ED98B0">
            <w:pPr>
              <w:spacing w:line="360" w:lineRule="exact"/>
              <w:jc w:val="center"/>
              <w:rPr>
                <w:rFonts w:ascii="宋体" w:hAnsi="宋体" w:cs="宋体"/>
                <w:b/>
                <w:color w:val="auto"/>
                <w:szCs w:val="21"/>
                <w:highlight w:val="none"/>
              </w:rPr>
            </w:pPr>
          </w:p>
        </w:tc>
      </w:tr>
      <w:tr w14:paraId="225A01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765" w:type="dxa"/>
            <w:vMerge w:val="continue"/>
            <w:vAlign w:val="center"/>
          </w:tcPr>
          <w:p w14:paraId="7E879B4F">
            <w:pPr>
              <w:spacing w:line="440" w:lineRule="exact"/>
              <w:jc w:val="center"/>
              <w:rPr>
                <w:rFonts w:ascii="宋体" w:hAnsi="宋体" w:cs="宋体"/>
                <w:color w:val="auto"/>
                <w:szCs w:val="21"/>
                <w:highlight w:val="none"/>
              </w:rPr>
            </w:pPr>
          </w:p>
        </w:tc>
        <w:tc>
          <w:tcPr>
            <w:tcW w:w="872" w:type="dxa"/>
            <w:vMerge w:val="continue"/>
            <w:vAlign w:val="center"/>
          </w:tcPr>
          <w:p w14:paraId="335E2AA0">
            <w:pPr>
              <w:spacing w:line="440" w:lineRule="exact"/>
              <w:jc w:val="center"/>
              <w:rPr>
                <w:rFonts w:ascii="宋体" w:hAnsi="宋体" w:cs="宋体"/>
                <w:b/>
                <w:bCs/>
                <w:color w:val="auto"/>
                <w:szCs w:val="21"/>
                <w:highlight w:val="none"/>
              </w:rPr>
            </w:pPr>
          </w:p>
        </w:tc>
        <w:tc>
          <w:tcPr>
            <w:tcW w:w="6904" w:type="dxa"/>
            <w:vAlign w:val="center"/>
          </w:tcPr>
          <w:p w14:paraId="3E95F898">
            <w:pPr>
              <w:spacing w:line="440" w:lineRule="exact"/>
              <w:rPr>
                <w:rFonts w:ascii="宋体" w:hAnsi="宋体" w:cs="宋体"/>
                <w:color w:val="auto"/>
                <w:szCs w:val="21"/>
                <w:highlight w:val="none"/>
              </w:rPr>
            </w:pPr>
            <w:r>
              <w:rPr>
                <w:rFonts w:hint="eastAsia" w:ascii="宋体" w:hAnsi="宋体" w:cs="宋体"/>
                <w:color w:val="auto"/>
                <w:szCs w:val="21"/>
                <w:highlight w:val="none"/>
              </w:rPr>
              <w:t>企业资质证书</w:t>
            </w:r>
          </w:p>
        </w:tc>
        <w:tc>
          <w:tcPr>
            <w:tcW w:w="1525" w:type="dxa"/>
            <w:vMerge w:val="continue"/>
            <w:vAlign w:val="center"/>
          </w:tcPr>
          <w:p w14:paraId="1A6EA91A">
            <w:pPr>
              <w:spacing w:line="360" w:lineRule="exact"/>
              <w:jc w:val="center"/>
              <w:rPr>
                <w:rFonts w:ascii="宋体" w:hAnsi="宋体" w:cs="宋体"/>
                <w:color w:val="auto"/>
                <w:szCs w:val="21"/>
                <w:highlight w:val="none"/>
              </w:rPr>
            </w:pPr>
          </w:p>
        </w:tc>
      </w:tr>
      <w:tr w14:paraId="55CCD3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765" w:type="dxa"/>
            <w:vMerge w:val="continue"/>
            <w:vAlign w:val="center"/>
          </w:tcPr>
          <w:p w14:paraId="71FED1F0">
            <w:pPr>
              <w:spacing w:line="440" w:lineRule="exact"/>
              <w:jc w:val="center"/>
              <w:rPr>
                <w:rFonts w:ascii="宋体" w:hAnsi="宋体" w:cs="宋体"/>
                <w:color w:val="auto"/>
                <w:szCs w:val="21"/>
                <w:highlight w:val="none"/>
              </w:rPr>
            </w:pPr>
          </w:p>
        </w:tc>
        <w:tc>
          <w:tcPr>
            <w:tcW w:w="872" w:type="dxa"/>
            <w:vMerge w:val="continue"/>
            <w:vAlign w:val="center"/>
          </w:tcPr>
          <w:p w14:paraId="57C8D5B4">
            <w:pPr>
              <w:spacing w:line="440" w:lineRule="exact"/>
              <w:jc w:val="center"/>
              <w:rPr>
                <w:rFonts w:ascii="宋体" w:hAnsi="宋体" w:cs="宋体"/>
                <w:b/>
                <w:bCs/>
                <w:color w:val="auto"/>
                <w:szCs w:val="21"/>
                <w:highlight w:val="none"/>
              </w:rPr>
            </w:pPr>
          </w:p>
        </w:tc>
        <w:tc>
          <w:tcPr>
            <w:tcW w:w="6904" w:type="dxa"/>
            <w:vAlign w:val="center"/>
          </w:tcPr>
          <w:p w14:paraId="4EBB3B6C">
            <w:pPr>
              <w:spacing w:line="440" w:lineRule="exact"/>
              <w:rPr>
                <w:rFonts w:ascii="宋体" w:hAnsi="宋体" w:cs="宋体"/>
                <w:color w:val="auto"/>
                <w:szCs w:val="21"/>
                <w:highlight w:val="none"/>
              </w:rPr>
            </w:pPr>
            <w:r>
              <w:rPr>
                <w:rFonts w:hint="eastAsia" w:ascii="宋体" w:hAnsi="宋体" w:cs="宋体"/>
                <w:color w:val="auto"/>
                <w:szCs w:val="21"/>
                <w:highlight w:val="none"/>
              </w:rPr>
              <w:t>拟派项目负责人身份证及职称证书</w:t>
            </w:r>
          </w:p>
        </w:tc>
        <w:tc>
          <w:tcPr>
            <w:tcW w:w="1525" w:type="dxa"/>
            <w:vMerge w:val="continue"/>
            <w:vAlign w:val="center"/>
          </w:tcPr>
          <w:p w14:paraId="7FE380B0">
            <w:pPr>
              <w:spacing w:line="360" w:lineRule="exact"/>
              <w:jc w:val="center"/>
              <w:rPr>
                <w:rFonts w:ascii="宋体" w:hAnsi="宋体" w:cs="宋体"/>
                <w:color w:val="auto"/>
                <w:szCs w:val="21"/>
                <w:highlight w:val="none"/>
              </w:rPr>
            </w:pPr>
          </w:p>
        </w:tc>
      </w:tr>
      <w:tr w14:paraId="516B5B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765" w:type="dxa"/>
            <w:vMerge w:val="continue"/>
            <w:vAlign w:val="center"/>
          </w:tcPr>
          <w:p w14:paraId="2DE26C4B">
            <w:pPr>
              <w:spacing w:line="440" w:lineRule="exact"/>
              <w:jc w:val="center"/>
              <w:rPr>
                <w:rFonts w:ascii="宋体" w:hAnsi="宋体" w:cs="宋体"/>
                <w:color w:val="auto"/>
                <w:szCs w:val="21"/>
                <w:highlight w:val="none"/>
              </w:rPr>
            </w:pPr>
            <w:bookmarkStart w:id="640" w:name="_Toc35425107"/>
            <w:bookmarkStart w:id="641" w:name="_Toc35947224"/>
            <w:bookmarkStart w:id="642" w:name="_Toc15652"/>
            <w:bookmarkStart w:id="643" w:name="_Toc506107319"/>
            <w:bookmarkStart w:id="644" w:name="_Toc35424941"/>
            <w:bookmarkStart w:id="645" w:name="_Toc15058904"/>
            <w:bookmarkStart w:id="646" w:name="_Toc324404866"/>
          </w:p>
        </w:tc>
        <w:tc>
          <w:tcPr>
            <w:tcW w:w="872" w:type="dxa"/>
            <w:vMerge w:val="continue"/>
            <w:vAlign w:val="center"/>
          </w:tcPr>
          <w:p w14:paraId="62615329">
            <w:pPr>
              <w:spacing w:line="440" w:lineRule="exact"/>
              <w:jc w:val="center"/>
              <w:rPr>
                <w:rFonts w:ascii="宋体" w:hAnsi="宋体" w:cs="宋体"/>
                <w:b/>
                <w:bCs/>
                <w:color w:val="auto"/>
                <w:szCs w:val="21"/>
                <w:highlight w:val="none"/>
              </w:rPr>
            </w:pPr>
          </w:p>
        </w:tc>
        <w:tc>
          <w:tcPr>
            <w:tcW w:w="6904" w:type="dxa"/>
            <w:vAlign w:val="center"/>
          </w:tcPr>
          <w:p w14:paraId="4AC02489">
            <w:pPr>
              <w:pStyle w:val="43"/>
              <w:spacing w:after="0" w:line="440" w:lineRule="exact"/>
              <w:ind w:left="0" w:leftChars="0" w:firstLine="0" w:firstLineChars="0"/>
              <w:rPr>
                <w:rFonts w:ascii="宋体" w:hAnsi="宋体" w:cs="宋体"/>
                <w:color w:val="auto"/>
                <w:highlight w:val="none"/>
              </w:rPr>
            </w:pPr>
            <w:r>
              <w:rPr>
                <w:rFonts w:hint="eastAsia" w:ascii="宋体" w:hAnsi="宋体" w:cs="宋体"/>
                <w:color w:val="auto"/>
                <w:szCs w:val="21"/>
                <w:highlight w:val="none"/>
              </w:rPr>
              <w:t>投标申请人的法定代表人(或委托代理人)和拟派项目负责人须持有社保部门出具的本单位为其缴纳的投标前连续三个月的养老保险证明（或官网在线打印件），证明文件两个月内有效（同一人担任不同公司法定代表人的，该法定代表人参加本项目投标时须提供本人在其他公司任法定代表人的营业执照及为其缴纳养老保险证明材料），投标申请人是事业单位的，暂未缴纳社保的，须由其主管部门出具证明。</w:t>
            </w:r>
          </w:p>
        </w:tc>
        <w:tc>
          <w:tcPr>
            <w:tcW w:w="1525" w:type="dxa"/>
            <w:vMerge w:val="continue"/>
            <w:vAlign w:val="center"/>
          </w:tcPr>
          <w:p w14:paraId="4846710A">
            <w:pPr>
              <w:spacing w:line="360" w:lineRule="exact"/>
              <w:jc w:val="center"/>
              <w:rPr>
                <w:rFonts w:ascii="宋体" w:hAnsi="宋体" w:cs="宋体"/>
                <w:b/>
                <w:color w:val="auto"/>
                <w:szCs w:val="21"/>
                <w:highlight w:val="none"/>
              </w:rPr>
            </w:pPr>
          </w:p>
        </w:tc>
      </w:tr>
    </w:tbl>
    <w:p w14:paraId="1E97D508">
      <w:pPr>
        <w:spacing w:line="440" w:lineRule="exact"/>
        <w:ind w:firstLine="422" w:firstLineChars="200"/>
        <w:outlineLvl w:val="1"/>
        <w:rPr>
          <w:rFonts w:ascii="宋体" w:hAnsi="宋体" w:cs="宋体"/>
          <w:b/>
          <w:bCs/>
          <w:color w:val="auto"/>
          <w:szCs w:val="21"/>
          <w:highlight w:val="none"/>
        </w:rPr>
      </w:pPr>
      <w:bookmarkStart w:id="647" w:name="_Toc24300"/>
      <w:r>
        <w:rPr>
          <w:rFonts w:hint="eastAsia" w:ascii="宋体" w:hAnsi="宋体" w:cs="宋体"/>
          <w:b/>
          <w:bCs/>
          <w:color w:val="auto"/>
          <w:szCs w:val="21"/>
          <w:highlight w:val="none"/>
        </w:rPr>
        <w:t>1.</w:t>
      </w:r>
      <w:bookmarkEnd w:id="640"/>
      <w:bookmarkEnd w:id="641"/>
      <w:bookmarkEnd w:id="642"/>
      <w:bookmarkEnd w:id="643"/>
      <w:bookmarkEnd w:id="644"/>
      <w:bookmarkEnd w:id="645"/>
      <w:bookmarkEnd w:id="646"/>
      <w:bookmarkStart w:id="648" w:name="_Toc15058909"/>
      <w:bookmarkStart w:id="649" w:name="_Toc324404867"/>
      <w:bookmarkStart w:id="650" w:name="_Toc506107320"/>
      <w:bookmarkStart w:id="651" w:name="_Toc35425108"/>
      <w:bookmarkStart w:id="652" w:name="_Toc23303"/>
      <w:bookmarkStart w:id="653" w:name="_Toc35424942"/>
      <w:bookmarkStart w:id="654" w:name="_Toc35947225"/>
      <w:r>
        <w:rPr>
          <w:rFonts w:hint="eastAsia" w:ascii="宋体" w:hAnsi="宋体" w:cs="宋体"/>
          <w:b/>
          <w:bCs/>
          <w:color w:val="auto"/>
          <w:szCs w:val="21"/>
          <w:highlight w:val="none"/>
        </w:rPr>
        <w:t>审查办法</w:t>
      </w:r>
      <w:bookmarkEnd w:id="647"/>
      <w:bookmarkEnd w:id="648"/>
      <w:bookmarkEnd w:id="649"/>
      <w:bookmarkEnd w:id="650"/>
      <w:bookmarkEnd w:id="651"/>
      <w:bookmarkEnd w:id="652"/>
      <w:bookmarkEnd w:id="653"/>
      <w:bookmarkEnd w:id="654"/>
    </w:p>
    <w:p w14:paraId="41D44B47">
      <w:pPr>
        <w:adjustRightInd w:val="0"/>
        <w:snapToGrid w:val="0"/>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1、由资格审查委员会（评标委员会）按资格审查办法前附表中资格审查必要合格条件评审表要求对投标人审查资料进行核验和信用查询。</w:t>
      </w:r>
      <w:bookmarkStart w:id="655" w:name="_Toc506107321"/>
      <w:bookmarkStart w:id="656" w:name="_Toc324404868"/>
      <w:bookmarkStart w:id="657" w:name="_Toc21611171"/>
      <w:r>
        <w:rPr>
          <w:rFonts w:hint="eastAsia" w:ascii="宋体" w:hAnsi="宋体" w:cs="宋体"/>
          <w:color w:val="auto"/>
          <w:szCs w:val="21"/>
          <w:highlight w:val="none"/>
        </w:rPr>
        <w:t>如评标专家在检验投标文件过程中，如果由于投标人自身原因导致评标专家无法查看并检验投标文件中相关资料的，否决其投标。即使投标人将原件携带至现场的，同样按否决投标处理。</w:t>
      </w:r>
    </w:p>
    <w:p w14:paraId="0858C58D">
      <w:pPr>
        <w:spacing w:line="440" w:lineRule="exact"/>
        <w:ind w:firstLine="422" w:firstLineChars="200"/>
        <w:outlineLvl w:val="1"/>
        <w:rPr>
          <w:rFonts w:ascii="宋体" w:hAnsi="宋体" w:cs="宋体"/>
          <w:b/>
          <w:bCs/>
          <w:color w:val="auto"/>
          <w:szCs w:val="21"/>
          <w:highlight w:val="none"/>
        </w:rPr>
      </w:pPr>
      <w:bookmarkStart w:id="658" w:name="_Toc14739"/>
      <w:bookmarkStart w:id="659" w:name="_Toc409"/>
      <w:r>
        <w:rPr>
          <w:rFonts w:hint="eastAsia" w:ascii="宋体" w:hAnsi="宋体" w:cs="宋体"/>
          <w:b/>
          <w:bCs/>
          <w:color w:val="auto"/>
          <w:szCs w:val="21"/>
          <w:highlight w:val="none"/>
        </w:rPr>
        <w:t>2.资格审查委员会和审查标准</w:t>
      </w:r>
      <w:bookmarkEnd w:id="655"/>
      <w:bookmarkEnd w:id="656"/>
      <w:bookmarkEnd w:id="657"/>
      <w:bookmarkEnd w:id="658"/>
      <w:bookmarkEnd w:id="659"/>
    </w:p>
    <w:p w14:paraId="509F7522">
      <w:pPr>
        <w:spacing w:line="440" w:lineRule="exact"/>
        <w:ind w:firstLine="420" w:firstLineChars="200"/>
        <w:rPr>
          <w:rFonts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资格审查由招标人组建的资格审查委员会（或评标委员会）负责。审查标准见资格审查办法前附表。</w:t>
      </w:r>
      <w:bookmarkStart w:id="747" w:name="_GoBack"/>
      <w:bookmarkEnd w:id="747"/>
    </w:p>
    <w:p w14:paraId="105D7B10">
      <w:pPr>
        <w:spacing w:line="440" w:lineRule="exact"/>
        <w:ind w:firstLine="422" w:firstLineChars="200"/>
        <w:outlineLvl w:val="1"/>
        <w:rPr>
          <w:rFonts w:ascii="宋体" w:hAnsi="宋体" w:cs="宋体"/>
          <w:b/>
          <w:bCs/>
          <w:color w:val="auto"/>
          <w:szCs w:val="21"/>
          <w:highlight w:val="none"/>
        </w:rPr>
      </w:pPr>
      <w:bookmarkStart w:id="660" w:name="_Toc21611172"/>
      <w:bookmarkStart w:id="661" w:name="_Toc19299"/>
      <w:bookmarkStart w:id="662" w:name="_Toc32217"/>
      <w:bookmarkStart w:id="663" w:name="_Toc506107322"/>
      <w:bookmarkStart w:id="664" w:name="_Toc324404869"/>
      <w:r>
        <w:rPr>
          <w:rFonts w:hint="eastAsia" w:ascii="宋体" w:hAnsi="宋体" w:cs="宋体"/>
          <w:b/>
          <w:bCs/>
          <w:color w:val="auto"/>
          <w:szCs w:val="21"/>
          <w:highlight w:val="none"/>
        </w:rPr>
        <w:t>3.审查结果</w:t>
      </w:r>
      <w:bookmarkEnd w:id="660"/>
      <w:bookmarkEnd w:id="661"/>
      <w:bookmarkEnd w:id="662"/>
      <w:bookmarkEnd w:id="663"/>
      <w:bookmarkEnd w:id="664"/>
    </w:p>
    <w:p w14:paraId="6D46C2E4">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只有通过资格审查的投标人才能进入下一步的评标程序。</w:t>
      </w:r>
    </w:p>
    <w:p w14:paraId="4EAF99DE">
      <w:pPr>
        <w:pStyle w:val="43"/>
        <w:rPr>
          <w:rFonts w:ascii="宋体" w:hAnsi="宋体" w:cs="宋体"/>
          <w:color w:val="auto"/>
          <w:szCs w:val="21"/>
          <w:highlight w:val="none"/>
        </w:rPr>
      </w:pPr>
    </w:p>
    <w:p w14:paraId="41AEA8FF">
      <w:pPr>
        <w:pStyle w:val="2"/>
        <w:spacing w:before="100" w:after="100"/>
        <w:rPr>
          <w:rFonts w:ascii="宋体" w:hAnsi="宋体" w:cs="宋体"/>
          <w:color w:val="auto"/>
          <w:sz w:val="32"/>
          <w:szCs w:val="32"/>
          <w:highlight w:val="none"/>
        </w:rPr>
      </w:pPr>
      <w:bookmarkStart w:id="665" w:name="_Toc35947228"/>
      <w:bookmarkStart w:id="666" w:name="_Toc15058912"/>
      <w:bookmarkStart w:id="667" w:name="_Toc35425111"/>
      <w:bookmarkStart w:id="668" w:name="_Toc35424945"/>
      <w:bookmarkStart w:id="669" w:name="_Toc9285"/>
      <w:r>
        <w:rPr>
          <w:rFonts w:hint="eastAsia" w:ascii="宋体" w:hAnsi="宋体" w:cs="宋体"/>
          <w:color w:val="auto"/>
          <w:sz w:val="32"/>
          <w:szCs w:val="32"/>
          <w:highlight w:val="none"/>
        </w:rPr>
        <w:br w:type="page"/>
      </w:r>
      <w:bookmarkStart w:id="670" w:name="_Toc16481"/>
      <w:r>
        <w:rPr>
          <w:rFonts w:hint="eastAsia" w:ascii="宋体" w:hAnsi="宋体" w:cs="宋体"/>
          <w:color w:val="auto"/>
          <w:sz w:val="32"/>
          <w:szCs w:val="32"/>
          <w:highlight w:val="none"/>
        </w:rPr>
        <w:t>第三章  评标办法</w:t>
      </w:r>
      <w:bookmarkEnd w:id="665"/>
      <w:bookmarkEnd w:id="666"/>
      <w:bookmarkEnd w:id="667"/>
      <w:bookmarkEnd w:id="668"/>
      <w:bookmarkEnd w:id="669"/>
      <w:bookmarkEnd w:id="670"/>
    </w:p>
    <w:bookmarkEnd w:id="60"/>
    <w:p w14:paraId="64962630">
      <w:pPr>
        <w:pStyle w:val="40"/>
        <w:widowControl w:val="0"/>
        <w:adjustRightInd w:val="0"/>
        <w:snapToGrid w:val="0"/>
        <w:spacing w:line="560" w:lineRule="exact"/>
        <w:jc w:val="center"/>
        <w:rPr>
          <w:b/>
          <w:color w:val="auto"/>
          <w:kern w:val="2"/>
          <w:sz w:val="28"/>
          <w:szCs w:val="28"/>
          <w:highlight w:val="none"/>
        </w:rPr>
      </w:pPr>
      <w:bookmarkStart w:id="671" w:name="_Toc410740236"/>
      <w:bookmarkStart w:id="672" w:name="_Toc26076"/>
      <w:bookmarkStart w:id="673" w:name="_Toc35864588"/>
      <w:bookmarkStart w:id="674" w:name="_Toc22466"/>
      <w:bookmarkStart w:id="675" w:name="_Toc15832"/>
      <w:r>
        <w:rPr>
          <w:rFonts w:hint="eastAsia"/>
          <w:b/>
          <w:color w:val="auto"/>
          <w:kern w:val="2"/>
          <w:sz w:val="28"/>
          <w:szCs w:val="28"/>
          <w:highlight w:val="none"/>
          <w:lang w:bidi="ar"/>
        </w:rPr>
        <w:t>（一）资信标评审（6</w:t>
      </w:r>
      <w:r>
        <w:rPr>
          <w:b/>
          <w:color w:val="auto"/>
          <w:kern w:val="2"/>
          <w:sz w:val="28"/>
          <w:szCs w:val="28"/>
          <w:highlight w:val="none"/>
          <w:lang w:bidi="ar"/>
        </w:rPr>
        <w:t>5</w:t>
      </w:r>
      <w:r>
        <w:rPr>
          <w:rFonts w:hint="eastAsia"/>
          <w:b/>
          <w:color w:val="auto"/>
          <w:kern w:val="2"/>
          <w:sz w:val="28"/>
          <w:szCs w:val="28"/>
          <w:highlight w:val="none"/>
          <w:lang w:bidi="ar"/>
        </w:rPr>
        <w:t>分）</w:t>
      </w:r>
    </w:p>
    <w:tbl>
      <w:tblPr>
        <w:tblStyle w:val="44"/>
        <w:tblW w:w="97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3"/>
        <w:gridCol w:w="1454"/>
        <w:gridCol w:w="1558"/>
        <w:gridCol w:w="4569"/>
        <w:gridCol w:w="1545"/>
      </w:tblGrid>
      <w:tr w14:paraId="1BF15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2127" w:type="dxa"/>
            <w:gridSpan w:val="2"/>
            <w:tcBorders>
              <w:top w:val="single" w:color="auto" w:sz="4" w:space="0"/>
              <w:left w:val="single" w:color="auto" w:sz="4" w:space="0"/>
              <w:bottom w:val="single" w:color="auto" w:sz="4" w:space="0"/>
              <w:right w:val="single" w:color="auto" w:sz="4" w:space="0"/>
            </w:tcBorders>
            <w:vAlign w:val="center"/>
          </w:tcPr>
          <w:p w14:paraId="6F43DA53">
            <w:pPr>
              <w:spacing w:line="440" w:lineRule="exact"/>
              <w:jc w:val="center"/>
              <w:rPr>
                <w:rFonts w:ascii="宋体" w:hAnsi="宋体" w:cs="宋体"/>
                <w:b/>
                <w:bCs/>
                <w:color w:val="auto"/>
                <w:szCs w:val="21"/>
                <w:highlight w:val="none"/>
              </w:rPr>
            </w:pPr>
            <w:r>
              <w:rPr>
                <w:rFonts w:hint="eastAsia" w:ascii="宋体" w:hAnsi="宋体" w:cs="宋体"/>
                <w:b/>
                <w:bCs/>
                <w:color w:val="auto"/>
                <w:szCs w:val="21"/>
                <w:highlight w:val="none"/>
                <w:lang w:bidi="ar"/>
              </w:rPr>
              <w:t>条款号</w:t>
            </w:r>
          </w:p>
        </w:tc>
        <w:tc>
          <w:tcPr>
            <w:tcW w:w="1558" w:type="dxa"/>
            <w:tcBorders>
              <w:top w:val="single" w:color="auto" w:sz="4" w:space="0"/>
              <w:left w:val="single" w:color="auto" w:sz="4" w:space="0"/>
              <w:bottom w:val="single" w:color="auto" w:sz="4" w:space="0"/>
              <w:right w:val="single" w:color="auto" w:sz="4" w:space="0"/>
            </w:tcBorders>
            <w:vAlign w:val="center"/>
          </w:tcPr>
          <w:p w14:paraId="191B88A8">
            <w:pPr>
              <w:spacing w:line="440" w:lineRule="exact"/>
              <w:jc w:val="center"/>
              <w:rPr>
                <w:rFonts w:ascii="宋体" w:hAnsi="宋体" w:cs="宋体"/>
                <w:b/>
                <w:bCs/>
                <w:color w:val="auto"/>
                <w:szCs w:val="21"/>
                <w:highlight w:val="none"/>
              </w:rPr>
            </w:pPr>
            <w:r>
              <w:rPr>
                <w:rFonts w:hint="eastAsia" w:ascii="宋体" w:hAnsi="宋体" w:cs="宋体"/>
                <w:b/>
                <w:bCs/>
                <w:color w:val="auto"/>
                <w:szCs w:val="21"/>
                <w:highlight w:val="none"/>
                <w:lang w:bidi="ar"/>
              </w:rPr>
              <w:t>评审因素</w:t>
            </w:r>
          </w:p>
        </w:tc>
        <w:tc>
          <w:tcPr>
            <w:tcW w:w="6114" w:type="dxa"/>
            <w:gridSpan w:val="2"/>
            <w:tcBorders>
              <w:top w:val="single" w:color="auto" w:sz="4" w:space="0"/>
              <w:left w:val="single" w:color="auto" w:sz="4" w:space="0"/>
              <w:bottom w:val="single" w:color="auto" w:sz="4" w:space="0"/>
              <w:right w:val="single" w:color="auto" w:sz="4" w:space="0"/>
            </w:tcBorders>
            <w:vAlign w:val="center"/>
          </w:tcPr>
          <w:p w14:paraId="50565B17">
            <w:pPr>
              <w:spacing w:line="440" w:lineRule="exact"/>
              <w:jc w:val="center"/>
              <w:rPr>
                <w:rFonts w:ascii="宋体" w:hAnsi="宋体" w:cs="宋体"/>
                <w:b/>
                <w:bCs/>
                <w:color w:val="auto"/>
                <w:szCs w:val="21"/>
                <w:highlight w:val="none"/>
              </w:rPr>
            </w:pPr>
            <w:r>
              <w:rPr>
                <w:rFonts w:hint="eastAsia" w:ascii="宋体" w:hAnsi="宋体" w:cs="宋体"/>
                <w:b/>
                <w:bCs/>
                <w:color w:val="auto"/>
                <w:szCs w:val="21"/>
                <w:highlight w:val="none"/>
                <w:lang w:bidi="ar"/>
              </w:rPr>
              <w:t>评审标准</w:t>
            </w:r>
          </w:p>
        </w:tc>
      </w:tr>
      <w:tr w14:paraId="1ECDE3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3" w:type="dxa"/>
            <w:vMerge w:val="restart"/>
            <w:tcBorders>
              <w:top w:val="nil"/>
              <w:left w:val="single" w:color="auto" w:sz="4" w:space="0"/>
              <w:bottom w:val="single" w:color="auto" w:sz="4" w:space="0"/>
              <w:right w:val="single" w:color="auto" w:sz="4" w:space="0"/>
            </w:tcBorders>
            <w:vAlign w:val="center"/>
          </w:tcPr>
          <w:p w14:paraId="145009D5">
            <w:pPr>
              <w:spacing w:line="440" w:lineRule="exact"/>
              <w:jc w:val="center"/>
              <w:rPr>
                <w:rFonts w:ascii="宋体" w:hAnsi="宋体" w:cs="宋体"/>
                <w:color w:val="auto"/>
                <w:szCs w:val="21"/>
                <w:highlight w:val="none"/>
              </w:rPr>
            </w:pPr>
            <w:r>
              <w:rPr>
                <w:rFonts w:hint="eastAsia" w:ascii="宋体" w:hAnsi="宋体" w:cs="宋体"/>
                <w:color w:val="auto"/>
                <w:szCs w:val="21"/>
                <w:highlight w:val="none"/>
                <w:lang w:bidi="ar"/>
              </w:rPr>
              <w:t>1</w:t>
            </w:r>
          </w:p>
        </w:tc>
        <w:tc>
          <w:tcPr>
            <w:tcW w:w="1454" w:type="dxa"/>
            <w:vMerge w:val="restart"/>
            <w:tcBorders>
              <w:top w:val="nil"/>
              <w:left w:val="single" w:color="auto" w:sz="4" w:space="0"/>
              <w:bottom w:val="single" w:color="auto" w:sz="4" w:space="0"/>
              <w:right w:val="single" w:color="auto" w:sz="4" w:space="0"/>
            </w:tcBorders>
            <w:vAlign w:val="center"/>
          </w:tcPr>
          <w:p w14:paraId="5D95E86C">
            <w:pPr>
              <w:spacing w:line="440" w:lineRule="exact"/>
              <w:jc w:val="center"/>
              <w:rPr>
                <w:rFonts w:ascii="宋体" w:hAnsi="宋体" w:cs="宋体"/>
                <w:color w:val="auto"/>
                <w:szCs w:val="21"/>
                <w:highlight w:val="none"/>
              </w:rPr>
            </w:pPr>
            <w:r>
              <w:rPr>
                <w:rFonts w:hint="eastAsia" w:ascii="宋体" w:hAnsi="宋体" w:cs="宋体"/>
                <w:color w:val="auto"/>
                <w:szCs w:val="21"/>
                <w:highlight w:val="none"/>
                <w:lang w:bidi="ar"/>
              </w:rPr>
              <w:t>形式评审标准</w:t>
            </w:r>
          </w:p>
        </w:tc>
        <w:tc>
          <w:tcPr>
            <w:tcW w:w="1558" w:type="dxa"/>
            <w:tcBorders>
              <w:top w:val="single" w:color="auto" w:sz="4" w:space="0"/>
              <w:left w:val="single" w:color="auto" w:sz="4" w:space="0"/>
              <w:bottom w:val="single" w:color="auto" w:sz="4" w:space="0"/>
              <w:right w:val="single" w:color="auto" w:sz="4" w:space="0"/>
            </w:tcBorders>
            <w:vAlign w:val="center"/>
          </w:tcPr>
          <w:p w14:paraId="5B027257">
            <w:pPr>
              <w:spacing w:line="440" w:lineRule="exact"/>
              <w:rPr>
                <w:rFonts w:ascii="宋体" w:hAnsi="宋体" w:cs="宋体"/>
                <w:color w:val="auto"/>
                <w:szCs w:val="21"/>
                <w:highlight w:val="none"/>
              </w:rPr>
            </w:pPr>
            <w:r>
              <w:rPr>
                <w:rFonts w:hint="eastAsia" w:ascii="宋体" w:hAnsi="宋体" w:cs="宋体"/>
                <w:color w:val="auto"/>
                <w:szCs w:val="21"/>
                <w:highlight w:val="none"/>
                <w:lang w:bidi="ar"/>
              </w:rPr>
              <w:t>投标文件签字盖章</w:t>
            </w:r>
          </w:p>
        </w:tc>
        <w:tc>
          <w:tcPr>
            <w:tcW w:w="6114" w:type="dxa"/>
            <w:gridSpan w:val="2"/>
            <w:tcBorders>
              <w:top w:val="single" w:color="auto" w:sz="4" w:space="0"/>
              <w:left w:val="single" w:color="auto" w:sz="4" w:space="0"/>
              <w:bottom w:val="single" w:color="auto" w:sz="4" w:space="0"/>
              <w:right w:val="single" w:color="auto" w:sz="4" w:space="0"/>
            </w:tcBorders>
            <w:vAlign w:val="center"/>
          </w:tcPr>
          <w:p w14:paraId="07E95E28">
            <w:pPr>
              <w:spacing w:line="440" w:lineRule="exact"/>
              <w:rPr>
                <w:rFonts w:ascii="宋体" w:hAnsi="宋体" w:cs="宋体"/>
                <w:color w:val="auto"/>
                <w:szCs w:val="21"/>
                <w:highlight w:val="none"/>
              </w:rPr>
            </w:pPr>
            <w:r>
              <w:rPr>
                <w:rFonts w:hint="eastAsia" w:ascii="宋体" w:hAnsi="宋体" w:cs="宋体"/>
                <w:color w:val="auto"/>
                <w:szCs w:val="21"/>
                <w:highlight w:val="none"/>
                <w:lang w:bidi="ar"/>
              </w:rPr>
              <w:t>按投标文件格式要求签字盖章</w:t>
            </w:r>
          </w:p>
        </w:tc>
      </w:tr>
      <w:tr w14:paraId="4BD59A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673" w:type="dxa"/>
            <w:vMerge w:val="continue"/>
            <w:tcBorders>
              <w:top w:val="nil"/>
              <w:left w:val="single" w:color="auto" w:sz="4" w:space="0"/>
              <w:bottom w:val="single" w:color="auto" w:sz="4" w:space="0"/>
              <w:right w:val="single" w:color="auto" w:sz="4" w:space="0"/>
            </w:tcBorders>
            <w:vAlign w:val="center"/>
          </w:tcPr>
          <w:p w14:paraId="5B93C300">
            <w:pPr>
              <w:rPr>
                <w:rFonts w:ascii="宋体" w:hAnsi="宋体" w:cs="宋体"/>
                <w:color w:val="auto"/>
                <w:szCs w:val="21"/>
                <w:highlight w:val="none"/>
              </w:rPr>
            </w:pPr>
          </w:p>
        </w:tc>
        <w:tc>
          <w:tcPr>
            <w:tcW w:w="1454" w:type="dxa"/>
            <w:vMerge w:val="continue"/>
            <w:tcBorders>
              <w:top w:val="nil"/>
              <w:left w:val="single" w:color="auto" w:sz="4" w:space="0"/>
              <w:bottom w:val="single" w:color="auto" w:sz="4" w:space="0"/>
              <w:right w:val="single" w:color="auto" w:sz="4" w:space="0"/>
            </w:tcBorders>
            <w:vAlign w:val="center"/>
          </w:tcPr>
          <w:p w14:paraId="4EACAC0B">
            <w:pPr>
              <w:rPr>
                <w:rFonts w:ascii="宋体" w:hAnsi="宋体" w:cs="宋体"/>
                <w:color w:val="auto"/>
                <w:szCs w:val="21"/>
                <w:highlight w:val="none"/>
              </w:rPr>
            </w:pPr>
          </w:p>
        </w:tc>
        <w:tc>
          <w:tcPr>
            <w:tcW w:w="1558" w:type="dxa"/>
            <w:tcBorders>
              <w:top w:val="single" w:color="auto" w:sz="4" w:space="0"/>
              <w:left w:val="single" w:color="auto" w:sz="4" w:space="0"/>
              <w:bottom w:val="single" w:color="auto" w:sz="4" w:space="0"/>
              <w:right w:val="single" w:color="auto" w:sz="4" w:space="0"/>
            </w:tcBorders>
            <w:vAlign w:val="center"/>
          </w:tcPr>
          <w:p w14:paraId="5151020E">
            <w:pPr>
              <w:spacing w:line="440" w:lineRule="exact"/>
              <w:rPr>
                <w:rFonts w:ascii="宋体" w:hAnsi="宋体" w:cs="宋体"/>
                <w:color w:val="auto"/>
                <w:szCs w:val="21"/>
                <w:highlight w:val="none"/>
              </w:rPr>
            </w:pPr>
            <w:r>
              <w:rPr>
                <w:rFonts w:hint="eastAsia" w:ascii="宋体" w:hAnsi="宋体" w:cs="宋体"/>
                <w:color w:val="auto"/>
                <w:szCs w:val="21"/>
                <w:highlight w:val="none"/>
                <w:lang w:bidi="ar"/>
              </w:rPr>
              <w:t>投标文件格式</w:t>
            </w:r>
          </w:p>
        </w:tc>
        <w:tc>
          <w:tcPr>
            <w:tcW w:w="6114" w:type="dxa"/>
            <w:gridSpan w:val="2"/>
            <w:tcBorders>
              <w:top w:val="single" w:color="auto" w:sz="4" w:space="0"/>
              <w:left w:val="single" w:color="auto" w:sz="4" w:space="0"/>
              <w:bottom w:val="single" w:color="auto" w:sz="4" w:space="0"/>
              <w:right w:val="single" w:color="auto" w:sz="4" w:space="0"/>
            </w:tcBorders>
            <w:vAlign w:val="center"/>
          </w:tcPr>
          <w:p w14:paraId="2BC8A7AE">
            <w:pPr>
              <w:spacing w:line="440" w:lineRule="exact"/>
              <w:rPr>
                <w:rFonts w:ascii="宋体" w:hAnsi="宋体" w:cs="宋体"/>
                <w:color w:val="auto"/>
                <w:szCs w:val="21"/>
                <w:highlight w:val="none"/>
              </w:rPr>
            </w:pPr>
            <w:r>
              <w:rPr>
                <w:rFonts w:hint="eastAsia" w:ascii="宋体" w:hAnsi="宋体" w:cs="宋体"/>
                <w:color w:val="auto"/>
                <w:szCs w:val="21"/>
                <w:highlight w:val="none"/>
                <w:lang w:bidi="ar"/>
              </w:rPr>
              <w:t>符合“投标文件格式”的要求</w:t>
            </w:r>
          </w:p>
        </w:tc>
      </w:tr>
      <w:tr w14:paraId="0A60F0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673" w:type="dxa"/>
            <w:tcBorders>
              <w:top w:val="single" w:color="auto" w:sz="4" w:space="0"/>
              <w:left w:val="single" w:color="auto" w:sz="4" w:space="0"/>
              <w:bottom w:val="single" w:color="auto" w:sz="4" w:space="0"/>
              <w:right w:val="single" w:color="auto" w:sz="4" w:space="0"/>
            </w:tcBorders>
            <w:vAlign w:val="center"/>
          </w:tcPr>
          <w:p w14:paraId="5CA1579C">
            <w:pPr>
              <w:spacing w:line="440" w:lineRule="exact"/>
              <w:jc w:val="center"/>
              <w:rPr>
                <w:rFonts w:ascii="宋体" w:hAnsi="宋体" w:cs="宋体"/>
                <w:color w:val="auto"/>
                <w:szCs w:val="21"/>
                <w:highlight w:val="none"/>
              </w:rPr>
            </w:pPr>
            <w:r>
              <w:rPr>
                <w:rFonts w:hint="eastAsia" w:ascii="宋体" w:hAnsi="宋体" w:cs="宋体"/>
                <w:color w:val="auto"/>
                <w:szCs w:val="21"/>
                <w:highlight w:val="none"/>
                <w:lang w:bidi="ar"/>
              </w:rPr>
              <w:t>2</w:t>
            </w:r>
          </w:p>
        </w:tc>
        <w:tc>
          <w:tcPr>
            <w:tcW w:w="1454" w:type="dxa"/>
            <w:tcBorders>
              <w:top w:val="single" w:color="auto" w:sz="4" w:space="0"/>
              <w:left w:val="single" w:color="auto" w:sz="4" w:space="0"/>
              <w:bottom w:val="single" w:color="auto" w:sz="4" w:space="0"/>
              <w:right w:val="single" w:color="auto" w:sz="4" w:space="0"/>
            </w:tcBorders>
            <w:vAlign w:val="center"/>
          </w:tcPr>
          <w:p w14:paraId="34AAD609">
            <w:pPr>
              <w:spacing w:line="440" w:lineRule="exact"/>
              <w:jc w:val="center"/>
              <w:rPr>
                <w:rFonts w:ascii="宋体" w:hAnsi="宋体" w:cs="宋体"/>
                <w:color w:val="auto"/>
                <w:szCs w:val="21"/>
                <w:highlight w:val="none"/>
              </w:rPr>
            </w:pPr>
            <w:r>
              <w:rPr>
                <w:rFonts w:hint="eastAsia" w:ascii="宋体" w:hAnsi="宋体" w:cs="宋体"/>
                <w:color w:val="auto"/>
                <w:szCs w:val="21"/>
                <w:highlight w:val="none"/>
                <w:lang w:bidi="ar"/>
              </w:rPr>
              <w:t>响应性评审标准</w:t>
            </w:r>
          </w:p>
        </w:tc>
        <w:tc>
          <w:tcPr>
            <w:tcW w:w="1558" w:type="dxa"/>
            <w:tcBorders>
              <w:top w:val="single" w:color="auto" w:sz="4" w:space="0"/>
              <w:left w:val="single" w:color="auto" w:sz="4" w:space="0"/>
              <w:bottom w:val="single" w:color="auto" w:sz="4" w:space="0"/>
              <w:right w:val="single" w:color="auto" w:sz="4" w:space="0"/>
            </w:tcBorders>
            <w:vAlign w:val="center"/>
          </w:tcPr>
          <w:p w14:paraId="18E1F35C">
            <w:pPr>
              <w:spacing w:line="440" w:lineRule="exact"/>
              <w:rPr>
                <w:rFonts w:ascii="宋体" w:hAnsi="宋体" w:cs="宋体"/>
                <w:color w:val="auto"/>
                <w:szCs w:val="21"/>
                <w:highlight w:val="none"/>
              </w:rPr>
            </w:pPr>
            <w:r>
              <w:rPr>
                <w:rFonts w:hint="eastAsia" w:ascii="宋体" w:hAnsi="宋体" w:cs="宋体"/>
                <w:color w:val="auto"/>
                <w:szCs w:val="21"/>
                <w:highlight w:val="none"/>
                <w:lang w:bidi="ar"/>
              </w:rPr>
              <w:t>投标文件内容</w:t>
            </w:r>
          </w:p>
        </w:tc>
        <w:tc>
          <w:tcPr>
            <w:tcW w:w="6114" w:type="dxa"/>
            <w:gridSpan w:val="2"/>
            <w:tcBorders>
              <w:top w:val="single" w:color="auto" w:sz="4" w:space="0"/>
              <w:left w:val="single" w:color="auto" w:sz="4" w:space="0"/>
              <w:bottom w:val="single" w:color="auto" w:sz="4" w:space="0"/>
              <w:right w:val="single" w:color="auto" w:sz="4" w:space="0"/>
            </w:tcBorders>
            <w:vAlign w:val="center"/>
          </w:tcPr>
          <w:p w14:paraId="2F41CCF7">
            <w:pPr>
              <w:spacing w:line="440" w:lineRule="exact"/>
              <w:rPr>
                <w:rFonts w:ascii="宋体" w:hAnsi="宋体" w:cs="宋体"/>
                <w:color w:val="auto"/>
                <w:szCs w:val="21"/>
                <w:highlight w:val="none"/>
              </w:rPr>
            </w:pPr>
            <w:r>
              <w:rPr>
                <w:rFonts w:hint="eastAsia" w:ascii="宋体" w:hAnsi="宋体" w:cs="宋体"/>
                <w:color w:val="auto"/>
                <w:szCs w:val="21"/>
                <w:highlight w:val="none"/>
                <w:lang w:bidi="ar"/>
              </w:rPr>
              <w:t>符合“投标人须知”第3.1项规定</w:t>
            </w:r>
          </w:p>
        </w:tc>
      </w:tr>
      <w:tr w14:paraId="73B6DC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673" w:type="dxa"/>
            <w:tcBorders>
              <w:top w:val="single" w:color="auto" w:sz="4" w:space="0"/>
              <w:left w:val="single" w:color="auto" w:sz="4" w:space="0"/>
              <w:bottom w:val="single" w:color="auto" w:sz="4" w:space="0"/>
              <w:right w:val="single" w:color="auto" w:sz="4" w:space="0"/>
            </w:tcBorders>
            <w:vAlign w:val="center"/>
          </w:tcPr>
          <w:p w14:paraId="43FA373B">
            <w:pPr>
              <w:spacing w:line="440" w:lineRule="exact"/>
              <w:jc w:val="left"/>
              <w:rPr>
                <w:rFonts w:ascii="宋体" w:hAnsi="宋体" w:cs="宋体"/>
                <w:color w:val="auto"/>
                <w:szCs w:val="21"/>
                <w:highlight w:val="none"/>
                <w:lang w:bidi="ar"/>
              </w:rPr>
            </w:pPr>
            <w:r>
              <w:rPr>
                <w:rFonts w:hint="eastAsia" w:ascii="宋体" w:hAnsi="宋体" w:cs="宋体"/>
                <w:color w:val="auto"/>
                <w:szCs w:val="21"/>
                <w:highlight w:val="none"/>
                <w:lang w:bidi="ar"/>
              </w:rPr>
              <w:t>序号</w:t>
            </w:r>
          </w:p>
        </w:tc>
        <w:tc>
          <w:tcPr>
            <w:tcW w:w="1454" w:type="dxa"/>
            <w:tcBorders>
              <w:top w:val="single" w:color="auto" w:sz="4" w:space="0"/>
              <w:left w:val="single" w:color="auto" w:sz="4" w:space="0"/>
              <w:bottom w:val="single" w:color="auto" w:sz="4" w:space="0"/>
              <w:right w:val="single" w:color="auto" w:sz="4" w:space="0"/>
            </w:tcBorders>
            <w:vAlign w:val="center"/>
          </w:tcPr>
          <w:p w14:paraId="7125A7A0">
            <w:pPr>
              <w:spacing w:line="440" w:lineRule="exact"/>
              <w:jc w:val="left"/>
              <w:rPr>
                <w:rFonts w:ascii="宋体" w:hAnsi="宋体" w:cs="宋体"/>
                <w:color w:val="auto"/>
                <w:szCs w:val="21"/>
                <w:highlight w:val="none"/>
                <w:lang w:bidi="ar"/>
              </w:rPr>
            </w:pPr>
            <w:r>
              <w:rPr>
                <w:rFonts w:hint="eastAsia" w:ascii="宋体" w:hAnsi="宋体" w:cs="宋体"/>
                <w:color w:val="auto"/>
                <w:szCs w:val="21"/>
                <w:highlight w:val="none"/>
                <w:lang w:bidi="ar"/>
              </w:rPr>
              <w:t>评分内容</w:t>
            </w:r>
          </w:p>
        </w:tc>
        <w:tc>
          <w:tcPr>
            <w:tcW w:w="6127" w:type="dxa"/>
            <w:gridSpan w:val="2"/>
            <w:tcBorders>
              <w:top w:val="single" w:color="auto" w:sz="4" w:space="0"/>
              <w:left w:val="single" w:color="auto" w:sz="4" w:space="0"/>
              <w:bottom w:val="single" w:color="auto" w:sz="4" w:space="0"/>
              <w:right w:val="single" w:color="auto" w:sz="4" w:space="0"/>
            </w:tcBorders>
            <w:vAlign w:val="center"/>
          </w:tcPr>
          <w:p w14:paraId="4C9C931F">
            <w:pPr>
              <w:spacing w:line="440" w:lineRule="exact"/>
              <w:jc w:val="center"/>
              <w:rPr>
                <w:rFonts w:ascii="宋体" w:hAnsi="宋体" w:cs="宋体"/>
                <w:color w:val="auto"/>
                <w:szCs w:val="21"/>
                <w:highlight w:val="none"/>
                <w:lang w:bidi="ar"/>
              </w:rPr>
            </w:pPr>
            <w:r>
              <w:rPr>
                <w:rFonts w:hint="eastAsia" w:ascii="宋体" w:hAnsi="宋体" w:cs="宋体"/>
                <w:color w:val="auto"/>
                <w:szCs w:val="21"/>
                <w:highlight w:val="none"/>
                <w:lang w:bidi="ar"/>
              </w:rPr>
              <w:t>评分标准</w:t>
            </w:r>
          </w:p>
        </w:tc>
        <w:tc>
          <w:tcPr>
            <w:tcW w:w="1545" w:type="dxa"/>
            <w:tcBorders>
              <w:top w:val="single" w:color="auto" w:sz="4" w:space="0"/>
              <w:left w:val="single" w:color="auto" w:sz="4" w:space="0"/>
              <w:bottom w:val="single" w:color="auto" w:sz="4" w:space="0"/>
              <w:right w:val="single" w:color="auto" w:sz="4" w:space="0"/>
            </w:tcBorders>
            <w:vAlign w:val="center"/>
          </w:tcPr>
          <w:p w14:paraId="2DC4D89D">
            <w:pPr>
              <w:spacing w:line="440" w:lineRule="exact"/>
              <w:jc w:val="left"/>
              <w:rPr>
                <w:rFonts w:ascii="宋体" w:hAnsi="宋体" w:cs="宋体"/>
                <w:color w:val="auto"/>
                <w:szCs w:val="21"/>
                <w:highlight w:val="none"/>
                <w:lang w:bidi="ar"/>
              </w:rPr>
            </w:pPr>
            <w:r>
              <w:rPr>
                <w:rFonts w:hint="eastAsia" w:ascii="宋体" w:hAnsi="宋体" w:cs="宋体"/>
                <w:color w:val="auto"/>
                <w:szCs w:val="21"/>
                <w:highlight w:val="none"/>
                <w:lang w:bidi="ar"/>
              </w:rPr>
              <w:t>分值范围</w:t>
            </w:r>
          </w:p>
        </w:tc>
      </w:tr>
      <w:tr w14:paraId="75091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5" w:hRule="atLeast"/>
          <w:jc w:val="center"/>
        </w:trPr>
        <w:tc>
          <w:tcPr>
            <w:tcW w:w="673" w:type="dxa"/>
            <w:tcBorders>
              <w:top w:val="single" w:color="auto" w:sz="4" w:space="0"/>
              <w:left w:val="single" w:color="auto" w:sz="4" w:space="0"/>
              <w:bottom w:val="single" w:color="auto" w:sz="4" w:space="0"/>
              <w:right w:val="single" w:color="auto" w:sz="4" w:space="0"/>
            </w:tcBorders>
            <w:vAlign w:val="center"/>
          </w:tcPr>
          <w:p w14:paraId="4931F4F8">
            <w:pPr>
              <w:spacing w:line="440" w:lineRule="exact"/>
              <w:jc w:val="center"/>
              <w:rPr>
                <w:rFonts w:ascii="宋体" w:hAnsi="宋体" w:cs="宋体"/>
                <w:color w:val="auto"/>
                <w:szCs w:val="21"/>
                <w:highlight w:val="none"/>
                <w:lang w:bidi="ar"/>
              </w:rPr>
            </w:pPr>
            <w:r>
              <w:rPr>
                <w:rFonts w:hint="eastAsia" w:ascii="宋体" w:hAnsi="宋体" w:cs="宋体"/>
                <w:color w:val="auto"/>
                <w:szCs w:val="21"/>
                <w:highlight w:val="none"/>
                <w:lang w:bidi="ar"/>
              </w:rPr>
              <w:t>1</w:t>
            </w:r>
          </w:p>
        </w:tc>
        <w:tc>
          <w:tcPr>
            <w:tcW w:w="1454" w:type="dxa"/>
            <w:tcBorders>
              <w:top w:val="single" w:color="auto" w:sz="4" w:space="0"/>
              <w:left w:val="single" w:color="auto" w:sz="4" w:space="0"/>
              <w:bottom w:val="single" w:color="auto" w:sz="4" w:space="0"/>
              <w:right w:val="single" w:color="auto" w:sz="4" w:space="0"/>
            </w:tcBorders>
            <w:vAlign w:val="center"/>
          </w:tcPr>
          <w:p w14:paraId="1C8FA5B0">
            <w:pPr>
              <w:spacing w:line="440" w:lineRule="exact"/>
              <w:jc w:val="left"/>
              <w:rPr>
                <w:rFonts w:ascii="宋体" w:hAnsi="宋体" w:cs="宋体"/>
                <w:color w:val="auto"/>
                <w:szCs w:val="21"/>
                <w:highlight w:val="none"/>
                <w:lang w:bidi="ar"/>
              </w:rPr>
            </w:pPr>
            <w:r>
              <w:rPr>
                <w:rFonts w:hint="eastAsia" w:ascii="宋体" w:hAnsi="宋体" w:cs="宋体"/>
                <w:color w:val="auto"/>
                <w:szCs w:val="21"/>
                <w:highlight w:val="none"/>
              </w:rPr>
              <w:t>供应商业绩</w:t>
            </w:r>
          </w:p>
        </w:tc>
        <w:tc>
          <w:tcPr>
            <w:tcW w:w="6127" w:type="dxa"/>
            <w:gridSpan w:val="2"/>
            <w:tcBorders>
              <w:top w:val="single" w:color="auto" w:sz="4" w:space="0"/>
              <w:left w:val="single" w:color="auto" w:sz="4" w:space="0"/>
              <w:bottom w:val="single" w:color="auto" w:sz="4" w:space="0"/>
              <w:right w:val="single" w:color="auto" w:sz="4" w:space="0"/>
            </w:tcBorders>
            <w:vAlign w:val="center"/>
          </w:tcPr>
          <w:p w14:paraId="4DD41160">
            <w:pPr>
              <w:spacing w:line="440" w:lineRule="exact"/>
              <w:jc w:val="left"/>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rPr>
              <w:t>自2</w:t>
            </w:r>
            <w:r>
              <w:rPr>
                <w:rFonts w:ascii="宋体" w:hAnsi="宋体" w:cs="宋体"/>
                <w:color w:val="auto"/>
                <w:szCs w:val="21"/>
                <w:highlight w:val="none"/>
              </w:rPr>
              <w:t>023</w:t>
            </w:r>
            <w:r>
              <w:rPr>
                <w:rFonts w:hint="eastAsia" w:ascii="宋体" w:hAnsi="宋体" w:cs="宋体"/>
                <w:color w:val="auto"/>
                <w:szCs w:val="21"/>
                <w:highlight w:val="none"/>
              </w:rPr>
              <w:t>年1月1日起，供应商具有省厅管制系统信息上传、建筑物放（验）线、规划核实、房产测量等项目，上述项目中每具有其中一项业绩得</w:t>
            </w:r>
            <w:r>
              <w:rPr>
                <w:rFonts w:ascii="宋体" w:hAnsi="宋体" w:cs="宋体"/>
                <w:color w:val="auto"/>
                <w:szCs w:val="21"/>
                <w:highlight w:val="none"/>
              </w:rPr>
              <w:t>1</w:t>
            </w:r>
            <w:r>
              <w:rPr>
                <w:rFonts w:hint="eastAsia" w:ascii="宋体" w:hAnsi="宋体" w:cs="宋体"/>
                <w:color w:val="auto"/>
                <w:szCs w:val="21"/>
                <w:highlight w:val="none"/>
              </w:rPr>
              <w:t>分，最高得4分。</w:t>
            </w:r>
            <w:r>
              <w:rPr>
                <w:rFonts w:hint="eastAsia" w:ascii="宋体" w:hAnsi="宋体" w:cs="宋体"/>
                <w:color w:val="auto"/>
                <w:szCs w:val="21"/>
                <w:highlight w:val="none"/>
                <w:lang w:val="en-US" w:eastAsia="zh-CN"/>
              </w:rPr>
              <w:t>项目内容为同一项的不重复加分，如提供两个业绩，业绩内容只包含</w:t>
            </w:r>
            <w:r>
              <w:rPr>
                <w:rFonts w:hint="eastAsia" w:ascii="宋体" w:hAnsi="宋体" w:cs="宋体"/>
                <w:color w:val="auto"/>
                <w:szCs w:val="21"/>
                <w:highlight w:val="none"/>
              </w:rPr>
              <w:t>省厅管制系统信息上传</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只按一个业绩计算。</w:t>
            </w:r>
          </w:p>
          <w:p w14:paraId="5BAB71CE">
            <w:pPr>
              <w:spacing w:line="440" w:lineRule="exact"/>
              <w:jc w:val="left"/>
              <w:rPr>
                <w:rFonts w:ascii="宋体" w:hAnsi="宋体" w:cs="宋体"/>
                <w:color w:val="auto"/>
                <w:szCs w:val="21"/>
                <w:highlight w:val="none"/>
              </w:rPr>
            </w:pPr>
            <w:r>
              <w:rPr>
                <w:rFonts w:hint="eastAsia" w:ascii="宋体" w:hAnsi="宋体" w:cs="宋体"/>
                <w:color w:val="auto"/>
                <w:szCs w:val="21"/>
                <w:highlight w:val="none"/>
              </w:rPr>
              <w:t>注：1.响应文件中提供业绩合同原件扫描件。如合同中无法体现合同签订时间、服务内容等关键评审信息，须另附业主单位（或合同甲方）出具的证明材料扫描件。</w:t>
            </w:r>
          </w:p>
          <w:p w14:paraId="5B39D52F">
            <w:pPr>
              <w:spacing w:line="440" w:lineRule="exact"/>
              <w:jc w:val="left"/>
              <w:rPr>
                <w:rFonts w:ascii="宋体" w:hAnsi="宋体" w:cs="宋体"/>
                <w:color w:val="auto"/>
                <w:szCs w:val="21"/>
                <w:highlight w:val="none"/>
              </w:rPr>
            </w:pPr>
            <w:r>
              <w:rPr>
                <w:rFonts w:hint="eastAsia" w:ascii="宋体" w:hAnsi="宋体" w:cs="宋体"/>
                <w:color w:val="auto"/>
                <w:szCs w:val="21"/>
                <w:highlight w:val="none"/>
              </w:rPr>
              <w:t>2.以上业绩含正在履约的业绩，转包分包不予计分。</w:t>
            </w:r>
          </w:p>
          <w:p w14:paraId="54B454C0">
            <w:pPr>
              <w:spacing w:line="440" w:lineRule="exact"/>
              <w:jc w:val="left"/>
              <w:rPr>
                <w:rFonts w:ascii="宋体" w:hAnsi="宋体" w:cs="宋体"/>
                <w:color w:val="auto"/>
                <w:szCs w:val="21"/>
                <w:highlight w:val="none"/>
                <w:lang w:bidi="ar"/>
              </w:rPr>
            </w:pPr>
            <w:r>
              <w:rPr>
                <w:rFonts w:hint="eastAsia" w:ascii="宋体" w:hAnsi="宋体" w:cs="宋体"/>
                <w:color w:val="auto"/>
                <w:szCs w:val="21"/>
                <w:highlight w:val="none"/>
              </w:rPr>
              <w:t>3.提供的项目业绩只计算评标分值对应的项目数量，按照排列顺序从首个业绩开始评审至对应数量，超出部分不进行评审。对应数量内业绩不符合招标文件要求不得分的，不再补充评审超出部分业绩。如：提供1个业绩即得满分的，按照投标文件排序评审第一项业绩，其余超出部分不再评审。</w:t>
            </w:r>
          </w:p>
        </w:tc>
        <w:tc>
          <w:tcPr>
            <w:tcW w:w="1545" w:type="dxa"/>
            <w:tcBorders>
              <w:top w:val="single" w:color="auto" w:sz="4" w:space="0"/>
              <w:left w:val="single" w:color="auto" w:sz="4" w:space="0"/>
              <w:bottom w:val="single" w:color="auto" w:sz="4" w:space="0"/>
              <w:right w:val="single" w:color="auto" w:sz="4" w:space="0"/>
            </w:tcBorders>
            <w:vAlign w:val="center"/>
          </w:tcPr>
          <w:p w14:paraId="25241A13">
            <w:pPr>
              <w:spacing w:line="440" w:lineRule="exact"/>
              <w:jc w:val="center"/>
              <w:rPr>
                <w:rFonts w:ascii="宋体" w:hAnsi="宋体" w:cs="宋体"/>
                <w:color w:val="auto"/>
                <w:szCs w:val="21"/>
                <w:highlight w:val="none"/>
                <w:lang w:bidi="ar"/>
              </w:rPr>
            </w:pPr>
            <w:r>
              <w:rPr>
                <w:rFonts w:hint="eastAsia" w:ascii="宋体" w:hAnsi="宋体" w:cs="宋体"/>
                <w:color w:val="auto"/>
                <w:szCs w:val="21"/>
                <w:highlight w:val="none"/>
              </w:rPr>
              <w:t>0-4分</w:t>
            </w:r>
          </w:p>
        </w:tc>
      </w:tr>
      <w:tr w14:paraId="71A2EB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1" w:hRule="atLeast"/>
          <w:jc w:val="center"/>
        </w:trPr>
        <w:tc>
          <w:tcPr>
            <w:tcW w:w="673" w:type="dxa"/>
            <w:tcBorders>
              <w:top w:val="single" w:color="auto" w:sz="4" w:space="0"/>
              <w:left w:val="single" w:color="auto" w:sz="4" w:space="0"/>
              <w:bottom w:val="single" w:color="auto" w:sz="4" w:space="0"/>
              <w:right w:val="single" w:color="auto" w:sz="4" w:space="0"/>
            </w:tcBorders>
            <w:vAlign w:val="center"/>
          </w:tcPr>
          <w:p w14:paraId="79357151">
            <w:pPr>
              <w:spacing w:line="440" w:lineRule="exact"/>
              <w:jc w:val="center"/>
              <w:rPr>
                <w:rFonts w:ascii="宋体" w:hAnsi="宋体" w:cs="宋体"/>
                <w:color w:val="auto"/>
                <w:szCs w:val="21"/>
                <w:highlight w:val="none"/>
                <w:lang w:bidi="ar"/>
              </w:rPr>
            </w:pPr>
            <w:r>
              <w:rPr>
                <w:rFonts w:hint="eastAsia" w:ascii="宋体" w:hAnsi="宋体" w:cs="宋体"/>
                <w:color w:val="auto"/>
                <w:szCs w:val="21"/>
                <w:highlight w:val="none"/>
                <w:lang w:bidi="ar"/>
              </w:rPr>
              <w:t>2</w:t>
            </w:r>
          </w:p>
        </w:tc>
        <w:tc>
          <w:tcPr>
            <w:tcW w:w="1454" w:type="dxa"/>
            <w:tcBorders>
              <w:top w:val="single" w:color="auto" w:sz="4" w:space="0"/>
              <w:left w:val="single" w:color="auto" w:sz="4" w:space="0"/>
              <w:bottom w:val="single" w:color="auto" w:sz="4" w:space="0"/>
              <w:right w:val="single" w:color="auto" w:sz="4" w:space="0"/>
            </w:tcBorders>
            <w:vAlign w:val="center"/>
          </w:tcPr>
          <w:p w14:paraId="12491BF3">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供应商实力</w:t>
            </w:r>
          </w:p>
          <w:p w14:paraId="19C205EF">
            <w:pPr>
              <w:spacing w:line="440" w:lineRule="exact"/>
              <w:jc w:val="center"/>
              <w:rPr>
                <w:rFonts w:ascii="宋体" w:hAnsi="宋体" w:cs="宋体"/>
                <w:color w:val="auto"/>
                <w:szCs w:val="21"/>
                <w:highlight w:val="none"/>
                <w:lang w:bidi="ar"/>
              </w:rPr>
            </w:pPr>
          </w:p>
        </w:tc>
        <w:tc>
          <w:tcPr>
            <w:tcW w:w="6127" w:type="dxa"/>
            <w:gridSpan w:val="2"/>
            <w:tcBorders>
              <w:top w:val="single" w:color="auto" w:sz="4" w:space="0"/>
              <w:left w:val="single" w:color="auto" w:sz="4" w:space="0"/>
              <w:bottom w:val="single" w:color="auto" w:sz="4" w:space="0"/>
              <w:right w:val="single" w:color="auto" w:sz="4" w:space="0"/>
            </w:tcBorders>
            <w:vAlign w:val="center"/>
          </w:tcPr>
          <w:p w14:paraId="1A3E7622">
            <w:pPr>
              <w:spacing w:line="440" w:lineRule="exact"/>
              <w:jc w:val="left"/>
              <w:rPr>
                <w:rFonts w:ascii="宋体" w:hAnsi="宋体" w:cs="宋体"/>
                <w:color w:val="auto"/>
                <w:szCs w:val="21"/>
                <w:highlight w:val="none"/>
              </w:rPr>
            </w:pPr>
            <w:r>
              <w:rPr>
                <w:rFonts w:hint="eastAsia" w:ascii="宋体" w:hAnsi="宋体" w:cs="宋体"/>
                <w:color w:val="auto"/>
                <w:szCs w:val="21"/>
                <w:highlight w:val="none"/>
              </w:rPr>
              <w:t>1、近三年来完成的规划竣工核实项目</w:t>
            </w:r>
            <w:r>
              <w:rPr>
                <w:rFonts w:hint="eastAsia" w:ascii="宋体" w:hAnsi="宋体" w:cs="宋体"/>
                <w:color w:val="auto"/>
                <w:szCs w:val="21"/>
                <w:highlight w:val="none"/>
                <w:lang w:val="en-US" w:eastAsia="zh-CN"/>
              </w:rPr>
              <w:t>或</w:t>
            </w:r>
            <w:r>
              <w:rPr>
                <w:rFonts w:hint="eastAsia" w:ascii="宋体" w:hAnsi="宋体" w:cs="宋体"/>
                <w:color w:val="auto"/>
                <w:szCs w:val="21"/>
                <w:highlight w:val="none"/>
              </w:rPr>
              <w:t>房产测绘获得省级及以上奖项的，每有一个得</w:t>
            </w:r>
            <w:r>
              <w:rPr>
                <w:rFonts w:ascii="宋体" w:hAnsi="宋体" w:cs="宋体"/>
                <w:color w:val="auto"/>
                <w:szCs w:val="21"/>
                <w:highlight w:val="none"/>
              </w:rPr>
              <w:t>5</w:t>
            </w:r>
            <w:r>
              <w:rPr>
                <w:rFonts w:hint="eastAsia" w:ascii="宋体" w:hAnsi="宋体" w:cs="宋体"/>
                <w:color w:val="auto"/>
                <w:szCs w:val="21"/>
                <w:highlight w:val="none"/>
              </w:rPr>
              <w:t>分，最多得1</w:t>
            </w:r>
            <w:r>
              <w:rPr>
                <w:rFonts w:ascii="宋体" w:hAnsi="宋体" w:cs="宋体"/>
                <w:color w:val="auto"/>
                <w:szCs w:val="21"/>
                <w:highlight w:val="none"/>
              </w:rPr>
              <w:t>0</w:t>
            </w:r>
            <w:r>
              <w:rPr>
                <w:rFonts w:hint="eastAsia" w:ascii="宋体" w:hAnsi="宋体" w:cs="宋体"/>
                <w:color w:val="auto"/>
                <w:szCs w:val="21"/>
                <w:highlight w:val="none"/>
              </w:rPr>
              <w:t>分；注：需提供获奖证书复印件加盖公章。</w:t>
            </w:r>
          </w:p>
          <w:p w14:paraId="24E936B7">
            <w:pPr>
              <w:pStyle w:val="230"/>
              <w:tabs>
                <w:tab w:val="left" w:pos="744"/>
                <w:tab w:val="left" w:pos="851"/>
              </w:tabs>
              <w:autoSpaceDE/>
              <w:autoSpaceDN/>
              <w:adjustRightInd/>
              <w:spacing w:line="440" w:lineRule="exact"/>
              <w:jc w:val="both"/>
              <w:rPr>
                <w:rFonts w:hint="eastAsia" w:hAnsi="宋体" w:eastAsia="宋体"/>
                <w:color w:val="auto"/>
                <w:kern w:val="2"/>
                <w:sz w:val="21"/>
                <w:szCs w:val="21"/>
                <w:highlight w:val="none"/>
                <w:lang w:eastAsia="zh-CN"/>
              </w:rPr>
            </w:pPr>
            <w:r>
              <w:rPr>
                <w:rFonts w:hint="eastAsia" w:hAnsi="宋体"/>
                <w:color w:val="auto"/>
                <w:kern w:val="2"/>
                <w:sz w:val="21"/>
                <w:szCs w:val="21"/>
                <w:highlight w:val="none"/>
              </w:rPr>
              <w:t>2、近三年来完成的城市规划项目获得省级及以上奖项的，每有一个得4 分，最多得12分；注：需提供获奖证书复印件加盖公章</w:t>
            </w:r>
            <w:r>
              <w:rPr>
                <w:rFonts w:hint="eastAsia" w:hAnsi="宋体"/>
                <w:color w:val="auto"/>
                <w:kern w:val="2"/>
                <w:sz w:val="21"/>
                <w:szCs w:val="21"/>
                <w:highlight w:val="none"/>
                <w:lang w:eastAsia="zh-CN"/>
              </w:rPr>
              <w:t>。</w:t>
            </w:r>
          </w:p>
          <w:p w14:paraId="581F726B">
            <w:pPr>
              <w:spacing w:line="440" w:lineRule="exact"/>
              <w:jc w:val="left"/>
              <w:rPr>
                <w:rFonts w:hint="eastAsia" w:ascii="宋体" w:hAnsi="宋体" w:cs="宋体"/>
                <w:color w:val="auto"/>
                <w:szCs w:val="21"/>
                <w:highlight w:val="none"/>
              </w:rPr>
            </w:pPr>
            <w:r>
              <w:rPr>
                <w:rFonts w:hint="eastAsia" w:ascii="宋体" w:hAnsi="宋体" w:cs="宋体"/>
                <w:color w:val="auto"/>
                <w:szCs w:val="21"/>
                <w:highlight w:val="none"/>
              </w:rPr>
              <w:t>3、项目组成员（不包含项目负责人、技术负责人）（本项满分</w:t>
            </w:r>
            <w:r>
              <w:rPr>
                <w:rFonts w:ascii="宋体" w:hAnsi="宋体" w:cs="宋体"/>
                <w:color w:val="auto"/>
                <w:szCs w:val="21"/>
                <w:highlight w:val="none"/>
              </w:rPr>
              <w:t>31</w:t>
            </w:r>
            <w:r>
              <w:rPr>
                <w:rFonts w:hint="eastAsia" w:ascii="宋体" w:hAnsi="宋体" w:cs="宋体"/>
                <w:color w:val="auto"/>
                <w:szCs w:val="21"/>
                <w:highlight w:val="none"/>
              </w:rPr>
              <w:t>分）</w:t>
            </w:r>
          </w:p>
          <w:p w14:paraId="49754F08">
            <w:pPr>
              <w:spacing w:line="440" w:lineRule="exact"/>
              <w:jc w:val="left"/>
              <w:rPr>
                <w:rFonts w:hint="eastAsia" w:ascii="宋体" w:hAnsi="宋体" w:cs="宋体"/>
                <w:color w:val="auto"/>
                <w:szCs w:val="21"/>
                <w:highlight w:val="none"/>
              </w:rPr>
            </w:pPr>
            <w:r>
              <w:rPr>
                <w:rFonts w:hint="eastAsia" w:ascii="宋体" w:hAnsi="宋体" w:cs="宋体"/>
                <w:color w:val="auto"/>
                <w:szCs w:val="21"/>
                <w:highlight w:val="none"/>
              </w:rPr>
              <w:t>（1）项目组成员中具有无人驾驶航空器系统操作手合格证，每提供1个得2分，本项最高得4分。</w:t>
            </w:r>
          </w:p>
          <w:p w14:paraId="3A0CF3E0">
            <w:pPr>
              <w:spacing w:line="440" w:lineRule="exact"/>
              <w:jc w:val="left"/>
              <w:rPr>
                <w:rFonts w:ascii="宋体" w:hAnsi="宋体" w:cs="宋体"/>
                <w:color w:val="auto"/>
                <w:szCs w:val="21"/>
                <w:highlight w:val="none"/>
                <w:lang w:bidi="ar"/>
              </w:rPr>
            </w:pPr>
            <w:r>
              <w:rPr>
                <w:rFonts w:hint="eastAsia" w:ascii="宋体" w:hAnsi="宋体" w:cs="宋体"/>
                <w:color w:val="auto"/>
                <w:szCs w:val="21"/>
                <w:highlight w:val="none"/>
              </w:rPr>
              <w:t>（2）</w:t>
            </w:r>
            <w:r>
              <w:rPr>
                <w:rFonts w:hint="eastAsia" w:ascii="宋体" w:hAnsi="宋体" w:cs="宋体"/>
                <w:color w:val="auto"/>
                <w:szCs w:val="21"/>
                <w:highlight w:val="none"/>
                <w:lang w:bidi="ar"/>
              </w:rPr>
              <w:t>项目组成员中具有国家地理信息安全保密培训合格证书，每提供1个得</w:t>
            </w:r>
            <w:r>
              <w:rPr>
                <w:rFonts w:ascii="宋体" w:hAnsi="宋体" w:cs="宋体"/>
                <w:color w:val="auto"/>
                <w:szCs w:val="21"/>
                <w:highlight w:val="none"/>
                <w:lang w:bidi="ar"/>
              </w:rPr>
              <w:t>0.5</w:t>
            </w:r>
            <w:r>
              <w:rPr>
                <w:rFonts w:hint="eastAsia" w:ascii="宋体" w:hAnsi="宋体" w:cs="宋体"/>
                <w:color w:val="auto"/>
                <w:szCs w:val="21"/>
                <w:highlight w:val="none"/>
                <w:lang w:bidi="ar"/>
              </w:rPr>
              <w:t>分，本项满分4分。</w:t>
            </w:r>
          </w:p>
          <w:p w14:paraId="40E0F862">
            <w:pPr>
              <w:spacing w:line="440" w:lineRule="exact"/>
              <w:jc w:val="left"/>
              <w:rPr>
                <w:rFonts w:hint="eastAsia" w:ascii="宋体" w:hAnsi="宋体" w:cs="宋体"/>
                <w:color w:val="auto"/>
                <w:szCs w:val="21"/>
                <w:highlight w:val="none"/>
              </w:rPr>
            </w:pPr>
            <w:r>
              <w:rPr>
                <w:rFonts w:hint="eastAsia" w:ascii="宋体" w:hAnsi="宋体" w:cs="宋体"/>
                <w:color w:val="auto"/>
                <w:szCs w:val="21"/>
                <w:highlight w:val="none"/>
              </w:rPr>
              <w:t>（3）项目组成员中具有注册测绘师证书的，每提供1个得1分，本项最高得</w:t>
            </w:r>
            <w:r>
              <w:rPr>
                <w:rFonts w:ascii="宋体" w:hAnsi="宋体" w:cs="宋体"/>
                <w:color w:val="auto"/>
                <w:szCs w:val="21"/>
                <w:highlight w:val="none"/>
              </w:rPr>
              <w:t>4</w:t>
            </w:r>
            <w:r>
              <w:rPr>
                <w:rFonts w:hint="eastAsia" w:ascii="宋体" w:hAnsi="宋体" w:cs="宋体"/>
                <w:color w:val="auto"/>
                <w:szCs w:val="21"/>
                <w:highlight w:val="none"/>
              </w:rPr>
              <w:t>分。</w:t>
            </w:r>
          </w:p>
          <w:p w14:paraId="11A5A172">
            <w:pPr>
              <w:spacing w:line="440" w:lineRule="exact"/>
              <w:jc w:val="left"/>
              <w:rPr>
                <w:rFonts w:hint="eastAsia" w:ascii="宋体" w:hAnsi="宋体" w:cs="宋体"/>
                <w:color w:val="auto"/>
                <w:szCs w:val="21"/>
                <w:highlight w:val="none"/>
              </w:rPr>
            </w:pPr>
            <w:r>
              <w:rPr>
                <w:rFonts w:hint="eastAsia" w:ascii="宋体" w:hAnsi="宋体" w:cs="宋体"/>
                <w:color w:val="auto"/>
                <w:szCs w:val="21"/>
                <w:highlight w:val="none"/>
              </w:rPr>
              <w:t>（4）项目组成员中具有注册城乡规划师证书，每提供1人得</w:t>
            </w:r>
            <w:r>
              <w:rPr>
                <w:rFonts w:ascii="宋体" w:hAnsi="宋体" w:cs="宋体"/>
                <w:color w:val="auto"/>
                <w:szCs w:val="21"/>
                <w:highlight w:val="none"/>
              </w:rPr>
              <w:t>0.5</w:t>
            </w:r>
            <w:r>
              <w:rPr>
                <w:rFonts w:hint="eastAsia" w:ascii="宋体" w:hAnsi="宋体" w:cs="宋体"/>
                <w:color w:val="auto"/>
                <w:szCs w:val="21"/>
                <w:highlight w:val="none"/>
              </w:rPr>
              <w:t>分，本项最高得5分，本项最高得5分。</w:t>
            </w:r>
          </w:p>
          <w:p w14:paraId="0DDA0C14">
            <w:pPr>
              <w:spacing w:line="440" w:lineRule="exact"/>
              <w:jc w:val="left"/>
              <w:rPr>
                <w:rFonts w:hint="eastAsia" w:ascii="宋体" w:hAnsi="宋体" w:cs="宋体"/>
                <w:color w:val="auto"/>
                <w:szCs w:val="21"/>
                <w:highlight w:val="none"/>
              </w:rPr>
            </w:pPr>
            <w:r>
              <w:rPr>
                <w:rFonts w:hint="eastAsia" w:ascii="宋体" w:hAnsi="宋体" w:cs="宋体"/>
                <w:color w:val="auto"/>
                <w:szCs w:val="21"/>
                <w:highlight w:val="none"/>
              </w:rPr>
              <w:t>（5）项目组成员中具有①测绘（测量）、②建筑（建筑工程）③城市（城乡）规划工程师及以上职称的，每个得0.5分，</w:t>
            </w:r>
          </w:p>
          <w:p w14:paraId="1A2F3DBA">
            <w:pPr>
              <w:spacing w:line="440" w:lineRule="exact"/>
              <w:jc w:val="left"/>
              <w:rPr>
                <w:rFonts w:hint="eastAsia" w:ascii="宋体" w:hAnsi="宋体" w:cs="宋体"/>
                <w:color w:val="auto"/>
                <w:szCs w:val="21"/>
                <w:highlight w:val="none"/>
              </w:rPr>
            </w:pPr>
            <w:r>
              <w:rPr>
                <w:rFonts w:hint="eastAsia" w:ascii="宋体" w:hAnsi="宋体" w:cs="宋体"/>
                <w:color w:val="auto"/>
                <w:szCs w:val="21"/>
                <w:highlight w:val="none"/>
              </w:rPr>
              <w:t>本小项一人多证的不重复计分，按一个证书计分，本项最高得1</w:t>
            </w:r>
            <w:r>
              <w:rPr>
                <w:rFonts w:ascii="宋体" w:hAnsi="宋体" w:cs="宋体"/>
                <w:color w:val="auto"/>
                <w:szCs w:val="21"/>
                <w:highlight w:val="none"/>
              </w:rPr>
              <w:t>4</w:t>
            </w:r>
            <w:r>
              <w:rPr>
                <w:rFonts w:hint="eastAsia" w:ascii="宋体" w:hAnsi="宋体" w:cs="宋体"/>
                <w:color w:val="auto"/>
                <w:szCs w:val="21"/>
                <w:highlight w:val="none"/>
              </w:rPr>
              <w:t>分。</w:t>
            </w:r>
          </w:p>
          <w:p w14:paraId="604BE8AC">
            <w:pPr>
              <w:pStyle w:val="230"/>
              <w:tabs>
                <w:tab w:val="left" w:pos="744"/>
                <w:tab w:val="left" w:pos="851"/>
              </w:tabs>
              <w:autoSpaceDE/>
              <w:autoSpaceDN/>
              <w:adjustRightInd/>
              <w:spacing w:line="440" w:lineRule="exact"/>
              <w:jc w:val="both"/>
              <w:rPr>
                <w:rFonts w:hint="eastAsia" w:hAnsi="宋体"/>
                <w:color w:val="auto"/>
                <w:kern w:val="2"/>
                <w:sz w:val="21"/>
                <w:szCs w:val="21"/>
                <w:highlight w:val="none"/>
                <w:lang w:bidi="ar"/>
              </w:rPr>
            </w:pPr>
            <w:r>
              <w:rPr>
                <w:rFonts w:hint="eastAsia" w:hAnsi="宋体"/>
                <w:b/>
                <w:bCs/>
                <w:color w:val="auto"/>
                <w:szCs w:val="21"/>
                <w:highlight w:val="none"/>
              </w:rPr>
              <w:t>上述人员需同时提供证书复印件加盖公章和提供社保部门出具的本单位为其缴纳的投标前近三个月的养老保险证明（含官网在线打印件，证明文件两个月内有效）或供应商提供承诺已为上述人员缴纳养老保险证明的承诺书（格式自拟）</w:t>
            </w:r>
          </w:p>
        </w:tc>
        <w:tc>
          <w:tcPr>
            <w:tcW w:w="1545" w:type="dxa"/>
            <w:tcBorders>
              <w:top w:val="single" w:color="auto" w:sz="4" w:space="0"/>
              <w:left w:val="single" w:color="auto" w:sz="4" w:space="0"/>
              <w:bottom w:val="single" w:color="auto" w:sz="4" w:space="0"/>
              <w:right w:val="single" w:color="auto" w:sz="4" w:space="0"/>
            </w:tcBorders>
            <w:vAlign w:val="center"/>
          </w:tcPr>
          <w:p w14:paraId="5B29E77F">
            <w:pPr>
              <w:spacing w:line="440" w:lineRule="exact"/>
              <w:jc w:val="center"/>
              <w:rPr>
                <w:rFonts w:ascii="宋体" w:hAnsi="宋体" w:cs="宋体"/>
                <w:color w:val="auto"/>
                <w:szCs w:val="21"/>
                <w:highlight w:val="none"/>
                <w:lang w:bidi="ar"/>
              </w:rPr>
            </w:pPr>
            <w:r>
              <w:rPr>
                <w:rFonts w:hint="eastAsia" w:ascii="宋体" w:hAnsi="宋体" w:cs="宋体"/>
                <w:color w:val="auto"/>
                <w:szCs w:val="21"/>
                <w:highlight w:val="none"/>
              </w:rPr>
              <w:t>0-</w:t>
            </w:r>
            <w:r>
              <w:rPr>
                <w:rFonts w:ascii="宋体" w:hAnsi="宋体" w:cs="宋体"/>
                <w:color w:val="auto"/>
                <w:szCs w:val="21"/>
                <w:highlight w:val="none"/>
              </w:rPr>
              <w:t>53</w:t>
            </w:r>
            <w:r>
              <w:rPr>
                <w:rFonts w:hint="eastAsia" w:ascii="宋体" w:hAnsi="宋体" w:cs="宋体"/>
                <w:color w:val="auto"/>
                <w:szCs w:val="21"/>
                <w:highlight w:val="none"/>
              </w:rPr>
              <w:t>分</w:t>
            </w:r>
          </w:p>
        </w:tc>
      </w:tr>
      <w:tr w14:paraId="4D62C8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1" w:hRule="atLeast"/>
          <w:jc w:val="center"/>
        </w:trPr>
        <w:tc>
          <w:tcPr>
            <w:tcW w:w="673" w:type="dxa"/>
            <w:vAlign w:val="center"/>
          </w:tcPr>
          <w:p w14:paraId="1227B03F">
            <w:pPr>
              <w:spacing w:line="440" w:lineRule="exact"/>
              <w:jc w:val="center"/>
              <w:rPr>
                <w:rFonts w:ascii="宋体" w:hAnsi="宋体" w:cs="宋体"/>
                <w:color w:val="auto"/>
                <w:szCs w:val="21"/>
                <w:highlight w:val="none"/>
                <w:lang w:bidi="ar"/>
              </w:rPr>
            </w:pPr>
            <w:r>
              <w:rPr>
                <w:rFonts w:hint="eastAsia" w:ascii="宋体" w:hAnsi="宋体" w:cs="宋体"/>
                <w:color w:val="auto"/>
                <w:szCs w:val="21"/>
                <w:highlight w:val="none"/>
                <w:lang w:bidi="ar"/>
              </w:rPr>
              <w:t>3</w:t>
            </w:r>
          </w:p>
        </w:tc>
        <w:tc>
          <w:tcPr>
            <w:tcW w:w="1454" w:type="dxa"/>
            <w:vAlign w:val="center"/>
          </w:tcPr>
          <w:p w14:paraId="17A12B25">
            <w:pPr>
              <w:spacing w:line="440" w:lineRule="exact"/>
              <w:jc w:val="center"/>
              <w:rPr>
                <w:rFonts w:ascii="宋体" w:hAnsi="宋体" w:cs="宋体"/>
                <w:color w:val="auto"/>
                <w:szCs w:val="21"/>
                <w:highlight w:val="none"/>
                <w:lang w:bidi="ar"/>
              </w:rPr>
            </w:pPr>
            <w:r>
              <w:rPr>
                <w:rFonts w:hint="eastAsia" w:ascii="宋体" w:hAnsi="宋体" w:cs="宋体"/>
                <w:color w:val="auto"/>
                <w:szCs w:val="21"/>
                <w:highlight w:val="none"/>
              </w:rPr>
              <w:t>项目人员配备</w:t>
            </w:r>
          </w:p>
        </w:tc>
        <w:tc>
          <w:tcPr>
            <w:tcW w:w="6127" w:type="dxa"/>
            <w:gridSpan w:val="2"/>
            <w:vAlign w:val="center"/>
          </w:tcPr>
          <w:p w14:paraId="24E32093">
            <w:pPr>
              <w:spacing w:line="440" w:lineRule="exact"/>
              <w:jc w:val="left"/>
              <w:rPr>
                <w:rFonts w:ascii="宋体" w:hAnsi="宋体" w:cs="宋体"/>
                <w:color w:val="auto"/>
                <w:kern w:val="0"/>
                <w:szCs w:val="21"/>
                <w:highlight w:val="none"/>
              </w:rPr>
            </w:pPr>
            <w:r>
              <w:rPr>
                <w:rFonts w:hint="eastAsia" w:ascii="宋体" w:hAnsi="宋体" w:cs="宋体"/>
                <w:color w:val="auto"/>
                <w:szCs w:val="21"/>
                <w:highlight w:val="none"/>
              </w:rPr>
              <w:t>供应商为本项目拟配备人员中：</w:t>
            </w:r>
          </w:p>
          <w:p w14:paraId="38657135">
            <w:pPr>
              <w:spacing w:line="440" w:lineRule="exact"/>
              <w:jc w:val="left"/>
              <w:rPr>
                <w:rFonts w:hint="eastAsia" w:ascii="宋体" w:hAnsi="宋体" w:cs="宋体"/>
                <w:color w:val="auto"/>
                <w:szCs w:val="21"/>
                <w:highlight w:val="none"/>
              </w:rPr>
            </w:pPr>
            <w:r>
              <w:rPr>
                <w:rFonts w:hint="eastAsia" w:ascii="宋体" w:hAnsi="宋体" w:cs="宋体"/>
                <w:color w:val="auto"/>
                <w:szCs w:val="21"/>
                <w:highlight w:val="none"/>
              </w:rPr>
              <w:t>1、项目负责人（1人、满分4分）</w:t>
            </w:r>
          </w:p>
          <w:p w14:paraId="26B4D4DF">
            <w:pPr>
              <w:spacing w:line="440" w:lineRule="exact"/>
              <w:jc w:val="left"/>
              <w:rPr>
                <w:rFonts w:hint="eastAsia" w:ascii="宋体" w:hAnsi="宋体" w:cs="宋体"/>
                <w:color w:val="auto"/>
                <w:szCs w:val="21"/>
                <w:highlight w:val="none"/>
              </w:rPr>
            </w:pPr>
            <w:r>
              <w:rPr>
                <w:rFonts w:hint="eastAsia" w:ascii="宋体" w:hAnsi="宋体" w:cs="宋体"/>
                <w:color w:val="auto"/>
                <w:szCs w:val="21"/>
                <w:highlight w:val="none"/>
              </w:rPr>
              <w:t>（1）具有测绘类专业高级及以上职称证书的得2分；</w:t>
            </w:r>
          </w:p>
          <w:p w14:paraId="025747F5">
            <w:pPr>
              <w:spacing w:line="440" w:lineRule="exact"/>
              <w:jc w:val="left"/>
              <w:rPr>
                <w:rFonts w:hint="eastAsia" w:ascii="宋体" w:hAnsi="宋体" w:cs="宋体"/>
                <w:color w:val="auto"/>
                <w:szCs w:val="21"/>
                <w:highlight w:val="none"/>
              </w:rPr>
            </w:pPr>
            <w:r>
              <w:rPr>
                <w:rFonts w:hint="eastAsia" w:ascii="宋体" w:hAnsi="宋体" w:cs="宋体"/>
                <w:color w:val="auto"/>
                <w:szCs w:val="21"/>
                <w:highlight w:val="none"/>
              </w:rPr>
              <w:t>（2）具有注册测绘师证书的得2分；</w:t>
            </w:r>
          </w:p>
          <w:p w14:paraId="6970266B">
            <w:pPr>
              <w:spacing w:line="440" w:lineRule="exact"/>
              <w:jc w:val="left"/>
              <w:rPr>
                <w:rFonts w:hint="eastAsia" w:ascii="宋体" w:hAnsi="宋体" w:cs="宋体"/>
                <w:color w:val="auto"/>
                <w:szCs w:val="21"/>
                <w:highlight w:val="none"/>
              </w:rPr>
            </w:pPr>
            <w:r>
              <w:rPr>
                <w:rFonts w:hint="eastAsia" w:ascii="宋体" w:hAnsi="宋体" w:cs="宋体"/>
                <w:color w:val="auto"/>
                <w:szCs w:val="21"/>
                <w:highlight w:val="none"/>
              </w:rPr>
              <w:t>2、项目技术负责人（1人、满分4分）</w:t>
            </w:r>
          </w:p>
          <w:p w14:paraId="0E7EBB5B">
            <w:pPr>
              <w:spacing w:line="440" w:lineRule="exact"/>
              <w:jc w:val="left"/>
              <w:rPr>
                <w:rFonts w:hint="eastAsia" w:ascii="宋体" w:hAnsi="宋体" w:cs="宋体"/>
                <w:color w:val="auto"/>
                <w:szCs w:val="21"/>
                <w:highlight w:val="none"/>
              </w:rPr>
            </w:pPr>
            <w:r>
              <w:rPr>
                <w:rFonts w:hint="eastAsia" w:ascii="宋体" w:hAnsi="宋体" w:cs="宋体"/>
                <w:color w:val="auto"/>
                <w:szCs w:val="21"/>
                <w:highlight w:val="none"/>
              </w:rPr>
              <w:t>（1）具有城市规划类专业中级及以上职称证书的得2分；</w:t>
            </w:r>
          </w:p>
          <w:p w14:paraId="2EE64C6E">
            <w:pPr>
              <w:spacing w:line="440" w:lineRule="exact"/>
              <w:jc w:val="left"/>
              <w:rPr>
                <w:rFonts w:hint="eastAsia" w:ascii="宋体" w:hAnsi="宋体" w:cs="宋体"/>
                <w:color w:val="auto"/>
                <w:szCs w:val="21"/>
                <w:highlight w:val="none"/>
              </w:rPr>
            </w:pPr>
            <w:r>
              <w:rPr>
                <w:rFonts w:hint="eastAsia" w:ascii="宋体" w:hAnsi="宋体" w:cs="宋体"/>
                <w:color w:val="auto"/>
                <w:szCs w:val="21"/>
                <w:highlight w:val="none"/>
              </w:rPr>
              <w:t>（2）具有注册城乡规划师证书的得2分；</w:t>
            </w:r>
          </w:p>
          <w:p w14:paraId="6AAF429E">
            <w:pPr>
              <w:spacing w:line="440" w:lineRule="exact"/>
              <w:jc w:val="left"/>
              <w:rPr>
                <w:rFonts w:ascii="宋体" w:hAnsi="宋体" w:cs="宋体"/>
                <w:color w:val="auto"/>
                <w:szCs w:val="21"/>
                <w:highlight w:val="none"/>
                <w:lang w:bidi="ar"/>
              </w:rPr>
            </w:pPr>
            <w:r>
              <w:rPr>
                <w:rFonts w:hint="eastAsia" w:ascii="宋体" w:hAnsi="宋体" w:cs="宋体"/>
                <w:b/>
                <w:bCs/>
                <w:color w:val="auto"/>
                <w:szCs w:val="21"/>
                <w:highlight w:val="none"/>
              </w:rPr>
              <w:t>注：项目负责人、技术负责人岗位不得兼任。上述人员需同时提供证书复印件加盖公章和社保部门出具的本单位为其缴纳的投标前近三个月的养老保险证明（含官网在线打印件，证明文件两个月内有效）或供应商提供承诺已为上述人员缴纳养老保险证明的承诺书（格式自拟）</w:t>
            </w:r>
          </w:p>
        </w:tc>
        <w:tc>
          <w:tcPr>
            <w:tcW w:w="1545" w:type="dxa"/>
            <w:vAlign w:val="center"/>
          </w:tcPr>
          <w:p w14:paraId="609BA055">
            <w:pPr>
              <w:spacing w:line="440" w:lineRule="exact"/>
              <w:jc w:val="center"/>
              <w:rPr>
                <w:rFonts w:ascii="宋体" w:hAnsi="宋体" w:cs="宋体"/>
                <w:color w:val="auto"/>
                <w:szCs w:val="21"/>
                <w:highlight w:val="none"/>
                <w:lang w:bidi="ar"/>
              </w:rPr>
            </w:pPr>
            <w:r>
              <w:rPr>
                <w:rFonts w:hint="eastAsia" w:ascii="宋体" w:hAnsi="宋体" w:cs="宋体"/>
                <w:color w:val="auto"/>
                <w:szCs w:val="21"/>
                <w:highlight w:val="none"/>
              </w:rPr>
              <w:t>0-</w:t>
            </w:r>
            <w:r>
              <w:rPr>
                <w:rFonts w:ascii="宋体" w:hAnsi="宋体" w:cs="宋体"/>
                <w:color w:val="auto"/>
                <w:szCs w:val="21"/>
                <w:highlight w:val="none"/>
              </w:rPr>
              <w:t>8</w:t>
            </w:r>
            <w:r>
              <w:rPr>
                <w:rFonts w:hint="eastAsia" w:ascii="宋体" w:hAnsi="宋体" w:cs="宋体"/>
                <w:color w:val="auto"/>
                <w:szCs w:val="21"/>
                <w:highlight w:val="none"/>
              </w:rPr>
              <w:t>分</w:t>
            </w:r>
          </w:p>
        </w:tc>
      </w:tr>
    </w:tbl>
    <w:p w14:paraId="360BB55C">
      <w:pPr>
        <w:pStyle w:val="40"/>
        <w:widowControl w:val="0"/>
        <w:adjustRightInd w:val="0"/>
        <w:snapToGrid w:val="0"/>
        <w:spacing w:line="560" w:lineRule="exact"/>
        <w:jc w:val="center"/>
        <w:rPr>
          <w:b/>
          <w:color w:val="auto"/>
          <w:kern w:val="2"/>
          <w:sz w:val="28"/>
          <w:szCs w:val="28"/>
          <w:highlight w:val="none"/>
          <w:lang w:bidi="ar"/>
        </w:rPr>
      </w:pPr>
    </w:p>
    <w:p w14:paraId="612EEFCE">
      <w:pPr>
        <w:pStyle w:val="40"/>
        <w:widowControl w:val="0"/>
        <w:adjustRightInd w:val="0"/>
        <w:snapToGrid w:val="0"/>
        <w:spacing w:line="560" w:lineRule="exact"/>
        <w:jc w:val="center"/>
        <w:rPr>
          <w:rFonts w:hint="eastAsia"/>
          <w:b/>
          <w:color w:val="auto"/>
          <w:kern w:val="2"/>
          <w:sz w:val="28"/>
          <w:szCs w:val="28"/>
          <w:highlight w:val="none"/>
          <w:lang w:bidi="ar"/>
        </w:rPr>
      </w:pPr>
    </w:p>
    <w:p w14:paraId="419D0E41">
      <w:pPr>
        <w:pStyle w:val="40"/>
        <w:widowControl w:val="0"/>
        <w:adjustRightInd w:val="0"/>
        <w:snapToGrid w:val="0"/>
        <w:spacing w:line="560" w:lineRule="exact"/>
        <w:jc w:val="center"/>
        <w:rPr>
          <w:rFonts w:hint="eastAsia"/>
          <w:b/>
          <w:color w:val="auto"/>
          <w:kern w:val="2"/>
          <w:sz w:val="28"/>
          <w:szCs w:val="28"/>
          <w:highlight w:val="none"/>
          <w:lang w:bidi="ar"/>
        </w:rPr>
      </w:pPr>
    </w:p>
    <w:p w14:paraId="6B783C11">
      <w:pPr>
        <w:pStyle w:val="40"/>
        <w:widowControl w:val="0"/>
        <w:adjustRightInd w:val="0"/>
        <w:snapToGrid w:val="0"/>
        <w:spacing w:line="560" w:lineRule="exact"/>
        <w:jc w:val="center"/>
        <w:rPr>
          <w:rFonts w:hint="eastAsia"/>
          <w:b/>
          <w:color w:val="auto"/>
          <w:kern w:val="2"/>
          <w:sz w:val="28"/>
          <w:szCs w:val="28"/>
          <w:highlight w:val="none"/>
          <w:lang w:bidi="ar"/>
        </w:rPr>
      </w:pPr>
    </w:p>
    <w:p w14:paraId="42721117">
      <w:pPr>
        <w:pStyle w:val="40"/>
        <w:widowControl w:val="0"/>
        <w:adjustRightInd w:val="0"/>
        <w:snapToGrid w:val="0"/>
        <w:spacing w:line="560" w:lineRule="exact"/>
        <w:jc w:val="center"/>
        <w:rPr>
          <w:b/>
          <w:color w:val="auto"/>
          <w:kern w:val="2"/>
          <w:sz w:val="28"/>
          <w:szCs w:val="28"/>
          <w:highlight w:val="none"/>
        </w:rPr>
      </w:pPr>
      <w:r>
        <w:rPr>
          <w:rFonts w:hint="eastAsia"/>
          <w:b/>
          <w:color w:val="auto"/>
          <w:kern w:val="2"/>
          <w:sz w:val="28"/>
          <w:szCs w:val="28"/>
          <w:highlight w:val="none"/>
          <w:lang w:bidi="ar"/>
        </w:rPr>
        <w:t>（</w:t>
      </w:r>
      <w:r>
        <w:rPr>
          <w:rFonts w:hint="eastAsia"/>
          <w:b/>
          <w:color w:val="auto"/>
          <w:kern w:val="2"/>
          <w:sz w:val="28"/>
          <w:szCs w:val="28"/>
          <w:highlight w:val="none"/>
          <w:lang w:val="en-US" w:eastAsia="zh-CN" w:bidi="ar"/>
        </w:rPr>
        <w:t>二</w:t>
      </w:r>
      <w:r>
        <w:rPr>
          <w:rFonts w:hint="eastAsia"/>
          <w:b/>
          <w:color w:val="auto"/>
          <w:kern w:val="2"/>
          <w:sz w:val="28"/>
          <w:szCs w:val="28"/>
          <w:highlight w:val="none"/>
          <w:lang w:bidi="ar"/>
        </w:rPr>
        <w:t>）商务评审（</w:t>
      </w:r>
      <w:r>
        <w:rPr>
          <w:rFonts w:hint="eastAsia"/>
          <w:b/>
          <w:color w:val="auto"/>
          <w:kern w:val="2"/>
          <w:sz w:val="28"/>
          <w:szCs w:val="28"/>
          <w:highlight w:val="none"/>
          <w:lang w:val="en-US" w:eastAsia="zh-CN" w:bidi="ar"/>
        </w:rPr>
        <w:t>35</w:t>
      </w:r>
      <w:r>
        <w:rPr>
          <w:rFonts w:hint="eastAsia"/>
          <w:b/>
          <w:color w:val="auto"/>
          <w:kern w:val="2"/>
          <w:sz w:val="28"/>
          <w:szCs w:val="28"/>
          <w:highlight w:val="none"/>
          <w:lang w:bidi="ar"/>
        </w:rPr>
        <w:t>分）</w:t>
      </w:r>
    </w:p>
    <w:tbl>
      <w:tblPr>
        <w:tblStyle w:val="44"/>
        <w:tblW w:w="97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4"/>
        <w:gridCol w:w="1786"/>
        <w:gridCol w:w="1727"/>
        <w:gridCol w:w="5367"/>
      </w:tblGrid>
      <w:tr w14:paraId="15878B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2610" w:type="dxa"/>
            <w:gridSpan w:val="2"/>
            <w:tcBorders>
              <w:top w:val="single" w:color="auto" w:sz="4" w:space="0"/>
              <w:left w:val="single" w:color="auto" w:sz="4" w:space="0"/>
              <w:bottom w:val="single" w:color="auto" w:sz="4" w:space="0"/>
              <w:right w:val="single" w:color="auto" w:sz="4" w:space="0"/>
            </w:tcBorders>
            <w:vAlign w:val="center"/>
          </w:tcPr>
          <w:p w14:paraId="2D066830">
            <w:pPr>
              <w:autoSpaceDE w:val="0"/>
              <w:spacing w:line="440" w:lineRule="exact"/>
              <w:jc w:val="left"/>
              <w:rPr>
                <w:rFonts w:ascii="宋体" w:hAnsi="宋体" w:cs="宋体"/>
                <w:b/>
                <w:bCs/>
                <w:color w:val="auto"/>
                <w:szCs w:val="21"/>
                <w:highlight w:val="none"/>
              </w:rPr>
            </w:pPr>
            <w:r>
              <w:rPr>
                <w:rFonts w:hint="eastAsia" w:ascii="宋体" w:hAnsi="宋体" w:cs="宋体"/>
                <w:b/>
                <w:bCs/>
                <w:color w:val="auto"/>
                <w:szCs w:val="21"/>
                <w:highlight w:val="none"/>
                <w:lang w:bidi="ar"/>
              </w:rPr>
              <w:t>条款号</w:t>
            </w:r>
          </w:p>
        </w:tc>
        <w:tc>
          <w:tcPr>
            <w:tcW w:w="1727" w:type="dxa"/>
            <w:tcBorders>
              <w:top w:val="single" w:color="auto" w:sz="4" w:space="0"/>
              <w:left w:val="single" w:color="auto" w:sz="4" w:space="0"/>
              <w:bottom w:val="single" w:color="auto" w:sz="4" w:space="0"/>
              <w:right w:val="single" w:color="auto" w:sz="4" w:space="0"/>
            </w:tcBorders>
            <w:vAlign w:val="center"/>
          </w:tcPr>
          <w:p w14:paraId="69D7C231">
            <w:pPr>
              <w:autoSpaceDE w:val="0"/>
              <w:spacing w:line="440" w:lineRule="exact"/>
              <w:jc w:val="left"/>
              <w:rPr>
                <w:rFonts w:ascii="宋体" w:hAnsi="宋体" w:cs="宋体"/>
                <w:b/>
                <w:bCs/>
                <w:color w:val="auto"/>
                <w:szCs w:val="21"/>
                <w:highlight w:val="none"/>
              </w:rPr>
            </w:pPr>
            <w:r>
              <w:rPr>
                <w:rFonts w:hint="eastAsia" w:ascii="宋体" w:hAnsi="宋体" w:cs="宋体"/>
                <w:b/>
                <w:bCs/>
                <w:color w:val="auto"/>
                <w:szCs w:val="21"/>
                <w:highlight w:val="none"/>
                <w:lang w:bidi="ar"/>
              </w:rPr>
              <w:t>评审因素</w:t>
            </w:r>
          </w:p>
        </w:tc>
        <w:tc>
          <w:tcPr>
            <w:tcW w:w="5367" w:type="dxa"/>
            <w:tcBorders>
              <w:top w:val="single" w:color="auto" w:sz="4" w:space="0"/>
              <w:left w:val="single" w:color="auto" w:sz="4" w:space="0"/>
              <w:bottom w:val="single" w:color="auto" w:sz="4" w:space="0"/>
              <w:right w:val="single" w:color="auto" w:sz="4" w:space="0"/>
            </w:tcBorders>
            <w:vAlign w:val="center"/>
          </w:tcPr>
          <w:p w14:paraId="1541B9F4">
            <w:pPr>
              <w:autoSpaceDE w:val="0"/>
              <w:spacing w:line="440" w:lineRule="exact"/>
              <w:jc w:val="left"/>
              <w:rPr>
                <w:rFonts w:ascii="宋体" w:hAnsi="宋体" w:cs="宋体"/>
                <w:b/>
                <w:bCs/>
                <w:color w:val="auto"/>
                <w:szCs w:val="21"/>
                <w:highlight w:val="none"/>
              </w:rPr>
            </w:pPr>
            <w:r>
              <w:rPr>
                <w:rFonts w:hint="eastAsia" w:ascii="宋体" w:hAnsi="宋体" w:cs="宋体"/>
                <w:b/>
                <w:bCs/>
                <w:color w:val="auto"/>
                <w:szCs w:val="21"/>
                <w:highlight w:val="none"/>
                <w:lang w:bidi="ar"/>
              </w:rPr>
              <w:t>评审标准</w:t>
            </w:r>
          </w:p>
        </w:tc>
      </w:tr>
      <w:tr w14:paraId="4B6168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824" w:type="dxa"/>
            <w:vMerge w:val="restart"/>
            <w:tcBorders>
              <w:top w:val="nil"/>
              <w:left w:val="single" w:color="auto" w:sz="4" w:space="0"/>
              <w:bottom w:val="single" w:color="auto" w:sz="4" w:space="0"/>
              <w:right w:val="single" w:color="auto" w:sz="4" w:space="0"/>
            </w:tcBorders>
            <w:vAlign w:val="center"/>
          </w:tcPr>
          <w:p w14:paraId="0C0165C2">
            <w:pPr>
              <w:autoSpaceDE w:val="0"/>
              <w:spacing w:line="440" w:lineRule="exact"/>
              <w:jc w:val="left"/>
              <w:rPr>
                <w:rFonts w:ascii="宋体" w:hAnsi="宋体" w:cs="宋体"/>
                <w:color w:val="auto"/>
                <w:szCs w:val="21"/>
                <w:highlight w:val="none"/>
              </w:rPr>
            </w:pPr>
            <w:r>
              <w:rPr>
                <w:rFonts w:hint="eastAsia" w:ascii="宋体" w:hAnsi="宋体" w:cs="宋体"/>
                <w:color w:val="auto"/>
                <w:szCs w:val="21"/>
                <w:highlight w:val="none"/>
                <w:lang w:bidi="ar"/>
              </w:rPr>
              <w:t>4.2.1</w:t>
            </w:r>
          </w:p>
        </w:tc>
        <w:tc>
          <w:tcPr>
            <w:tcW w:w="1786" w:type="dxa"/>
            <w:vMerge w:val="restart"/>
            <w:tcBorders>
              <w:top w:val="nil"/>
              <w:left w:val="single" w:color="auto" w:sz="4" w:space="0"/>
              <w:bottom w:val="single" w:color="auto" w:sz="4" w:space="0"/>
              <w:right w:val="single" w:color="auto" w:sz="4" w:space="0"/>
            </w:tcBorders>
            <w:vAlign w:val="center"/>
          </w:tcPr>
          <w:p w14:paraId="2CA98C88">
            <w:pPr>
              <w:autoSpaceDE w:val="0"/>
              <w:spacing w:line="440" w:lineRule="exact"/>
              <w:jc w:val="left"/>
              <w:rPr>
                <w:rFonts w:ascii="宋体" w:hAnsi="宋体" w:cs="宋体"/>
                <w:color w:val="auto"/>
                <w:szCs w:val="21"/>
                <w:highlight w:val="none"/>
              </w:rPr>
            </w:pPr>
            <w:r>
              <w:rPr>
                <w:rFonts w:hint="eastAsia" w:ascii="宋体" w:hAnsi="宋体" w:cs="宋体"/>
                <w:color w:val="auto"/>
                <w:szCs w:val="21"/>
                <w:highlight w:val="none"/>
                <w:lang w:bidi="ar"/>
              </w:rPr>
              <w:t>形式评审标准</w:t>
            </w:r>
          </w:p>
        </w:tc>
        <w:tc>
          <w:tcPr>
            <w:tcW w:w="1727" w:type="dxa"/>
            <w:tcBorders>
              <w:top w:val="single" w:color="auto" w:sz="4" w:space="0"/>
              <w:left w:val="single" w:color="auto" w:sz="4" w:space="0"/>
              <w:bottom w:val="single" w:color="auto" w:sz="4" w:space="0"/>
              <w:right w:val="single" w:color="auto" w:sz="4" w:space="0"/>
            </w:tcBorders>
            <w:vAlign w:val="center"/>
          </w:tcPr>
          <w:p w14:paraId="7F811B10">
            <w:pPr>
              <w:autoSpaceDE w:val="0"/>
              <w:spacing w:line="440" w:lineRule="exact"/>
              <w:jc w:val="left"/>
              <w:rPr>
                <w:rFonts w:ascii="宋体" w:hAnsi="宋体" w:cs="宋体"/>
                <w:color w:val="auto"/>
                <w:szCs w:val="21"/>
                <w:highlight w:val="none"/>
              </w:rPr>
            </w:pPr>
            <w:r>
              <w:rPr>
                <w:rFonts w:hint="eastAsia" w:ascii="宋体" w:hAnsi="宋体" w:cs="宋体"/>
                <w:color w:val="auto"/>
                <w:szCs w:val="21"/>
                <w:highlight w:val="none"/>
                <w:lang w:bidi="ar"/>
              </w:rPr>
              <w:t>投标函签字盖章</w:t>
            </w:r>
          </w:p>
        </w:tc>
        <w:tc>
          <w:tcPr>
            <w:tcW w:w="5367" w:type="dxa"/>
            <w:tcBorders>
              <w:top w:val="single" w:color="auto" w:sz="4" w:space="0"/>
              <w:left w:val="single" w:color="auto" w:sz="4" w:space="0"/>
              <w:bottom w:val="single" w:color="auto" w:sz="4" w:space="0"/>
              <w:right w:val="single" w:color="auto" w:sz="4" w:space="0"/>
            </w:tcBorders>
          </w:tcPr>
          <w:p w14:paraId="16F836F7">
            <w:pPr>
              <w:autoSpaceDE w:val="0"/>
              <w:spacing w:line="440" w:lineRule="exact"/>
              <w:jc w:val="left"/>
              <w:rPr>
                <w:rFonts w:ascii="宋体" w:hAnsi="宋体" w:cs="宋体"/>
                <w:color w:val="auto"/>
                <w:szCs w:val="21"/>
                <w:highlight w:val="none"/>
              </w:rPr>
            </w:pPr>
            <w:r>
              <w:rPr>
                <w:rFonts w:hint="eastAsia" w:ascii="宋体" w:hAnsi="宋体" w:cs="宋体"/>
                <w:color w:val="auto"/>
                <w:szCs w:val="21"/>
                <w:highlight w:val="none"/>
                <w:lang w:bidi="ar"/>
              </w:rPr>
              <w:t>有法定代表人或其委托代理人签字或盖章，并加盖单位公章。</w:t>
            </w:r>
          </w:p>
        </w:tc>
      </w:tr>
      <w:tr w14:paraId="06FFA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824" w:type="dxa"/>
            <w:vMerge w:val="continue"/>
            <w:tcBorders>
              <w:top w:val="nil"/>
              <w:left w:val="single" w:color="auto" w:sz="4" w:space="0"/>
              <w:bottom w:val="single" w:color="auto" w:sz="4" w:space="0"/>
              <w:right w:val="single" w:color="auto" w:sz="4" w:space="0"/>
            </w:tcBorders>
            <w:vAlign w:val="center"/>
          </w:tcPr>
          <w:p w14:paraId="72FFC20A">
            <w:pPr>
              <w:rPr>
                <w:rFonts w:ascii="宋体" w:hAnsi="宋体" w:cs="宋体"/>
                <w:color w:val="auto"/>
                <w:sz w:val="20"/>
                <w:szCs w:val="20"/>
                <w:highlight w:val="none"/>
              </w:rPr>
            </w:pPr>
          </w:p>
        </w:tc>
        <w:tc>
          <w:tcPr>
            <w:tcW w:w="1786" w:type="dxa"/>
            <w:vMerge w:val="continue"/>
            <w:tcBorders>
              <w:top w:val="nil"/>
              <w:left w:val="single" w:color="auto" w:sz="4" w:space="0"/>
              <w:bottom w:val="single" w:color="auto" w:sz="4" w:space="0"/>
              <w:right w:val="single" w:color="auto" w:sz="4" w:space="0"/>
            </w:tcBorders>
            <w:vAlign w:val="center"/>
          </w:tcPr>
          <w:p w14:paraId="58C3F3D7">
            <w:pPr>
              <w:rPr>
                <w:rFonts w:ascii="宋体" w:hAnsi="宋体" w:cs="宋体"/>
                <w:color w:val="auto"/>
                <w:sz w:val="20"/>
                <w:szCs w:val="20"/>
                <w:highlight w:val="none"/>
              </w:rPr>
            </w:pPr>
          </w:p>
        </w:tc>
        <w:tc>
          <w:tcPr>
            <w:tcW w:w="1727" w:type="dxa"/>
            <w:tcBorders>
              <w:top w:val="single" w:color="auto" w:sz="4" w:space="0"/>
              <w:left w:val="single" w:color="auto" w:sz="4" w:space="0"/>
              <w:bottom w:val="single" w:color="auto" w:sz="4" w:space="0"/>
              <w:right w:val="single" w:color="auto" w:sz="4" w:space="0"/>
            </w:tcBorders>
            <w:vAlign w:val="center"/>
          </w:tcPr>
          <w:p w14:paraId="706E62D5">
            <w:pPr>
              <w:autoSpaceDE w:val="0"/>
              <w:spacing w:line="440" w:lineRule="exact"/>
              <w:jc w:val="left"/>
              <w:rPr>
                <w:rFonts w:ascii="宋体" w:hAnsi="宋体" w:cs="宋体"/>
                <w:color w:val="auto"/>
                <w:szCs w:val="21"/>
                <w:highlight w:val="none"/>
              </w:rPr>
            </w:pPr>
            <w:r>
              <w:rPr>
                <w:rFonts w:hint="eastAsia" w:ascii="宋体" w:hAnsi="宋体" w:cs="宋体"/>
                <w:color w:val="auto"/>
                <w:szCs w:val="21"/>
                <w:highlight w:val="none"/>
                <w:lang w:bidi="ar"/>
              </w:rPr>
              <w:t>投标文件格式</w:t>
            </w:r>
          </w:p>
        </w:tc>
        <w:tc>
          <w:tcPr>
            <w:tcW w:w="5367" w:type="dxa"/>
            <w:tcBorders>
              <w:top w:val="single" w:color="auto" w:sz="4" w:space="0"/>
              <w:left w:val="single" w:color="auto" w:sz="4" w:space="0"/>
              <w:bottom w:val="single" w:color="auto" w:sz="4" w:space="0"/>
              <w:right w:val="single" w:color="auto" w:sz="4" w:space="0"/>
            </w:tcBorders>
          </w:tcPr>
          <w:p w14:paraId="55D27C84">
            <w:pPr>
              <w:autoSpaceDE w:val="0"/>
              <w:spacing w:line="440" w:lineRule="exact"/>
              <w:jc w:val="left"/>
              <w:rPr>
                <w:rFonts w:ascii="宋体" w:hAnsi="宋体" w:cs="宋体"/>
                <w:color w:val="auto"/>
                <w:szCs w:val="21"/>
                <w:highlight w:val="none"/>
              </w:rPr>
            </w:pPr>
            <w:r>
              <w:rPr>
                <w:rFonts w:hint="eastAsia" w:ascii="宋体" w:hAnsi="宋体" w:cs="宋体"/>
                <w:color w:val="auto"/>
                <w:szCs w:val="21"/>
                <w:highlight w:val="none"/>
                <w:lang w:bidi="ar"/>
              </w:rPr>
              <w:t>符合“投标文件格式”的要求</w:t>
            </w:r>
          </w:p>
        </w:tc>
      </w:tr>
      <w:tr w14:paraId="2051D6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824" w:type="dxa"/>
            <w:vMerge w:val="continue"/>
            <w:tcBorders>
              <w:top w:val="nil"/>
              <w:left w:val="single" w:color="auto" w:sz="4" w:space="0"/>
              <w:bottom w:val="single" w:color="auto" w:sz="4" w:space="0"/>
              <w:right w:val="single" w:color="auto" w:sz="4" w:space="0"/>
            </w:tcBorders>
            <w:vAlign w:val="center"/>
          </w:tcPr>
          <w:p w14:paraId="18A722D6">
            <w:pPr>
              <w:rPr>
                <w:rFonts w:ascii="宋体" w:hAnsi="宋体" w:cs="宋体"/>
                <w:color w:val="auto"/>
                <w:sz w:val="20"/>
                <w:szCs w:val="20"/>
                <w:highlight w:val="none"/>
              </w:rPr>
            </w:pPr>
          </w:p>
        </w:tc>
        <w:tc>
          <w:tcPr>
            <w:tcW w:w="1786" w:type="dxa"/>
            <w:vMerge w:val="continue"/>
            <w:tcBorders>
              <w:top w:val="nil"/>
              <w:left w:val="single" w:color="auto" w:sz="4" w:space="0"/>
              <w:bottom w:val="single" w:color="auto" w:sz="4" w:space="0"/>
              <w:right w:val="single" w:color="auto" w:sz="4" w:space="0"/>
            </w:tcBorders>
            <w:vAlign w:val="center"/>
          </w:tcPr>
          <w:p w14:paraId="5EF02AC1">
            <w:pPr>
              <w:rPr>
                <w:rFonts w:ascii="宋体" w:hAnsi="宋体" w:cs="宋体"/>
                <w:color w:val="auto"/>
                <w:sz w:val="20"/>
                <w:szCs w:val="20"/>
                <w:highlight w:val="none"/>
              </w:rPr>
            </w:pPr>
          </w:p>
        </w:tc>
        <w:tc>
          <w:tcPr>
            <w:tcW w:w="1727" w:type="dxa"/>
            <w:tcBorders>
              <w:top w:val="single" w:color="auto" w:sz="4" w:space="0"/>
              <w:left w:val="single" w:color="auto" w:sz="4" w:space="0"/>
              <w:bottom w:val="single" w:color="auto" w:sz="4" w:space="0"/>
              <w:right w:val="single" w:color="auto" w:sz="4" w:space="0"/>
            </w:tcBorders>
            <w:vAlign w:val="center"/>
          </w:tcPr>
          <w:p w14:paraId="3EA5251A">
            <w:pPr>
              <w:autoSpaceDE w:val="0"/>
              <w:spacing w:line="440" w:lineRule="exact"/>
              <w:jc w:val="left"/>
              <w:rPr>
                <w:rFonts w:ascii="宋体" w:hAnsi="宋体" w:cs="宋体"/>
                <w:color w:val="auto"/>
                <w:szCs w:val="21"/>
                <w:highlight w:val="none"/>
              </w:rPr>
            </w:pPr>
            <w:r>
              <w:rPr>
                <w:rFonts w:hint="eastAsia" w:ascii="宋体" w:hAnsi="宋体" w:cs="宋体"/>
                <w:color w:val="auto"/>
                <w:szCs w:val="21"/>
                <w:highlight w:val="none"/>
                <w:lang w:bidi="ar"/>
              </w:rPr>
              <w:t>报价唯一</w:t>
            </w:r>
          </w:p>
        </w:tc>
        <w:tc>
          <w:tcPr>
            <w:tcW w:w="5367" w:type="dxa"/>
            <w:tcBorders>
              <w:top w:val="single" w:color="auto" w:sz="4" w:space="0"/>
              <w:left w:val="single" w:color="auto" w:sz="4" w:space="0"/>
              <w:bottom w:val="single" w:color="auto" w:sz="4" w:space="0"/>
              <w:right w:val="single" w:color="auto" w:sz="4" w:space="0"/>
            </w:tcBorders>
          </w:tcPr>
          <w:p w14:paraId="608D1B01">
            <w:pPr>
              <w:autoSpaceDE w:val="0"/>
              <w:spacing w:line="440" w:lineRule="exact"/>
              <w:jc w:val="left"/>
              <w:rPr>
                <w:rFonts w:ascii="宋体" w:hAnsi="宋体" w:cs="宋体"/>
                <w:color w:val="auto"/>
                <w:szCs w:val="21"/>
                <w:highlight w:val="none"/>
              </w:rPr>
            </w:pPr>
            <w:r>
              <w:rPr>
                <w:rFonts w:hint="eastAsia" w:ascii="宋体" w:hAnsi="宋体" w:cs="宋体"/>
                <w:color w:val="auto"/>
                <w:szCs w:val="21"/>
                <w:highlight w:val="none"/>
                <w:lang w:bidi="ar"/>
              </w:rPr>
              <w:t>只能有一个报价</w:t>
            </w:r>
          </w:p>
        </w:tc>
      </w:tr>
      <w:tr w14:paraId="07BFE3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824" w:type="dxa"/>
            <w:vMerge w:val="restart"/>
            <w:tcBorders>
              <w:top w:val="nil"/>
              <w:left w:val="single" w:color="auto" w:sz="4" w:space="0"/>
              <w:bottom w:val="single" w:color="auto" w:sz="4" w:space="0"/>
              <w:right w:val="single" w:color="auto" w:sz="4" w:space="0"/>
            </w:tcBorders>
            <w:vAlign w:val="center"/>
          </w:tcPr>
          <w:p w14:paraId="7EAEE23D">
            <w:pPr>
              <w:autoSpaceDE w:val="0"/>
              <w:spacing w:line="440" w:lineRule="exact"/>
              <w:jc w:val="left"/>
              <w:rPr>
                <w:rFonts w:ascii="宋体" w:hAnsi="宋体" w:cs="宋体"/>
                <w:color w:val="auto"/>
                <w:szCs w:val="21"/>
                <w:highlight w:val="none"/>
              </w:rPr>
            </w:pPr>
            <w:r>
              <w:rPr>
                <w:rFonts w:hint="eastAsia" w:ascii="宋体" w:hAnsi="宋体" w:cs="宋体"/>
                <w:color w:val="auto"/>
                <w:szCs w:val="21"/>
                <w:highlight w:val="none"/>
                <w:lang w:bidi="ar"/>
              </w:rPr>
              <w:t>4.2.2</w:t>
            </w:r>
          </w:p>
        </w:tc>
        <w:tc>
          <w:tcPr>
            <w:tcW w:w="1786" w:type="dxa"/>
            <w:vMerge w:val="restart"/>
            <w:tcBorders>
              <w:top w:val="nil"/>
              <w:left w:val="single" w:color="auto" w:sz="4" w:space="0"/>
              <w:bottom w:val="single" w:color="auto" w:sz="4" w:space="0"/>
              <w:right w:val="single" w:color="auto" w:sz="4" w:space="0"/>
            </w:tcBorders>
            <w:vAlign w:val="center"/>
          </w:tcPr>
          <w:p w14:paraId="162A3B71">
            <w:pPr>
              <w:autoSpaceDE w:val="0"/>
              <w:spacing w:line="440" w:lineRule="exact"/>
              <w:jc w:val="left"/>
              <w:rPr>
                <w:rFonts w:ascii="宋体" w:hAnsi="宋体" w:cs="宋体"/>
                <w:color w:val="auto"/>
                <w:szCs w:val="21"/>
                <w:highlight w:val="none"/>
              </w:rPr>
            </w:pPr>
            <w:r>
              <w:rPr>
                <w:rFonts w:hint="eastAsia" w:ascii="宋体" w:hAnsi="宋体" w:cs="宋体"/>
                <w:color w:val="auto"/>
                <w:szCs w:val="21"/>
                <w:highlight w:val="none"/>
                <w:lang w:bidi="ar"/>
              </w:rPr>
              <w:t>响应性评审标准</w:t>
            </w:r>
          </w:p>
        </w:tc>
        <w:tc>
          <w:tcPr>
            <w:tcW w:w="1727" w:type="dxa"/>
            <w:tcBorders>
              <w:top w:val="single" w:color="auto" w:sz="4" w:space="0"/>
              <w:left w:val="single" w:color="auto" w:sz="4" w:space="0"/>
              <w:bottom w:val="single" w:color="auto" w:sz="4" w:space="0"/>
              <w:right w:val="single" w:color="auto" w:sz="4" w:space="0"/>
            </w:tcBorders>
            <w:vAlign w:val="center"/>
          </w:tcPr>
          <w:p w14:paraId="6D372C80">
            <w:pPr>
              <w:autoSpaceDE w:val="0"/>
              <w:spacing w:line="440" w:lineRule="exact"/>
              <w:jc w:val="left"/>
              <w:rPr>
                <w:rFonts w:ascii="宋体" w:hAnsi="宋体" w:cs="宋体"/>
                <w:color w:val="auto"/>
                <w:szCs w:val="21"/>
                <w:highlight w:val="none"/>
              </w:rPr>
            </w:pPr>
            <w:r>
              <w:rPr>
                <w:rFonts w:hint="eastAsia" w:ascii="宋体" w:hAnsi="宋体" w:cs="宋体"/>
                <w:color w:val="auto"/>
                <w:szCs w:val="21"/>
                <w:highlight w:val="none"/>
                <w:lang w:bidi="ar"/>
              </w:rPr>
              <w:t>服务期限</w:t>
            </w:r>
          </w:p>
        </w:tc>
        <w:tc>
          <w:tcPr>
            <w:tcW w:w="5367" w:type="dxa"/>
            <w:tcBorders>
              <w:top w:val="single" w:color="auto" w:sz="4" w:space="0"/>
              <w:left w:val="single" w:color="auto" w:sz="4" w:space="0"/>
              <w:bottom w:val="single" w:color="auto" w:sz="4" w:space="0"/>
              <w:right w:val="single" w:color="auto" w:sz="4" w:space="0"/>
            </w:tcBorders>
            <w:vAlign w:val="center"/>
          </w:tcPr>
          <w:p w14:paraId="78B30B28">
            <w:pPr>
              <w:autoSpaceDE w:val="0"/>
              <w:spacing w:line="440" w:lineRule="exact"/>
              <w:jc w:val="left"/>
              <w:rPr>
                <w:rFonts w:ascii="宋体" w:hAnsi="宋体" w:cs="宋体"/>
                <w:color w:val="auto"/>
                <w:szCs w:val="21"/>
                <w:highlight w:val="none"/>
              </w:rPr>
            </w:pPr>
            <w:r>
              <w:rPr>
                <w:rFonts w:hint="eastAsia" w:ascii="宋体" w:hAnsi="宋体" w:cs="宋体"/>
                <w:color w:val="auto"/>
                <w:szCs w:val="21"/>
                <w:highlight w:val="none"/>
                <w:lang w:bidi="ar"/>
              </w:rPr>
              <w:t>符合“投标人须知”第1.3.2 项规定</w:t>
            </w:r>
          </w:p>
        </w:tc>
      </w:tr>
      <w:tr w14:paraId="55D5C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824" w:type="dxa"/>
            <w:vMerge w:val="continue"/>
            <w:tcBorders>
              <w:top w:val="nil"/>
              <w:left w:val="single" w:color="auto" w:sz="4" w:space="0"/>
              <w:bottom w:val="single" w:color="auto" w:sz="4" w:space="0"/>
              <w:right w:val="single" w:color="auto" w:sz="4" w:space="0"/>
            </w:tcBorders>
            <w:vAlign w:val="center"/>
          </w:tcPr>
          <w:p w14:paraId="678D940C">
            <w:pPr>
              <w:rPr>
                <w:rFonts w:ascii="宋体" w:hAnsi="宋体" w:cs="宋体"/>
                <w:color w:val="auto"/>
                <w:sz w:val="20"/>
                <w:szCs w:val="20"/>
                <w:highlight w:val="none"/>
              </w:rPr>
            </w:pPr>
          </w:p>
        </w:tc>
        <w:tc>
          <w:tcPr>
            <w:tcW w:w="1786" w:type="dxa"/>
            <w:vMerge w:val="continue"/>
            <w:tcBorders>
              <w:top w:val="nil"/>
              <w:left w:val="single" w:color="auto" w:sz="4" w:space="0"/>
              <w:bottom w:val="single" w:color="auto" w:sz="4" w:space="0"/>
              <w:right w:val="single" w:color="auto" w:sz="4" w:space="0"/>
            </w:tcBorders>
            <w:vAlign w:val="center"/>
          </w:tcPr>
          <w:p w14:paraId="3D757F67">
            <w:pPr>
              <w:rPr>
                <w:rFonts w:ascii="宋体" w:hAnsi="宋体" w:cs="宋体"/>
                <w:color w:val="auto"/>
                <w:sz w:val="20"/>
                <w:szCs w:val="20"/>
                <w:highlight w:val="none"/>
              </w:rPr>
            </w:pPr>
          </w:p>
        </w:tc>
        <w:tc>
          <w:tcPr>
            <w:tcW w:w="1727" w:type="dxa"/>
            <w:tcBorders>
              <w:top w:val="single" w:color="auto" w:sz="4" w:space="0"/>
              <w:left w:val="single" w:color="auto" w:sz="4" w:space="0"/>
              <w:bottom w:val="single" w:color="auto" w:sz="4" w:space="0"/>
              <w:right w:val="single" w:color="auto" w:sz="4" w:space="0"/>
            </w:tcBorders>
            <w:vAlign w:val="center"/>
          </w:tcPr>
          <w:p w14:paraId="5FA57399">
            <w:pPr>
              <w:autoSpaceDE w:val="0"/>
              <w:spacing w:line="440" w:lineRule="exact"/>
              <w:jc w:val="left"/>
              <w:rPr>
                <w:rFonts w:ascii="宋体" w:hAnsi="宋体" w:cs="宋体"/>
                <w:color w:val="auto"/>
                <w:szCs w:val="21"/>
                <w:highlight w:val="none"/>
              </w:rPr>
            </w:pPr>
            <w:r>
              <w:rPr>
                <w:rFonts w:hint="eastAsia" w:ascii="宋体" w:hAnsi="宋体" w:cs="宋体"/>
                <w:color w:val="auto"/>
                <w:szCs w:val="21"/>
                <w:highlight w:val="none"/>
                <w:lang w:bidi="ar"/>
              </w:rPr>
              <w:t>投标有效期</w:t>
            </w:r>
          </w:p>
        </w:tc>
        <w:tc>
          <w:tcPr>
            <w:tcW w:w="5367" w:type="dxa"/>
            <w:tcBorders>
              <w:top w:val="single" w:color="auto" w:sz="4" w:space="0"/>
              <w:left w:val="single" w:color="auto" w:sz="4" w:space="0"/>
              <w:bottom w:val="single" w:color="auto" w:sz="4" w:space="0"/>
              <w:right w:val="single" w:color="auto" w:sz="4" w:space="0"/>
            </w:tcBorders>
            <w:vAlign w:val="center"/>
          </w:tcPr>
          <w:p w14:paraId="6950A4F9">
            <w:pPr>
              <w:autoSpaceDE w:val="0"/>
              <w:spacing w:line="440" w:lineRule="exact"/>
              <w:jc w:val="left"/>
              <w:rPr>
                <w:rFonts w:ascii="宋体" w:hAnsi="宋体" w:cs="宋体"/>
                <w:color w:val="auto"/>
                <w:szCs w:val="21"/>
                <w:highlight w:val="none"/>
              </w:rPr>
            </w:pPr>
            <w:r>
              <w:rPr>
                <w:rFonts w:hint="eastAsia" w:ascii="宋体" w:hAnsi="宋体" w:cs="宋体"/>
                <w:color w:val="auto"/>
                <w:szCs w:val="21"/>
                <w:highlight w:val="none"/>
                <w:lang w:bidi="ar"/>
              </w:rPr>
              <w:t>符合“投标人须知”第3.3.1项规定</w:t>
            </w:r>
          </w:p>
        </w:tc>
      </w:tr>
      <w:tr w14:paraId="2DEA9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824" w:type="dxa"/>
            <w:vMerge w:val="continue"/>
            <w:tcBorders>
              <w:top w:val="nil"/>
              <w:left w:val="single" w:color="auto" w:sz="4" w:space="0"/>
              <w:bottom w:val="single" w:color="auto" w:sz="4" w:space="0"/>
              <w:right w:val="single" w:color="auto" w:sz="4" w:space="0"/>
            </w:tcBorders>
            <w:vAlign w:val="center"/>
          </w:tcPr>
          <w:p w14:paraId="06989CC4">
            <w:pPr>
              <w:rPr>
                <w:rFonts w:ascii="宋体" w:hAnsi="宋体" w:cs="宋体"/>
                <w:color w:val="auto"/>
                <w:sz w:val="20"/>
                <w:szCs w:val="20"/>
                <w:highlight w:val="none"/>
              </w:rPr>
            </w:pPr>
          </w:p>
        </w:tc>
        <w:tc>
          <w:tcPr>
            <w:tcW w:w="1786" w:type="dxa"/>
            <w:vMerge w:val="continue"/>
            <w:tcBorders>
              <w:top w:val="nil"/>
              <w:left w:val="single" w:color="auto" w:sz="4" w:space="0"/>
              <w:bottom w:val="single" w:color="auto" w:sz="4" w:space="0"/>
              <w:right w:val="single" w:color="auto" w:sz="4" w:space="0"/>
            </w:tcBorders>
            <w:vAlign w:val="center"/>
          </w:tcPr>
          <w:p w14:paraId="27C2B0BE">
            <w:pPr>
              <w:rPr>
                <w:rFonts w:ascii="宋体" w:hAnsi="宋体" w:cs="宋体"/>
                <w:color w:val="auto"/>
                <w:sz w:val="20"/>
                <w:szCs w:val="20"/>
                <w:highlight w:val="none"/>
              </w:rPr>
            </w:pPr>
          </w:p>
        </w:tc>
        <w:tc>
          <w:tcPr>
            <w:tcW w:w="1727" w:type="dxa"/>
            <w:tcBorders>
              <w:top w:val="single" w:color="auto" w:sz="4" w:space="0"/>
              <w:left w:val="single" w:color="auto" w:sz="4" w:space="0"/>
              <w:bottom w:val="single" w:color="auto" w:sz="4" w:space="0"/>
              <w:right w:val="single" w:color="auto" w:sz="4" w:space="0"/>
            </w:tcBorders>
            <w:vAlign w:val="center"/>
          </w:tcPr>
          <w:p w14:paraId="730342EF">
            <w:pPr>
              <w:autoSpaceDE w:val="0"/>
              <w:spacing w:line="440" w:lineRule="exact"/>
              <w:jc w:val="left"/>
              <w:rPr>
                <w:rFonts w:ascii="宋体" w:hAnsi="宋体" w:cs="宋体"/>
                <w:color w:val="auto"/>
                <w:szCs w:val="21"/>
                <w:highlight w:val="none"/>
              </w:rPr>
            </w:pPr>
            <w:r>
              <w:rPr>
                <w:rFonts w:hint="eastAsia" w:ascii="宋体" w:hAnsi="宋体" w:cs="宋体"/>
                <w:color w:val="auto"/>
                <w:szCs w:val="21"/>
                <w:highlight w:val="none"/>
                <w:lang w:bidi="ar"/>
              </w:rPr>
              <w:t>投标保证金</w:t>
            </w:r>
          </w:p>
        </w:tc>
        <w:tc>
          <w:tcPr>
            <w:tcW w:w="5367" w:type="dxa"/>
            <w:tcBorders>
              <w:top w:val="single" w:color="auto" w:sz="4" w:space="0"/>
              <w:left w:val="single" w:color="auto" w:sz="4" w:space="0"/>
              <w:bottom w:val="single" w:color="auto" w:sz="4" w:space="0"/>
              <w:right w:val="single" w:color="auto" w:sz="4" w:space="0"/>
            </w:tcBorders>
            <w:vAlign w:val="center"/>
          </w:tcPr>
          <w:p w14:paraId="5F2BC9D3">
            <w:pPr>
              <w:autoSpaceDE w:val="0"/>
              <w:spacing w:line="440" w:lineRule="exact"/>
              <w:jc w:val="left"/>
              <w:rPr>
                <w:rFonts w:ascii="宋体" w:hAnsi="宋体" w:cs="宋体"/>
                <w:color w:val="auto"/>
                <w:szCs w:val="21"/>
                <w:highlight w:val="none"/>
              </w:rPr>
            </w:pPr>
            <w:r>
              <w:rPr>
                <w:rFonts w:hint="eastAsia" w:ascii="宋体" w:hAnsi="宋体" w:cs="宋体"/>
                <w:color w:val="auto"/>
                <w:szCs w:val="21"/>
                <w:highlight w:val="none"/>
                <w:lang w:bidi="ar"/>
              </w:rPr>
              <w:t>符合“投标人须知”第3.4.1项规定</w:t>
            </w:r>
          </w:p>
        </w:tc>
      </w:tr>
      <w:tr w14:paraId="31CCCC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824" w:type="dxa"/>
            <w:vMerge w:val="continue"/>
            <w:tcBorders>
              <w:top w:val="nil"/>
              <w:left w:val="single" w:color="auto" w:sz="4" w:space="0"/>
              <w:bottom w:val="single" w:color="auto" w:sz="4" w:space="0"/>
              <w:right w:val="single" w:color="auto" w:sz="4" w:space="0"/>
            </w:tcBorders>
            <w:vAlign w:val="center"/>
          </w:tcPr>
          <w:p w14:paraId="1CF061FE">
            <w:pPr>
              <w:rPr>
                <w:rFonts w:ascii="宋体" w:hAnsi="宋体" w:cs="宋体"/>
                <w:color w:val="auto"/>
                <w:sz w:val="20"/>
                <w:szCs w:val="20"/>
                <w:highlight w:val="none"/>
              </w:rPr>
            </w:pPr>
          </w:p>
        </w:tc>
        <w:tc>
          <w:tcPr>
            <w:tcW w:w="1786" w:type="dxa"/>
            <w:vMerge w:val="continue"/>
            <w:tcBorders>
              <w:top w:val="nil"/>
              <w:left w:val="single" w:color="auto" w:sz="4" w:space="0"/>
              <w:bottom w:val="single" w:color="auto" w:sz="4" w:space="0"/>
              <w:right w:val="single" w:color="auto" w:sz="4" w:space="0"/>
            </w:tcBorders>
            <w:vAlign w:val="center"/>
          </w:tcPr>
          <w:p w14:paraId="4CEC1162">
            <w:pPr>
              <w:rPr>
                <w:rFonts w:ascii="宋体" w:hAnsi="宋体" w:cs="宋体"/>
                <w:color w:val="auto"/>
                <w:sz w:val="20"/>
                <w:szCs w:val="20"/>
                <w:highlight w:val="none"/>
              </w:rPr>
            </w:pPr>
          </w:p>
        </w:tc>
        <w:tc>
          <w:tcPr>
            <w:tcW w:w="1727" w:type="dxa"/>
            <w:tcBorders>
              <w:top w:val="single" w:color="auto" w:sz="4" w:space="0"/>
              <w:left w:val="single" w:color="auto" w:sz="4" w:space="0"/>
              <w:bottom w:val="single" w:color="auto" w:sz="4" w:space="0"/>
              <w:right w:val="single" w:color="auto" w:sz="4" w:space="0"/>
            </w:tcBorders>
            <w:vAlign w:val="center"/>
          </w:tcPr>
          <w:p w14:paraId="1763BAB7">
            <w:pPr>
              <w:autoSpaceDE w:val="0"/>
              <w:spacing w:line="440" w:lineRule="exact"/>
              <w:jc w:val="left"/>
              <w:rPr>
                <w:rFonts w:ascii="宋体" w:hAnsi="宋体" w:cs="宋体"/>
                <w:color w:val="auto"/>
                <w:szCs w:val="21"/>
                <w:highlight w:val="none"/>
              </w:rPr>
            </w:pPr>
            <w:r>
              <w:rPr>
                <w:rFonts w:hint="eastAsia" w:ascii="宋体" w:hAnsi="宋体" w:cs="宋体"/>
                <w:color w:val="auto"/>
                <w:szCs w:val="21"/>
                <w:highlight w:val="none"/>
                <w:lang w:bidi="ar"/>
              </w:rPr>
              <w:t>投标报价</w:t>
            </w:r>
          </w:p>
        </w:tc>
        <w:tc>
          <w:tcPr>
            <w:tcW w:w="5367" w:type="dxa"/>
            <w:tcBorders>
              <w:top w:val="single" w:color="auto" w:sz="4" w:space="0"/>
              <w:left w:val="single" w:color="auto" w:sz="4" w:space="0"/>
              <w:bottom w:val="single" w:color="auto" w:sz="4" w:space="0"/>
              <w:right w:val="single" w:color="auto" w:sz="4" w:space="0"/>
            </w:tcBorders>
            <w:vAlign w:val="center"/>
          </w:tcPr>
          <w:p w14:paraId="67FEB759">
            <w:pPr>
              <w:autoSpaceDE w:val="0"/>
              <w:spacing w:line="440" w:lineRule="exact"/>
              <w:jc w:val="left"/>
              <w:rPr>
                <w:rFonts w:ascii="宋体" w:hAnsi="宋体" w:cs="宋体"/>
                <w:color w:val="auto"/>
                <w:szCs w:val="21"/>
                <w:highlight w:val="none"/>
              </w:rPr>
            </w:pPr>
            <w:r>
              <w:rPr>
                <w:rFonts w:hint="eastAsia" w:ascii="宋体" w:hAnsi="宋体" w:cs="宋体"/>
                <w:color w:val="auto"/>
                <w:szCs w:val="21"/>
                <w:highlight w:val="none"/>
                <w:lang w:bidi="ar"/>
              </w:rPr>
              <w:t>不高于最高投标限价</w:t>
            </w:r>
          </w:p>
        </w:tc>
      </w:tr>
      <w:tr w14:paraId="21F959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atLeast"/>
          <w:jc w:val="center"/>
        </w:trPr>
        <w:tc>
          <w:tcPr>
            <w:tcW w:w="824" w:type="dxa"/>
            <w:tcBorders>
              <w:top w:val="single" w:color="auto" w:sz="4" w:space="0"/>
              <w:left w:val="single" w:color="auto" w:sz="4" w:space="0"/>
              <w:bottom w:val="single" w:color="auto" w:sz="4" w:space="0"/>
              <w:right w:val="single" w:color="auto" w:sz="4" w:space="0"/>
            </w:tcBorders>
            <w:vAlign w:val="center"/>
          </w:tcPr>
          <w:p w14:paraId="18C8EF5E">
            <w:pPr>
              <w:autoSpaceDE w:val="0"/>
              <w:spacing w:line="440" w:lineRule="exact"/>
              <w:jc w:val="center"/>
              <w:rPr>
                <w:rFonts w:ascii="宋体" w:hAnsi="宋体" w:cs="宋体"/>
                <w:color w:val="auto"/>
                <w:szCs w:val="21"/>
                <w:highlight w:val="none"/>
              </w:rPr>
            </w:pPr>
            <w:r>
              <w:rPr>
                <w:rFonts w:hint="eastAsia" w:ascii="宋体" w:hAnsi="宋体" w:cs="宋体"/>
                <w:color w:val="auto"/>
                <w:szCs w:val="21"/>
                <w:highlight w:val="none"/>
                <w:lang w:bidi="ar"/>
              </w:rPr>
              <w:t>1</w:t>
            </w:r>
          </w:p>
        </w:tc>
        <w:tc>
          <w:tcPr>
            <w:tcW w:w="1786" w:type="dxa"/>
            <w:tcBorders>
              <w:top w:val="single" w:color="auto" w:sz="4" w:space="0"/>
              <w:left w:val="single" w:color="auto" w:sz="4" w:space="0"/>
              <w:bottom w:val="single" w:color="auto" w:sz="4" w:space="0"/>
              <w:right w:val="single" w:color="auto" w:sz="4" w:space="0"/>
            </w:tcBorders>
            <w:vAlign w:val="center"/>
          </w:tcPr>
          <w:p w14:paraId="6F93ABFB">
            <w:pPr>
              <w:autoSpaceDE w:val="0"/>
              <w:spacing w:line="440" w:lineRule="exact"/>
              <w:jc w:val="left"/>
              <w:rPr>
                <w:rFonts w:ascii="宋体" w:hAnsi="宋体" w:cs="宋体"/>
                <w:color w:val="auto"/>
                <w:szCs w:val="21"/>
                <w:highlight w:val="none"/>
                <w:lang w:bidi="ar"/>
              </w:rPr>
            </w:pPr>
            <w:r>
              <w:rPr>
                <w:rFonts w:hint="eastAsia" w:ascii="宋体" w:hAnsi="宋体" w:cs="宋体"/>
                <w:color w:val="auto"/>
                <w:szCs w:val="21"/>
                <w:highlight w:val="none"/>
                <w:lang w:bidi="ar"/>
              </w:rPr>
              <w:t>商务报价</w:t>
            </w:r>
            <w:r>
              <w:rPr>
                <w:rFonts w:hint="eastAsia" w:ascii="宋体" w:hAnsi="宋体" w:cs="宋体"/>
                <w:color w:val="auto"/>
                <w:szCs w:val="21"/>
                <w:highlight w:val="none"/>
                <w:lang w:val="en-US" w:eastAsia="zh-CN" w:bidi="ar"/>
              </w:rPr>
              <w:t>35</w:t>
            </w:r>
            <w:r>
              <w:rPr>
                <w:rFonts w:hint="eastAsia" w:ascii="宋体" w:hAnsi="宋体" w:cs="宋体"/>
                <w:color w:val="auto"/>
                <w:szCs w:val="21"/>
                <w:highlight w:val="none"/>
                <w:lang w:bidi="ar"/>
              </w:rPr>
              <w:t>分</w:t>
            </w:r>
          </w:p>
        </w:tc>
        <w:tc>
          <w:tcPr>
            <w:tcW w:w="7094" w:type="dxa"/>
            <w:gridSpan w:val="2"/>
            <w:tcBorders>
              <w:top w:val="single" w:color="auto" w:sz="4" w:space="0"/>
              <w:left w:val="single" w:color="auto" w:sz="4" w:space="0"/>
              <w:bottom w:val="single" w:color="auto" w:sz="4" w:space="0"/>
              <w:right w:val="single" w:color="auto" w:sz="4" w:space="0"/>
            </w:tcBorders>
            <w:vAlign w:val="center"/>
          </w:tcPr>
          <w:p w14:paraId="0F39BD4A">
            <w:pPr>
              <w:autoSpaceDE w:val="0"/>
              <w:spacing w:line="440" w:lineRule="exact"/>
              <w:jc w:val="left"/>
              <w:rPr>
                <w:rFonts w:ascii="宋体" w:hAnsi="宋体" w:cs="宋体"/>
                <w:color w:val="auto"/>
                <w:szCs w:val="21"/>
                <w:highlight w:val="none"/>
                <w:lang w:bidi="ar"/>
              </w:rPr>
            </w:pPr>
            <w:r>
              <w:rPr>
                <w:rFonts w:hint="eastAsia" w:ascii="宋体" w:hAnsi="宋体" w:cs="宋体"/>
                <w:color w:val="auto"/>
                <w:szCs w:val="21"/>
                <w:highlight w:val="none"/>
                <w:lang w:bidi="ar"/>
              </w:rPr>
              <w:t>价格分统一采用低价优先法，以报价最低的供应商的价格为基准价（不含税价），其价格分为满分</w:t>
            </w:r>
            <w:r>
              <w:rPr>
                <w:rFonts w:hint="eastAsia" w:ascii="宋体" w:hAnsi="宋体" w:cs="宋体"/>
                <w:color w:val="auto"/>
                <w:szCs w:val="21"/>
                <w:highlight w:val="none"/>
                <w:lang w:val="en-US" w:eastAsia="zh-CN" w:bidi="ar"/>
              </w:rPr>
              <w:t>35</w:t>
            </w:r>
            <w:r>
              <w:rPr>
                <w:rFonts w:hint="eastAsia" w:ascii="宋体" w:hAnsi="宋体" w:cs="宋体"/>
                <w:color w:val="auto"/>
                <w:szCs w:val="21"/>
                <w:highlight w:val="none"/>
                <w:lang w:bidi="ar"/>
              </w:rPr>
              <w:t>分。其他供应商的价格分统一按照下列公式计算：</w:t>
            </w:r>
          </w:p>
          <w:p w14:paraId="351F7229">
            <w:pPr>
              <w:autoSpaceDE w:val="0"/>
              <w:spacing w:line="440" w:lineRule="exact"/>
              <w:jc w:val="left"/>
              <w:rPr>
                <w:rFonts w:ascii="宋体" w:hAnsi="宋体" w:cs="宋体"/>
                <w:color w:val="auto"/>
                <w:szCs w:val="21"/>
                <w:highlight w:val="none"/>
                <w:lang w:bidi="ar"/>
              </w:rPr>
            </w:pPr>
            <w:r>
              <w:rPr>
                <w:rFonts w:hint="eastAsia" w:ascii="宋体" w:hAnsi="宋体" w:cs="宋体"/>
                <w:color w:val="auto"/>
                <w:szCs w:val="21"/>
                <w:highlight w:val="none"/>
                <w:lang w:bidi="ar"/>
              </w:rPr>
              <w:t>报价得分＝（基准价/投标报价）×3</w:t>
            </w:r>
            <w:r>
              <w:rPr>
                <w:rFonts w:hint="eastAsia" w:ascii="宋体" w:hAnsi="宋体" w:cs="宋体"/>
                <w:color w:val="auto"/>
                <w:szCs w:val="21"/>
                <w:highlight w:val="none"/>
                <w:lang w:val="en-US" w:eastAsia="zh-CN" w:bidi="ar"/>
              </w:rPr>
              <w:t>5</w:t>
            </w:r>
            <w:r>
              <w:rPr>
                <w:rFonts w:hint="eastAsia" w:ascii="宋体" w:hAnsi="宋体" w:cs="宋体"/>
                <w:color w:val="auto"/>
                <w:szCs w:val="21"/>
                <w:highlight w:val="none"/>
                <w:lang w:bidi="ar"/>
              </w:rPr>
              <w:t>％×100</w:t>
            </w:r>
          </w:p>
          <w:p w14:paraId="126B642B">
            <w:pPr>
              <w:autoSpaceDE w:val="0"/>
              <w:spacing w:line="440" w:lineRule="exact"/>
              <w:jc w:val="left"/>
              <w:rPr>
                <w:rFonts w:ascii="宋体" w:hAnsi="宋体" w:cs="宋体"/>
                <w:color w:val="auto"/>
                <w:szCs w:val="21"/>
                <w:highlight w:val="none"/>
                <w:lang w:bidi="ar"/>
              </w:rPr>
            </w:pPr>
            <w:r>
              <w:rPr>
                <w:rFonts w:hint="eastAsia" w:ascii="宋体" w:hAnsi="宋体" w:cs="宋体"/>
                <w:color w:val="auto"/>
                <w:szCs w:val="21"/>
                <w:highlight w:val="none"/>
                <w:lang w:bidi="ar"/>
              </w:rPr>
              <w:t xml:space="preserve">得分保留两位小数点，第三位四舍五入。 </w:t>
            </w:r>
          </w:p>
          <w:p w14:paraId="3CEE6DDC">
            <w:pPr>
              <w:autoSpaceDE w:val="0"/>
              <w:spacing w:line="440" w:lineRule="exact"/>
              <w:jc w:val="left"/>
              <w:rPr>
                <w:rFonts w:ascii="宋体" w:hAnsi="宋体" w:cs="宋体"/>
                <w:color w:val="auto"/>
                <w:szCs w:val="21"/>
                <w:highlight w:val="none"/>
                <w:lang w:bidi="ar"/>
              </w:rPr>
            </w:pPr>
            <w:r>
              <w:rPr>
                <w:rFonts w:hint="eastAsia" w:ascii="宋体" w:hAnsi="宋体" w:cs="宋体"/>
                <w:color w:val="auto"/>
                <w:szCs w:val="21"/>
                <w:highlight w:val="none"/>
                <w:lang w:bidi="ar"/>
              </w:rPr>
              <w:t>基准价（不含税价）=投标报价/（1-开票税率），保留两位小数，第三位四舍五入</w:t>
            </w:r>
          </w:p>
        </w:tc>
      </w:tr>
    </w:tbl>
    <w:p w14:paraId="75DE0AE6">
      <w:pPr>
        <w:pStyle w:val="3"/>
        <w:widowControl/>
        <w:adjustRightInd w:val="0"/>
        <w:snapToGrid w:val="0"/>
        <w:spacing w:before="0" w:after="0" w:line="440" w:lineRule="exact"/>
        <w:ind w:firstLine="422" w:firstLineChars="200"/>
        <w:rPr>
          <w:rFonts w:ascii="宋体" w:hAnsi="宋体" w:cs="宋体"/>
          <w:color w:val="auto"/>
          <w:sz w:val="21"/>
          <w:szCs w:val="21"/>
          <w:highlight w:val="none"/>
        </w:rPr>
      </w:pPr>
      <w:bookmarkStart w:id="676" w:name="_Toc18295"/>
      <w:r>
        <w:rPr>
          <w:rFonts w:hint="eastAsia" w:ascii="宋体" w:hAnsi="宋体" w:cs="宋体"/>
          <w:color w:val="auto"/>
          <w:sz w:val="21"/>
          <w:szCs w:val="21"/>
          <w:highlight w:val="none"/>
        </w:rPr>
        <w:t>商务标评审表注：</w:t>
      </w:r>
      <w:bookmarkEnd w:id="676"/>
    </w:p>
    <w:p w14:paraId="625522AC">
      <w:pPr>
        <w:pStyle w:val="40"/>
        <w:widowControl w:val="0"/>
        <w:spacing w:line="440" w:lineRule="exact"/>
        <w:ind w:firstLine="422" w:firstLineChars="200"/>
        <w:jc w:val="both"/>
        <w:rPr>
          <w:color w:val="auto"/>
          <w:kern w:val="2"/>
          <w:sz w:val="21"/>
          <w:szCs w:val="21"/>
          <w:highlight w:val="none"/>
        </w:rPr>
      </w:pPr>
      <w:bookmarkStart w:id="677" w:name="_Toc2544"/>
      <w:r>
        <w:rPr>
          <w:rFonts w:hint="eastAsia"/>
          <w:b/>
          <w:bCs/>
          <w:color w:val="auto"/>
          <w:sz w:val="21"/>
          <w:szCs w:val="21"/>
          <w:highlight w:val="none"/>
        </w:rPr>
        <w:t>1、</w:t>
      </w:r>
      <w:bookmarkEnd w:id="677"/>
      <w:r>
        <w:rPr>
          <w:rFonts w:hint="eastAsia"/>
          <w:color w:val="auto"/>
          <w:kern w:val="2"/>
          <w:sz w:val="21"/>
          <w:szCs w:val="21"/>
          <w:highlight w:val="none"/>
          <w:lang w:bidi="ar"/>
        </w:rPr>
        <w:t>只有评审通过的投标人才能参加评分。</w:t>
      </w:r>
    </w:p>
    <w:p w14:paraId="772009E8">
      <w:pPr>
        <w:pStyle w:val="40"/>
        <w:widowControl w:val="0"/>
        <w:spacing w:line="440" w:lineRule="exact"/>
        <w:ind w:firstLine="420" w:firstLineChars="200"/>
        <w:jc w:val="both"/>
        <w:rPr>
          <w:color w:val="auto"/>
          <w:kern w:val="2"/>
          <w:sz w:val="21"/>
          <w:szCs w:val="21"/>
          <w:highlight w:val="none"/>
        </w:rPr>
      </w:pPr>
      <w:r>
        <w:rPr>
          <w:rFonts w:hint="eastAsia"/>
          <w:color w:val="auto"/>
          <w:kern w:val="2"/>
          <w:sz w:val="21"/>
          <w:szCs w:val="21"/>
          <w:highlight w:val="none"/>
          <w:lang w:bidi="ar"/>
        </w:rPr>
        <w:t>2、本表所称投标报价是指按招标文件规定修正后的投标总报价（多算投标报价、多报费用不扣减）。</w:t>
      </w:r>
    </w:p>
    <w:p w14:paraId="2328F8ED">
      <w:pPr>
        <w:pStyle w:val="40"/>
        <w:widowControl w:val="0"/>
        <w:spacing w:line="440" w:lineRule="exact"/>
        <w:ind w:firstLine="420" w:firstLineChars="200"/>
        <w:jc w:val="both"/>
        <w:rPr>
          <w:color w:val="auto"/>
          <w:highlight w:val="none"/>
        </w:rPr>
      </w:pPr>
      <w:r>
        <w:rPr>
          <w:rFonts w:hint="eastAsia"/>
          <w:color w:val="auto"/>
          <w:kern w:val="2"/>
          <w:sz w:val="21"/>
          <w:szCs w:val="21"/>
          <w:highlight w:val="none"/>
          <w:lang w:bidi="ar"/>
        </w:rPr>
        <w:t>3</w:t>
      </w:r>
      <w:r>
        <w:rPr>
          <w:rFonts w:hint="eastAsia"/>
          <w:color w:val="auto"/>
          <w:sz w:val="21"/>
          <w:szCs w:val="21"/>
          <w:highlight w:val="none"/>
          <w:lang w:bidi="ar"/>
        </w:rPr>
        <w:t>、</w:t>
      </w:r>
      <w:r>
        <w:rPr>
          <w:rFonts w:hint="eastAsia"/>
          <w:b/>
          <w:bCs/>
          <w:color w:val="auto"/>
          <w:sz w:val="21"/>
          <w:szCs w:val="21"/>
          <w:highlight w:val="none"/>
          <w:u w:val="single"/>
          <w:lang w:bidi="ar"/>
        </w:rPr>
        <w:t>评标办法中的评标基准价计算出来后，除数字计算错误外，其他情况均不再调整。</w:t>
      </w:r>
    </w:p>
    <w:p w14:paraId="75E26872">
      <w:pPr>
        <w:pStyle w:val="40"/>
        <w:widowControl w:val="0"/>
        <w:spacing w:line="440" w:lineRule="exact"/>
        <w:ind w:firstLine="420" w:firstLineChars="200"/>
        <w:jc w:val="both"/>
        <w:rPr>
          <w:color w:val="auto"/>
          <w:kern w:val="2"/>
          <w:sz w:val="21"/>
          <w:szCs w:val="21"/>
          <w:highlight w:val="none"/>
          <w:lang w:bidi="ar"/>
        </w:rPr>
      </w:pPr>
    </w:p>
    <w:p w14:paraId="09CDE124">
      <w:pPr>
        <w:pStyle w:val="3"/>
        <w:spacing w:before="0" w:after="0" w:line="440" w:lineRule="exact"/>
        <w:rPr>
          <w:rFonts w:ascii="宋体" w:hAnsi="宋体" w:cs="宋体"/>
          <w:color w:val="auto"/>
          <w:szCs w:val="24"/>
          <w:highlight w:val="none"/>
        </w:rPr>
      </w:pPr>
      <w:bookmarkStart w:id="678" w:name="_Toc35947230"/>
      <w:bookmarkStart w:id="679" w:name="_Toc152045589"/>
      <w:bookmarkStart w:id="680" w:name="_Toc15058913"/>
      <w:bookmarkStart w:id="681" w:name="_Toc506107324"/>
      <w:bookmarkStart w:id="682" w:name="_Toc35424947"/>
      <w:bookmarkStart w:id="683" w:name="_Toc35425113"/>
      <w:bookmarkStart w:id="684" w:name="_Toc246996975"/>
      <w:bookmarkStart w:id="685" w:name="_Toc144974556"/>
      <w:bookmarkStart w:id="686" w:name="_Toc247085747"/>
      <w:bookmarkStart w:id="687" w:name="_Toc179632607"/>
      <w:bookmarkStart w:id="688" w:name="_Toc324404872"/>
      <w:bookmarkStart w:id="689" w:name="_Toc246996232"/>
      <w:bookmarkStart w:id="690" w:name="_Toc7239"/>
      <w:bookmarkStart w:id="691" w:name="_Toc12291"/>
      <w:bookmarkStart w:id="692" w:name="_Toc152042366"/>
      <w:bookmarkStart w:id="693" w:name="_Toc521431540"/>
      <w:bookmarkStart w:id="694" w:name="_Toc35425112"/>
      <w:bookmarkStart w:id="695" w:name="_Toc35424946"/>
      <w:r>
        <w:rPr>
          <w:rFonts w:hint="eastAsia" w:ascii="宋体" w:hAnsi="宋体" w:cs="宋体"/>
          <w:color w:val="auto"/>
          <w:szCs w:val="24"/>
          <w:highlight w:val="none"/>
        </w:rPr>
        <w:t>1. 评标方法</w:t>
      </w:r>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p>
    <w:p w14:paraId="3A42E224">
      <w:pPr>
        <w:spacing w:line="440" w:lineRule="exact"/>
        <w:ind w:firstLine="420" w:firstLineChars="200"/>
        <w:rPr>
          <w:rFonts w:ascii="宋体" w:hAnsi="宋体" w:cs="宋体"/>
          <w:color w:val="auto"/>
          <w:szCs w:val="21"/>
          <w:highlight w:val="none"/>
        </w:rPr>
      </w:pPr>
      <w:bookmarkStart w:id="696" w:name="_Toc324404873"/>
      <w:bookmarkStart w:id="697" w:name="_Toc296602478"/>
      <w:bookmarkStart w:id="698" w:name="_Toc246996976"/>
      <w:bookmarkStart w:id="699" w:name="_Toc152042367"/>
      <w:bookmarkStart w:id="700" w:name="_Toc152045590"/>
      <w:bookmarkStart w:id="701" w:name="_Toc247085748"/>
      <w:bookmarkStart w:id="702" w:name="_Toc246996233"/>
      <w:bookmarkStart w:id="703" w:name="_Toc144974557"/>
      <w:bookmarkStart w:id="704" w:name="_Toc179632608"/>
      <w:r>
        <w:rPr>
          <w:rFonts w:hint="eastAsia" w:ascii="宋体" w:hAnsi="宋体" w:cs="宋体"/>
          <w:color w:val="auto"/>
          <w:szCs w:val="21"/>
          <w:highlight w:val="none"/>
        </w:rPr>
        <w:t>本次评标采用综合评估法。评标委员会对满足招标文件实质性要求的投标文件，按照本章规定的评分标准进行打分，并</w:t>
      </w:r>
      <w:r>
        <w:rPr>
          <w:rFonts w:hint="eastAsia" w:ascii="宋体" w:hAnsi="宋体" w:cs="宋体"/>
          <w:b/>
          <w:bCs/>
          <w:color w:val="auto"/>
          <w:szCs w:val="21"/>
          <w:highlight w:val="none"/>
        </w:rPr>
        <w:t>按总得分（资信评分+技术评分+商务评分）由高到低顺序推荐3名中标候选人</w:t>
      </w:r>
      <w:r>
        <w:rPr>
          <w:rFonts w:hint="eastAsia" w:ascii="宋体" w:hAnsi="宋体" w:cs="宋体"/>
          <w:color w:val="auto"/>
          <w:szCs w:val="21"/>
          <w:highlight w:val="none"/>
        </w:rPr>
        <w:t>，并标明排序。若出现总得分相同的投标人有两名及以上时，以投标报价低者优先，如投标报价仍相同时，由招标人现场采取随机抽取的方式确定中标候选人排序。</w:t>
      </w:r>
    </w:p>
    <w:p w14:paraId="32EA6488">
      <w:pPr>
        <w:pStyle w:val="3"/>
        <w:spacing w:before="0" w:after="0" w:line="440" w:lineRule="exact"/>
        <w:rPr>
          <w:rFonts w:ascii="宋体" w:hAnsi="宋体" w:cs="宋体"/>
          <w:color w:val="auto"/>
          <w:szCs w:val="24"/>
          <w:highlight w:val="none"/>
        </w:rPr>
      </w:pPr>
      <w:bookmarkStart w:id="705" w:name="_Toc506107325"/>
      <w:bookmarkStart w:id="706" w:name="_Toc35424948"/>
      <w:bookmarkStart w:id="707" w:name="_Toc35425114"/>
      <w:bookmarkStart w:id="708" w:name="_Toc35947231"/>
      <w:bookmarkStart w:id="709" w:name="_Toc15058914"/>
      <w:bookmarkStart w:id="710" w:name="_Toc4694"/>
      <w:bookmarkStart w:id="711" w:name="_Toc24640"/>
      <w:r>
        <w:rPr>
          <w:rFonts w:hint="eastAsia" w:ascii="宋体" w:hAnsi="宋体" w:cs="宋体"/>
          <w:color w:val="auto"/>
          <w:szCs w:val="24"/>
          <w:highlight w:val="none"/>
        </w:rPr>
        <w:t>2.评标委员会的职责</w:t>
      </w:r>
      <w:bookmarkEnd w:id="696"/>
      <w:bookmarkEnd w:id="705"/>
      <w:bookmarkEnd w:id="706"/>
      <w:bookmarkEnd w:id="707"/>
      <w:bookmarkEnd w:id="708"/>
      <w:bookmarkEnd w:id="709"/>
      <w:bookmarkEnd w:id="710"/>
      <w:bookmarkEnd w:id="711"/>
    </w:p>
    <w:p w14:paraId="651F8CFF">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评标委员会应当根据本评标办法，对投标文件进行系统地评审和比较，向招标人推荐中标候选人或根据招标人的授权直接确定中标人。各评委必须独立评审，提出评审意见，不受任何单位或者个人的干预。各评委对其各自评审结果负责，并在评标报告上签字确认。对评标结论持有异议的评标委员会成员可以书面方式阐述其不同意见和理由。评标委员会成员拒绝在评标报告上签字且不陈述其不同意见和理由的，视为同意评标结论。评标委员会应当对此作出书面说明并记录在案。</w:t>
      </w:r>
    </w:p>
    <w:p w14:paraId="0670F971">
      <w:pPr>
        <w:pStyle w:val="3"/>
        <w:spacing w:before="0" w:after="0" w:line="440" w:lineRule="exact"/>
        <w:rPr>
          <w:rFonts w:ascii="宋体" w:hAnsi="宋体" w:cs="宋体"/>
          <w:color w:val="auto"/>
          <w:szCs w:val="24"/>
          <w:highlight w:val="none"/>
        </w:rPr>
      </w:pPr>
      <w:bookmarkStart w:id="712" w:name="_Toc324404874"/>
      <w:bookmarkStart w:id="713" w:name="_Toc15058915"/>
      <w:bookmarkStart w:id="714" w:name="_Toc35947232"/>
      <w:bookmarkStart w:id="715" w:name="_Toc35425115"/>
      <w:bookmarkStart w:id="716" w:name="_Toc26456"/>
      <w:bookmarkStart w:id="717" w:name="_Toc506107326"/>
      <w:bookmarkStart w:id="718" w:name="_Toc35424949"/>
      <w:bookmarkStart w:id="719" w:name="_Toc26464"/>
      <w:r>
        <w:rPr>
          <w:rFonts w:hint="eastAsia" w:ascii="宋体" w:hAnsi="宋体" w:cs="宋体"/>
          <w:color w:val="auto"/>
          <w:szCs w:val="24"/>
          <w:highlight w:val="none"/>
        </w:rPr>
        <w:t>3.评标程序</w:t>
      </w:r>
      <w:bookmarkEnd w:id="712"/>
      <w:bookmarkEnd w:id="713"/>
      <w:bookmarkEnd w:id="714"/>
      <w:bookmarkEnd w:id="715"/>
      <w:bookmarkEnd w:id="716"/>
      <w:bookmarkEnd w:id="717"/>
      <w:bookmarkEnd w:id="718"/>
      <w:bookmarkEnd w:id="719"/>
    </w:p>
    <w:p w14:paraId="371E1F9F">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评标先做准备工作，先进行资信证明文件评审，再进行技术标评审，最后进行商务标评审。</w:t>
      </w:r>
    </w:p>
    <w:p w14:paraId="19AFD9C0">
      <w:pPr>
        <w:spacing w:line="440" w:lineRule="exact"/>
        <w:outlineLvl w:val="2"/>
        <w:rPr>
          <w:rFonts w:ascii="宋体" w:hAnsi="宋体" w:cs="宋体"/>
          <w:b/>
          <w:bCs/>
          <w:color w:val="auto"/>
          <w:sz w:val="24"/>
          <w:highlight w:val="none"/>
        </w:rPr>
      </w:pPr>
      <w:bookmarkStart w:id="720" w:name="_Toc35947233"/>
      <w:bookmarkStart w:id="721" w:name="_Toc15058916"/>
      <w:bookmarkStart w:id="722" w:name="_Toc19734"/>
      <w:bookmarkStart w:id="723" w:name="_Toc35424950"/>
      <w:bookmarkStart w:id="724" w:name="_Toc35425116"/>
      <w:bookmarkStart w:id="725" w:name="_Toc22864"/>
      <w:r>
        <w:rPr>
          <w:rFonts w:hint="eastAsia" w:ascii="宋体" w:hAnsi="宋体" w:cs="宋体"/>
          <w:b/>
          <w:bCs/>
          <w:color w:val="auto"/>
          <w:sz w:val="24"/>
          <w:highlight w:val="none"/>
        </w:rPr>
        <w:t>3.1评标准备工作</w:t>
      </w:r>
      <w:bookmarkEnd w:id="720"/>
      <w:bookmarkEnd w:id="721"/>
      <w:bookmarkEnd w:id="722"/>
      <w:bookmarkEnd w:id="723"/>
      <w:bookmarkEnd w:id="724"/>
      <w:bookmarkEnd w:id="725"/>
    </w:p>
    <w:p w14:paraId="0A415D11">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评标委员会熟悉评标工作情况：</w:t>
      </w:r>
    </w:p>
    <w:p w14:paraId="089BFF24">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（1）阅读由招标人或者其委托的工程代理机构编制的招标项目情况材料。</w:t>
      </w:r>
    </w:p>
    <w:p w14:paraId="6397B0C3">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（2）阅读、研究招标文件和相关评标资料，获取评标所需要的重要信息和数据，至少应了解和熟悉以下内容：招标项目的范围和性质，招标文件规定的主要技术要求、标准和商务条款。</w:t>
      </w:r>
    </w:p>
    <w:p w14:paraId="4D651AE1">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（3）熟悉招标文件规定的评标标准和评标方法及在评标过程中需要考虑的相关因素。</w:t>
      </w:r>
    </w:p>
    <w:p w14:paraId="3AC5151C">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（4）核对评标工作用表。</w:t>
      </w:r>
    </w:p>
    <w:p w14:paraId="35C7B82D">
      <w:pPr>
        <w:spacing w:line="440" w:lineRule="exact"/>
        <w:ind w:firstLine="422" w:firstLineChars="200"/>
        <w:rPr>
          <w:rFonts w:ascii="宋体" w:hAnsi="宋体" w:cs="宋体"/>
          <w:color w:val="auto"/>
          <w:szCs w:val="21"/>
          <w:highlight w:val="none"/>
        </w:rPr>
      </w:pPr>
      <w:r>
        <w:rPr>
          <w:rFonts w:hint="eastAsia" w:ascii="宋体" w:hAnsi="宋体" w:cs="宋体"/>
          <w:b/>
          <w:bCs/>
          <w:color w:val="auto"/>
          <w:szCs w:val="21"/>
          <w:highlight w:val="none"/>
        </w:rPr>
        <w:t>3.2推荐中标候选人：经资信评审、技术、商务评审后，按总得分（资信评分+技术评分+商务评分）由高到低顺序推荐3名中标候选人，并标明排序。若出现总得分相同的投标人有两名及以上时，以投标报价低者优先，如投标报价仍相同时，由招标人现场采取随机抽取的方式确定中标候选人排序。</w:t>
      </w:r>
    </w:p>
    <w:bookmarkEnd w:id="693"/>
    <w:bookmarkEnd w:id="697"/>
    <w:bookmarkEnd w:id="698"/>
    <w:bookmarkEnd w:id="699"/>
    <w:bookmarkEnd w:id="700"/>
    <w:bookmarkEnd w:id="701"/>
    <w:bookmarkEnd w:id="702"/>
    <w:bookmarkEnd w:id="703"/>
    <w:bookmarkEnd w:id="704"/>
    <w:p w14:paraId="49F16A7E">
      <w:pPr>
        <w:pStyle w:val="3"/>
        <w:spacing w:before="0" w:after="0" w:line="440" w:lineRule="exact"/>
        <w:rPr>
          <w:rFonts w:ascii="宋体" w:hAnsi="宋体" w:cs="宋体"/>
          <w:color w:val="auto"/>
          <w:szCs w:val="24"/>
          <w:highlight w:val="none"/>
        </w:rPr>
      </w:pPr>
      <w:bookmarkStart w:id="726" w:name="_Toc521431541"/>
      <w:bookmarkStart w:id="727" w:name="_Toc9082"/>
      <w:r>
        <w:rPr>
          <w:rFonts w:hint="eastAsia" w:ascii="宋体" w:hAnsi="宋体" w:cs="宋体"/>
          <w:color w:val="auto"/>
          <w:szCs w:val="24"/>
          <w:highlight w:val="none"/>
        </w:rPr>
        <w:t>4</w:t>
      </w:r>
      <w:bookmarkEnd w:id="726"/>
      <w:r>
        <w:rPr>
          <w:rFonts w:hint="eastAsia" w:ascii="宋体" w:hAnsi="宋体" w:cs="宋体"/>
          <w:color w:val="auto"/>
          <w:szCs w:val="24"/>
          <w:highlight w:val="none"/>
        </w:rPr>
        <w:t>.</w:t>
      </w:r>
      <w:bookmarkEnd w:id="694"/>
      <w:bookmarkEnd w:id="695"/>
      <w:bookmarkEnd w:id="727"/>
      <w:r>
        <w:rPr>
          <w:rFonts w:hint="eastAsia" w:ascii="宋体" w:hAnsi="宋体" w:cs="宋体"/>
          <w:color w:val="auto"/>
          <w:szCs w:val="24"/>
          <w:highlight w:val="none"/>
        </w:rPr>
        <w:t>评审内容</w:t>
      </w:r>
    </w:p>
    <w:p w14:paraId="4D8F3CF0">
      <w:pPr>
        <w:autoSpaceDE w:val="0"/>
        <w:spacing w:line="440" w:lineRule="exact"/>
        <w:ind w:firstLine="517" w:firstLineChars="245"/>
        <w:jc w:val="left"/>
        <w:rPr>
          <w:rFonts w:ascii="宋体" w:hAnsi="宋体" w:cs="宋体"/>
          <w:b/>
          <w:bCs/>
          <w:color w:val="auto"/>
          <w:szCs w:val="21"/>
          <w:highlight w:val="none"/>
        </w:rPr>
      </w:pPr>
      <w:r>
        <w:rPr>
          <w:rFonts w:hint="eastAsia" w:ascii="宋体" w:hAnsi="宋体" w:cs="宋体"/>
          <w:b/>
          <w:bCs/>
          <w:color w:val="auto"/>
          <w:szCs w:val="21"/>
          <w:highlight w:val="none"/>
          <w:lang w:bidi="ar"/>
        </w:rPr>
        <w:t>4.1资信标评审</w:t>
      </w:r>
    </w:p>
    <w:p w14:paraId="0B21A2E0">
      <w:pPr>
        <w:autoSpaceDE w:val="0"/>
        <w:spacing w:line="440" w:lineRule="exact"/>
        <w:ind w:firstLine="525" w:firstLineChars="250"/>
        <w:jc w:val="left"/>
        <w:rPr>
          <w:rFonts w:ascii="宋体" w:hAnsi="宋体" w:cs="宋体"/>
          <w:color w:val="auto"/>
          <w:szCs w:val="21"/>
          <w:highlight w:val="none"/>
        </w:rPr>
      </w:pPr>
      <w:r>
        <w:rPr>
          <w:rFonts w:hint="eastAsia" w:ascii="宋体" w:hAnsi="宋体" w:cs="宋体"/>
          <w:color w:val="auto"/>
          <w:szCs w:val="21"/>
          <w:highlight w:val="none"/>
          <w:lang w:bidi="ar"/>
        </w:rPr>
        <w:t>4.1.1形式性评审标准：见资信标评审表。</w:t>
      </w:r>
    </w:p>
    <w:p w14:paraId="24721D21">
      <w:pPr>
        <w:autoSpaceDE w:val="0"/>
        <w:spacing w:line="440" w:lineRule="exact"/>
        <w:ind w:firstLine="525" w:firstLineChars="250"/>
        <w:jc w:val="left"/>
        <w:rPr>
          <w:rFonts w:ascii="宋体" w:hAnsi="宋体" w:cs="宋体"/>
          <w:color w:val="auto"/>
          <w:szCs w:val="21"/>
          <w:highlight w:val="none"/>
        </w:rPr>
      </w:pPr>
      <w:r>
        <w:rPr>
          <w:rFonts w:hint="eastAsia" w:ascii="宋体" w:hAnsi="宋体" w:cs="宋体"/>
          <w:color w:val="auto"/>
          <w:szCs w:val="21"/>
          <w:highlight w:val="none"/>
          <w:lang w:bidi="ar"/>
        </w:rPr>
        <w:t>4.1.2响应性评审标准：见资信标评审表。</w:t>
      </w:r>
    </w:p>
    <w:p w14:paraId="48D445D7">
      <w:pPr>
        <w:autoSpaceDE w:val="0"/>
        <w:spacing w:line="440" w:lineRule="exact"/>
        <w:ind w:firstLine="525" w:firstLineChars="250"/>
        <w:jc w:val="left"/>
        <w:rPr>
          <w:rFonts w:ascii="宋体" w:hAnsi="宋体" w:cs="宋体"/>
          <w:color w:val="auto"/>
          <w:szCs w:val="21"/>
          <w:highlight w:val="none"/>
        </w:rPr>
      </w:pPr>
      <w:r>
        <w:rPr>
          <w:rFonts w:hint="eastAsia" w:ascii="宋体" w:hAnsi="宋体" w:cs="宋体"/>
          <w:color w:val="auto"/>
          <w:szCs w:val="21"/>
          <w:highlight w:val="none"/>
          <w:lang w:bidi="ar"/>
        </w:rPr>
        <w:t>评标委员会依据上述标准对投标文件进行初步评审。有一项不符合评审标准的，作无效投标处理。</w:t>
      </w:r>
    </w:p>
    <w:p w14:paraId="1288348E">
      <w:pPr>
        <w:autoSpaceDE w:val="0"/>
        <w:spacing w:line="440" w:lineRule="exact"/>
        <w:ind w:firstLine="517" w:firstLineChars="245"/>
        <w:jc w:val="left"/>
        <w:rPr>
          <w:rFonts w:ascii="宋体" w:hAnsi="宋体" w:cs="宋体"/>
          <w:b/>
          <w:bCs/>
          <w:color w:val="auto"/>
          <w:szCs w:val="21"/>
          <w:highlight w:val="none"/>
          <w:lang w:bidi="ar"/>
        </w:rPr>
      </w:pPr>
    </w:p>
    <w:p w14:paraId="0E54F133">
      <w:pPr>
        <w:autoSpaceDE w:val="0"/>
        <w:spacing w:line="440" w:lineRule="exact"/>
        <w:ind w:firstLine="517" w:firstLineChars="245"/>
        <w:jc w:val="left"/>
        <w:rPr>
          <w:rFonts w:ascii="宋体" w:hAnsi="宋体" w:cs="宋体"/>
          <w:b/>
          <w:bCs/>
          <w:color w:val="auto"/>
          <w:szCs w:val="21"/>
          <w:highlight w:val="none"/>
          <w:lang w:bidi="ar"/>
        </w:rPr>
      </w:pPr>
      <w:r>
        <w:rPr>
          <w:rFonts w:hint="eastAsia" w:ascii="宋体" w:hAnsi="宋体" w:cs="宋体"/>
          <w:b/>
          <w:bCs/>
          <w:color w:val="auto"/>
          <w:szCs w:val="21"/>
          <w:highlight w:val="none"/>
          <w:lang w:bidi="ar"/>
        </w:rPr>
        <w:t>4.2技术标评审</w:t>
      </w:r>
    </w:p>
    <w:p w14:paraId="6BB5DB2F">
      <w:pPr>
        <w:autoSpaceDE w:val="0"/>
        <w:spacing w:line="440" w:lineRule="exact"/>
        <w:ind w:firstLine="525" w:firstLineChars="250"/>
        <w:jc w:val="left"/>
        <w:rPr>
          <w:rFonts w:ascii="宋体" w:hAnsi="宋体" w:cs="宋体"/>
          <w:color w:val="auto"/>
          <w:szCs w:val="21"/>
          <w:highlight w:val="none"/>
          <w:lang w:bidi="ar"/>
        </w:rPr>
      </w:pPr>
      <w:r>
        <w:rPr>
          <w:rFonts w:hint="eastAsia" w:ascii="宋体" w:hAnsi="宋体" w:cs="宋体"/>
          <w:color w:val="auto"/>
          <w:szCs w:val="21"/>
          <w:highlight w:val="none"/>
          <w:lang w:bidi="ar"/>
        </w:rPr>
        <w:t>（1）详见技术标评分细则。</w:t>
      </w:r>
    </w:p>
    <w:p w14:paraId="3AA699FA">
      <w:pPr>
        <w:autoSpaceDE w:val="0"/>
        <w:spacing w:line="440" w:lineRule="exact"/>
        <w:ind w:firstLine="517" w:firstLineChars="245"/>
        <w:jc w:val="left"/>
        <w:rPr>
          <w:rFonts w:ascii="宋体" w:hAnsi="宋体" w:cs="宋体"/>
          <w:b/>
          <w:bCs/>
          <w:color w:val="auto"/>
          <w:szCs w:val="21"/>
          <w:highlight w:val="none"/>
        </w:rPr>
      </w:pPr>
      <w:r>
        <w:rPr>
          <w:rFonts w:hint="eastAsia" w:ascii="宋体" w:hAnsi="宋体" w:cs="宋体"/>
          <w:b/>
          <w:bCs/>
          <w:color w:val="auto"/>
          <w:szCs w:val="21"/>
          <w:highlight w:val="none"/>
          <w:lang w:bidi="ar"/>
        </w:rPr>
        <w:t>4.3商务标评审</w:t>
      </w:r>
    </w:p>
    <w:p w14:paraId="246DE80F">
      <w:pPr>
        <w:autoSpaceDE w:val="0"/>
        <w:spacing w:line="440" w:lineRule="exact"/>
        <w:ind w:firstLine="525" w:firstLineChars="250"/>
        <w:jc w:val="left"/>
        <w:rPr>
          <w:rFonts w:ascii="宋体" w:hAnsi="宋体" w:cs="宋体"/>
          <w:color w:val="auto"/>
          <w:szCs w:val="21"/>
          <w:highlight w:val="none"/>
        </w:rPr>
      </w:pPr>
      <w:r>
        <w:rPr>
          <w:rFonts w:hint="eastAsia" w:ascii="宋体" w:hAnsi="宋体" w:cs="宋体"/>
          <w:color w:val="auto"/>
          <w:szCs w:val="21"/>
          <w:highlight w:val="none"/>
          <w:lang w:bidi="ar"/>
        </w:rPr>
        <w:t>只有通过资信证明文件形式性、响应性评审的投标才能够进入本阶段评审。</w:t>
      </w:r>
    </w:p>
    <w:p w14:paraId="276C51EE">
      <w:pPr>
        <w:autoSpaceDE w:val="0"/>
        <w:spacing w:line="440" w:lineRule="exact"/>
        <w:ind w:firstLine="525" w:firstLineChars="250"/>
        <w:jc w:val="left"/>
        <w:rPr>
          <w:rFonts w:ascii="宋体" w:hAnsi="宋体" w:cs="宋体"/>
          <w:color w:val="auto"/>
          <w:szCs w:val="21"/>
          <w:highlight w:val="none"/>
        </w:rPr>
      </w:pPr>
      <w:r>
        <w:rPr>
          <w:rFonts w:hint="eastAsia" w:ascii="宋体" w:hAnsi="宋体" w:cs="宋体"/>
          <w:color w:val="auto"/>
          <w:szCs w:val="21"/>
          <w:highlight w:val="none"/>
          <w:lang w:bidi="ar"/>
        </w:rPr>
        <w:t>4.3.1形式性评审标准：见商务标评审表。</w:t>
      </w:r>
    </w:p>
    <w:p w14:paraId="018FE012">
      <w:pPr>
        <w:autoSpaceDE w:val="0"/>
        <w:spacing w:line="440" w:lineRule="exact"/>
        <w:ind w:firstLine="525" w:firstLineChars="250"/>
        <w:jc w:val="left"/>
        <w:rPr>
          <w:rFonts w:ascii="宋体" w:hAnsi="宋体" w:cs="宋体"/>
          <w:color w:val="auto"/>
          <w:szCs w:val="21"/>
          <w:highlight w:val="none"/>
        </w:rPr>
      </w:pPr>
      <w:r>
        <w:rPr>
          <w:rFonts w:hint="eastAsia" w:ascii="宋体" w:hAnsi="宋体" w:cs="宋体"/>
          <w:color w:val="auto"/>
          <w:szCs w:val="21"/>
          <w:highlight w:val="none"/>
          <w:lang w:bidi="ar"/>
        </w:rPr>
        <w:t>4.3.2响应性评审标准：见商务标评审表。</w:t>
      </w:r>
    </w:p>
    <w:p w14:paraId="0793C665">
      <w:pPr>
        <w:autoSpaceDE w:val="0"/>
        <w:spacing w:line="440" w:lineRule="exact"/>
        <w:ind w:firstLine="525" w:firstLineChars="250"/>
        <w:jc w:val="left"/>
        <w:rPr>
          <w:rFonts w:ascii="宋体" w:hAnsi="宋体" w:cs="宋体"/>
          <w:color w:val="auto"/>
          <w:szCs w:val="21"/>
          <w:highlight w:val="none"/>
        </w:rPr>
      </w:pPr>
      <w:r>
        <w:rPr>
          <w:rFonts w:hint="eastAsia" w:ascii="宋体" w:hAnsi="宋体" w:cs="宋体"/>
          <w:color w:val="auto"/>
          <w:szCs w:val="21"/>
          <w:highlight w:val="none"/>
          <w:lang w:bidi="ar"/>
        </w:rPr>
        <w:t>评标委员会依据上述标准对投标文件进行初步评审。有一项不符合评审标准的，作无效投标处理。</w:t>
      </w:r>
    </w:p>
    <w:p w14:paraId="4B2EB87B">
      <w:pPr>
        <w:autoSpaceDE w:val="0"/>
        <w:spacing w:line="440" w:lineRule="exact"/>
        <w:ind w:firstLine="525" w:firstLineChars="250"/>
        <w:jc w:val="left"/>
        <w:rPr>
          <w:rFonts w:ascii="宋体" w:hAnsi="宋体" w:cs="宋体"/>
          <w:color w:val="auto"/>
          <w:szCs w:val="21"/>
          <w:highlight w:val="none"/>
        </w:rPr>
      </w:pPr>
      <w:r>
        <w:rPr>
          <w:rFonts w:hint="eastAsia" w:ascii="宋体" w:hAnsi="宋体" w:cs="宋体"/>
          <w:color w:val="auto"/>
          <w:szCs w:val="21"/>
          <w:highlight w:val="none"/>
          <w:lang w:bidi="ar"/>
        </w:rPr>
        <w:t>4.3.3投标报价评审</w:t>
      </w:r>
    </w:p>
    <w:p w14:paraId="5A6816F8">
      <w:pPr>
        <w:autoSpaceDE w:val="0"/>
        <w:spacing w:line="440" w:lineRule="exact"/>
        <w:ind w:firstLine="422" w:firstLineChars="200"/>
        <w:jc w:val="left"/>
        <w:rPr>
          <w:rFonts w:ascii="宋体" w:hAnsi="宋体" w:cs="宋体"/>
          <w:b/>
          <w:bCs/>
          <w:color w:val="auto"/>
          <w:szCs w:val="21"/>
          <w:highlight w:val="none"/>
        </w:rPr>
      </w:pPr>
      <w:r>
        <w:rPr>
          <w:rFonts w:hint="eastAsia" w:ascii="宋体" w:hAnsi="宋体" w:cs="宋体"/>
          <w:b/>
          <w:bCs/>
          <w:color w:val="auto"/>
          <w:szCs w:val="21"/>
          <w:highlight w:val="none"/>
          <w:lang w:bidi="ar"/>
        </w:rPr>
        <w:t>评标委员会发现投标人的投标报价明显低于其他投标报价，使得其投标报价可能低于其成本的，应当要求该投标人作出书面说明并提供相应的证明材料。投标人不能合理说明或者不能提供相应证明材料的，由评标委员会认定该投标人以低于成本报价竞标，其投标作无效投标处理。</w:t>
      </w:r>
    </w:p>
    <w:p w14:paraId="664606CD">
      <w:pPr>
        <w:autoSpaceDE w:val="0"/>
        <w:spacing w:line="440" w:lineRule="exact"/>
        <w:ind w:firstLine="315" w:firstLineChars="150"/>
        <w:jc w:val="left"/>
        <w:rPr>
          <w:rFonts w:ascii="宋体" w:hAnsi="宋体" w:cs="宋体"/>
          <w:color w:val="auto"/>
          <w:szCs w:val="21"/>
          <w:highlight w:val="none"/>
          <w:lang w:bidi="ar"/>
        </w:rPr>
      </w:pPr>
      <w:r>
        <w:rPr>
          <w:rFonts w:hint="eastAsia" w:ascii="宋体" w:hAnsi="宋体" w:cs="宋体"/>
          <w:color w:val="auto"/>
          <w:szCs w:val="21"/>
          <w:highlight w:val="none"/>
          <w:lang w:bidi="ar"/>
        </w:rPr>
        <w:t>4.3.4评审阶段，评委可能会要求有关投标人就其投标书中含义不明确、同类问题表述不一致或者有明显文字和计算错误的内容进行澄清。</w:t>
      </w:r>
    </w:p>
    <w:p w14:paraId="277FD717">
      <w:pPr>
        <w:autoSpaceDE w:val="0"/>
        <w:spacing w:line="440" w:lineRule="exact"/>
        <w:ind w:firstLine="315" w:firstLineChars="150"/>
        <w:jc w:val="left"/>
        <w:rPr>
          <w:rFonts w:ascii="宋体" w:hAnsi="宋体" w:cs="宋体"/>
          <w:color w:val="auto"/>
          <w:szCs w:val="21"/>
          <w:highlight w:val="none"/>
          <w:lang w:bidi="ar"/>
        </w:rPr>
      </w:pPr>
      <w:r>
        <w:rPr>
          <w:rFonts w:hint="eastAsia" w:ascii="宋体" w:hAnsi="宋体" w:cs="宋体"/>
          <w:color w:val="auto"/>
          <w:szCs w:val="21"/>
          <w:highlight w:val="none"/>
          <w:lang w:bidi="ar"/>
        </w:rPr>
        <w:t>2.投标人的澄清、说明或者补正应当采用书面形式，但不得超出投标书的范围或者改变投标书的实质性内容，并由其法定代表人或被授权的代表签字或盖章。</w:t>
      </w:r>
    </w:p>
    <w:p w14:paraId="6E6B676B">
      <w:pPr>
        <w:autoSpaceDE w:val="0"/>
        <w:spacing w:line="440" w:lineRule="exact"/>
        <w:ind w:firstLine="315" w:firstLineChars="150"/>
        <w:jc w:val="left"/>
        <w:rPr>
          <w:rFonts w:ascii="宋体" w:hAnsi="宋体" w:cs="宋体"/>
          <w:color w:val="auto"/>
          <w:szCs w:val="21"/>
          <w:highlight w:val="none"/>
          <w:lang w:bidi="ar"/>
        </w:rPr>
      </w:pPr>
      <w:r>
        <w:rPr>
          <w:rFonts w:hint="eastAsia" w:ascii="宋体" w:hAnsi="宋体" w:cs="宋体"/>
          <w:color w:val="auto"/>
          <w:szCs w:val="21"/>
          <w:highlight w:val="none"/>
          <w:lang w:bidi="ar"/>
        </w:rPr>
        <w:t>3.评委会修正错误的原则：</w:t>
      </w:r>
    </w:p>
    <w:p w14:paraId="296B5A73">
      <w:pPr>
        <w:autoSpaceDE w:val="0"/>
        <w:spacing w:line="440" w:lineRule="exact"/>
        <w:ind w:firstLine="315" w:firstLineChars="150"/>
        <w:jc w:val="left"/>
        <w:rPr>
          <w:rFonts w:ascii="宋体" w:hAnsi="宋体" w:cs="宋体"/>
          <w:color w:val="auto"/>
          <w:szCs w:val="21"/>
          <w:highlight w:val="none"/>
          <w:lang w:bidi="ar"/>
        </w:rPr>
      </w:pPr>
      <w:r>
        <w:rPr>
          <w:rFonts w:hint="eastAsia" w:ascii="宋体" w:hAnsi="宋体" w:cs="宋体"/>
          <w:color w:val="auto"/>
          <w:szCs w:val="21"/>
          <w:highlight w:val="none"/>
          <w:lang w:bidi="ar"/>
        </w:rPr>
        <w:t>3.1如果数字表示的金额和用文字表示的金额不一致时，以文字表示的金额为准。</w:t>
      </w:r>
    </w:p>
    <w:p w14:paraId="1679BAE2">
      <w:pPr>
        <w:autoSpaceDE w:val="0"/>
        <w:spacing w:line="440" w:lineRule="exact"/>
        <w:ind w:firstLine="315" w:firstLineChars="150"/>
        <w:jc w:val="left"/>
        <w:rPr>
          <w:rFonts w:ascii="宋体" w:hAnsi="宋体" w:cs="宋体"/>
          <w:color w:val="auto"/>
          <w:szCs w:val="21"/>
          <w:highlight w:val="none"/>
          <w:lang w:bidi="ar"/>
        </w:rPr>
      </w:pPr>
      <w:r>
        <w:rPr>
          <w:rFonts w:hint="eastAsia" w:ascii="宋体" w:hAnsi="宋体" w:cs="宋体"/>
          <w:color w:val="auto"/>
          <w:szCs w:val="21"/>
          <w:highlight w:val="none"/>
          <w:lang w:bidi="ar"/>
        </w:rPr>
        <w:t>3.2如果单价与数量的乘积和总价不一致，以单价为准，修正总价；当单价小数点有明显的错位时，评委会将以总价为准，并修正其单价。</w:t>
      </w:r>
    </w:p>
    <w:p w14:paraId="5703200E">
      <w:pPr>
        <w:autoSpaceDE w:val="0"/>
        <w:spacing w:line="440" w:lineRule="exact"/>
        <w:ind w:firstLine="315" w:firstLineChars="150"/>
        <w:jc w:val="left"/>
        <w:rPr>
          <w:rFonts w:ascii="宋体" w:hAnsi="宋体" w:cs="宋体"/>
          <w:color w:val="auto"/>
          <w:szCs w:val="21"/>
          <w:highlight w:val="none"/>
        </w:rPr>
      </w:pPr>
      <w:r>
        <w:rPr>
          <w:rFonts w:hint="eastAsia" w:ascii="宋体" w:hAnsi="宋体" w:cs="宋体"/>
          <w:color w:val="auto"/>
          <w:szCs w:val="21"/>
          <w:highlight w:val="none"/>
          <w:lang w:bidi="ar"/>
        </w:rPr>
        <w:t>4.评委会将按上述修正错误的方法调整投标文件中的投标报价，调整后的价格应对投标人具有约束力。无论投标人是接受或是拒绝调整后的价格，都应当由投标人确认，否则按无效标处理。</w:t>
      </w:r>
    </w:p>
    <w:p w14:paraId="2DF19C84">
      <w:pPr>
        <w:pStyle w:val="3"/>
        <w:spacing w:before="0" w:after="0" w:line="440" w:lineRule="exact"/>
        <w:rPr>
          <w:rFonts w:ascii="宋体" w:hAnsi="宋体" w:cs="宋体"/>
          <w:color w:val="auto"/>
          <w:szCs w:val="24"/>
          <w:highlight w:val="none"/>
        </w:rPr>
      </w:pPr>
      <w:bookmarkStart w:id="728" w:name="_Toc267320058"/>
      <w:bookmarkStart w:id="729" w:name="_Toc11396"/>
      <w:r>
        <w:rPr>
          <w:rFonts w:hint="eastAsia" w:ascii="宋体" w:hAnsi="宋体" w:cs="宋体"/>
          <w:color w:val="auto"/>
          <w:szCs w:val="24"/>
          <w:highlight w:val="none"/>
        </w:rPr>
        <w:t>5.</w:t>
      </w:r>
      <w:bookmarkEnd w:id="728"/>
      <w:r>
        <w:rPr>
          <w:rFonts w:hint="eastAsia" w:ascii="宋体" w:hAnsi="宋体" w:cs="宋体"/>
          <w:color w:val="auto"/>
          <w:szCs w:val="24"/>
          <w:highlight w:val="none"/>
        </w:rPr>
        <w:t>无效投标条款</w:t>
      </w:r>
      <w:bookmarkEnd w:id="729"/>
    </w:p>
    <w:p w14:paraId="290E4F38">
      <w:pPr>
        <w:autoSpaceDE w:val="0"/>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lang w:bidi="ar"/>
        </w:rPr>
        <w:t>5.1投标人存在下列情形的招标人将拒收投标文件：</w:t>
      </w:r>
    </w:p>
    <w:p w14:paraId="2501D3F6">
      <w:pPr>
        <w:autoSpaceDE w:val="0"/>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lang w:bidi="ar"/>
        </w:rPr>
        <w:t>(1) 未在投标截止时间前递交有效投标文件的，投标将被拒绝。</w:t>
      </w:r>
    </w:p>
    <w:p w14:paraId="522D5C2F">
      <w:pPr>
        <w:autoSpaceDE w:val="0"/>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lang w:bidi="ar"/>
        </w:rPr>
        <w:t>5.2由资格审查委员会（评标委员会）按资格审查办法前附表要求对投标人审查资料进行核验。投标申请人有下列情形之一的，其资格审查为不合格：</w:t>
      </w:r>
    </w:p>
    <w:p w14:paraId="31364C6B">
      <w:pPr>
        <w:numPr>
          <w:ilvl w:val="0"/>
          <w:numId w:val="1"/>
        </w:numPr>
        <w:autoSpaceDE w:val="0"/>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lang w:bidi="ar"/>
        </w:rPr>
        <w:t>法定代表人（或委托代理人）未准时参加会议；</w:t>
      </w:r>
    </w:p>
    <w:p w14:paraId="0B1E7A71">
      <w:pPr>
        <w:autoSpaceDE w:val="0"/>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lang w:bidi="ar"/>
        </w:rPr>
        <w:t>（2）联合体投标人没有提交联合体协议书；</w:t>
      </w:r>
    </w:p>
    <w:p w14:paraId="2B4C052A">
      <w:pPr>
        <w:autoSpaceDE w:val="0"/>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lang w:bidi="ar"/>
        </w:rPr>
        <w:t>（3）不能提供资格审查材料或经审查不合格；</w:t>
      </w:r>
    </w:p>
    <w:p w14:paraId="1E6ED402">
      <w:pPr>
        <w:autoSpaceDE w:val="0"/>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lang w:bidi="ar"/>
        </w:rPr>
        <w:t>（4）保证金不按《投标人须知前附表》要求提交投标保证金的。（本条不采用）</w:t>
      </w:r>
    </w:p>
    <w:p w14:paraId="1CC8099A">
      <w:pPr>
        <w:autoSpaceDE w:val="0"/>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lang w:bidi="ar"/>
        </w:rPr>
        <w:t>（5）法律、法规规定的其他情形。</w:t>
      </w:r>
    </w:p>
    <w:p w14:paraId="41250740">
      <w:pPr>
        <w:autoSpaceDE w:val="0"/>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lang w:bidi="ar"/>
        </w:rPr>
        <w:t>5.3投标人有下列情形的，经评审后其投标作无效投标处理无效投标：</w:t>
      </w:r>
    </w:p>
    <w:p w14:paraId="449405D4">
      <w:pPr>
        <w:autoSpaceDE w:val="0"/>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lang w:bidi="ar"/>
        </w:rPr>
        <w:t>5.3.1商务标评审</w:t>
      </w:r>
    </w:p>
    <w:p w14:paraId="7DB07F36">
      <w:pPr>
        <w:autoSpaceDE w:val="0"/>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lang w:bidi="ar"/>
        </w:rPr>
        <w:t>评标委员会依据《商务标评审表》进行形式性评审和响应性评审。有一项不符合评审标准的，</w:t>
      </w:r>
      <w:r>
        <w:rPr>
          <w:rFonts w:hint="eastAsia" w:ascii="宋体" w:hAnsi="宋体" w:cs="宋体"/>
          <w:color w:val="auto"/>
          <w:szCs w:val="21"/>
          <w:highlight w:val="none"/>
          <w:lang w:eastAsia="zh-CN" w:bidi="ar"/>
        </w:rPr>
        <w:t>作</w:t>
      </w:r>
      <w:r>
        <w:rPr>
          <w:rFonts w:hint="eastAsia" w:ascii="宋体" w:hAnsi="宋体" w:cs="宋体"/>
          <w:color w:val="auto"/>
          <w:szCs w:val="21"/>
          <w:highlight w:val="none"/>
          <w:lang w:bidi="ar"/>
        </w:rPr>
        <w:t>无效投标处理；</w:t>
      </w:r>
    </w:p>
    <w:p w14:paraId="770D3BB7">
      <w:pPr>
        <w:autoSpaceDE w:val="0"/>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lang w:bidi="ar"/>
        </w:rPr>
        <w:t>5.4其他无效投标情况：</w:t>
      </w:r>
    </w:p>
    <w:p w14:paraId="51B8DA7C">
      <w:pPr>
        <w:autoSpaceDE w:val="0"/>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lang w:bidi="ar"/>
        </w:rPr>
        <w:t>（1）按《评标方法》修正错误的原则及方法调整或修正投标文件的投标报价，调整或修正的价格经投标人书面确认后具有约束力。投标人不接修正价格的，其投标将被拒绝。</w:t>
      </w:r>
    </w:p>
    <w:p w14:paraId="3BA29C64">
      <w:pPr>
        <w:autoSpaceDE w:val="0"/>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lang w:bidi="ar"/>
        </w:rPr>
        <w:t>（2）“投标人须知”第1.4.2,1.4.3条规定的任何一种情形的。</w:t>
      </w:r>
    </w:p>
    <w:p w14:paraId="68567DE5">
      <w:pPr>
        <w:autoSpaceDE w:val="0"/>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lang w:bidi="ar"/>
        </w:rPr>
        <w:t>（3）投标人有串通投标、弄虚作假、行贿等违法行为。</w:t>
      </w:r>
    </w:p>
    <w:p w14:paraId="5928A4AA">
      <w:pPr>
        <w:autoSpaceDE w:val="0"/>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lang w:bidi="ar"/>
        </w:rPr>
        <w:t>（4）投标文件没有对招标文件的实质性要求和条件作出响应。</w:t>
      </w:r>
    </w:p>
    <w:p w14:paraId="0741EBDF">
      <w:pPr>
        <w:autoSpaceDE w:val="0"/>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lang w:bidi="ar"/>
        </w:rPr>
        <w:t>（5）未按规定的格式填写，实质性内容不全或关键字迹模糊、无法辨认的。</w:t>
      </w:r>
    </w:p>
    <w:p w14:paraId="070282E3">
      <w:pPr>
        <w:autoSpaceDE w:val="0"/>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lang w:bidi="ar"/>
        </w:rPr>
        <w:t>（6）同一投标人提交两个以上不同的投标文件或者投标报价，但招标文件规定提交备选投标的除外。</w:t>
      </w:r>
    </w:p>
    <w:p w14:paraId="0663ECC6">
      <w:pPr>
        <w:autoSpaceDE w:val="0"/>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lang w:bidi="ar"/>
        </w:rPr>
        <w:t>（7）投标文件中存在招标人不能接受的其他实质性条件。</w:t>
      </w:r>
    </w:p>
    <w:p w14:paraId="427F2525">
      <w:pPr>
        <w:autoSpaceDE w:val="0"/>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lang w:bidi="ar"/>
        </w:rPr>
        <w:t>（8）投标人拒不按照要求对投标文件进行澄清、说明、补正的，或评标委员会根据招标文件的规定对招标文件的计算错误进行修正后，投标人不接受修正的投标报价的。</w:t>
      </w:r>
    </w:p>
    <w:p w14:paraId="22C0E5A5">
      <w:pPr>
        <w:autoSpaceDE w:val="0"/>
        <w:spacing w:line="440" w:lineRule="exact"/>
        <w:ind w:firstLine="420" w:firstLineChars="200"/>
        <w:jc w:val="left"/>
        <w:rPr>
          <w:rFonts w:ascii="宋体" w:hAnsi="宋体" w:cs="宋体"/>
          <w:bCs/>
          <w:color w:val="auto"/>
          <w:szCs w:val="21"/>
          <w:highlight w:val="none"/>
        </w:rPr>
      </w:pPr>
      <w:r>
        <w:rPr>
          <w:rFonts w:hint="eastAsia" w:ascii="宋体" w:hAnsi="宋体" w:cs="宋体"/>
          <w:bCs/>
          <w:color w:val="auto"/>
          <w:szCs w:val="21"/>
          <w:highlight w:val="none"/>
          <w:lang w:bidi="ar"/>
        </w:rPr>
        <w:t>（9）投标人单方面出现其他投标人材料。</w:t>
      </w:r>
    </w:p>
    <w:p w14:paraId="5D369F51">
      <w:pPr>
        <w:autoSpaceDE w:val="0"/>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lang w:bidi="ar"/>
        </w:rPr>
        <w:t>（10）法律、法规规定的其他情形。</w:t>
      </w:r>
    </w:p>
    <w:p w14:paraId="138ABEFE">
      <w:pPr>
        <w:pStyle w:val="3"/>
        <w:widowControl/>
        <w:autoSpaceDE w:val="0"/>
        <w:spacing w:before="0" w:after="0" w:line="440" w:lineRule="exact"/>
        <w:rPr>
          <w:rFonts w:ascii="宋体" w:hAnsi="宋体" w:cs="宋体"/>
          <w:color w:val="auto"/>
          <w:sz w:val="21"/>
          <w:szCs w:val="21"/>
          <w:highlight w:val="none"/>
        </w:rPr>
      </w:pPr>
      <w:r>
        <w:rPr>
          <w:rFonts w:hint="eastAsia" w:ascii="宋体" w:hAnsi="宋体" w:cs="宋体"/>
          <w:color w:val="auto"/>
          <w:sz w:val="21"/>
          <w:szCs w:val="21"/>
          <w:highlight w:val="none"/>
        </w:rPr>
        <w:t>6.投标文件的澄清和补正</w:t>
      </w:r>
    </w:p>
    <w:p w14:paraId="4CCDE493">
      <w:pPr>
        <w:autoSpaceDE w:val="0"/>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lang w:bidi="ar"/>
        </w:rPr>
        <w:t>6.1在评标过程中，评标委员会可以书面形式要求投标人对所提交的投标文件中不明确的内容进行书面澄清或说明，或者对细微偏差进行补正。评标委员会不接受投标人主动提出的澄清、说明或补正。</w:t>
      </w:r>
    </w:p>
    <w:p w14:paraId="11C6AE20">
      <w:pPr>
        <w:autoSpaceDE w:val="0"/>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lang w:bidi="ar"/>
        </w:rPr>
        <w:t>6.2澄清、说明和补正不得改变投标文件的实质性内容（算术性错误修正的除外）。投标人的书面澄清、说明和补正属于投标文件的组成部分。</w:t>
      </w:r>
    </w:p>
    <w:p w14:paraId="0E12C97C">
      <w:pPr>
        <w:autoSpaceDE w:val="0"/>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lang w:bidi="ar"/>
        </w:rPr>
        <w:t>6.3评标委员会对投标人提交的澄清、说明和补正有疑问的，可以要求投标人进一步澄清、说明或补正、直至满足评标委员会的要求。</w:t>
      </w:r>
    </w:p>
    <w:p w14:paraId="01C854F2">
      <w:pPr>
        <w:autoSpaceDE w:val="0"/>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lang w:bidi="ar"/>
        </w:rPr>
        <w:t>按照投标文件规定进行澄清、补正后的投标报价经投标人的法定代表人或其委托代理人确认后即为该投标人的最终投标报价。投标人一旦中标，此报价即为中标价。</w:t>
      </w:r>
    </w:p>
    <w:p w14:paraId="7D6F728B">
      <w:pPr>
        <w:pStyle w:val="3"/>
        <w:widowControl/>
        <w:autoSpaceDE w:val="0"/>
        <w:spacing w:before="0" w:after="0" w:line="440" w:lineRule="exact"/>
        <w:rPr>
          <w:rFonts w:ascii="宋体" w:hAnsi="宋体" w:cs="宋体"/>
          <w:color w:val="auto"/>
          <w:sz w:val="21"/>
          <w:szCs w:val="21"/>
          <w:highlight w:val="none"/>
        </w:rPr>
      </w:pPr>
      <w:r>
        <w:rPr>
          <w:rFonts w:hint="eastAsia" w:ascii="宋体" w:hAnsi="宋体" w:cs="宋体"/>
          <w:color w:val="auto"/>
          <w:sz w:val="21"/>
          <w:szCs w:val="21"/>
          <w:highlight w:val="none"/>
        </w:rPr>
        <w:t>7.评分标准</w:t>
      </w:r>
    </w:p>
    <w:p w14:paraId="378A4C43">
      <w:pPr>
        <w:autoSpaceDE w:val="0"/>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lang w:bidi="ar"/>
        </w:rPr>
        <w:t>评分标准：见评标办法前附表。</w:t>
      </w:r>
    </w:p>
    <w:p w14:paraId="4F9C8A5E">
      <w:pPr>
        <w:pStyle w:val="3"/>
        <w:widowControl/>
        <w:autoSpaceDE w:val="0"/>
        <w:spacing w:before="0" w:after="0" w:line="440" w:lineRule="exact"/>
        <w:rPr>
          <w:rFonts w:ascii="宋体" w:hAnsi="宋体" w:cs="宋体"/>
          <w:color w:val="auto"/>
          <w:sz w:val="21"/>
          <w:szCs w:val="21"/>
          <w:highlight w:val="none"/>
        </w:rPr>
      </w:pPr>
      <w:r>
        <w:rPr>
          <w:rFonts w:hint="eastAsia" w:ascii="宋体" w:hAnsi="宋体" w:cs="宋体"/>
          <w:color w:val="auto"/>
          <w:sz w:val="21"/>
          <w:szCs w:val="21"/>
          <w:highlight w:val="none"/>
        </w:rPr>
        <w:t>8.评审结果</w:t>
      </w:r>
    </w:p>
    <w:p w14:paraId="437524CB">
      <w:pPr>
        <w:autoSpaceDE w:val="0"/>
        <w:spacing w:line="440" w:lineRule="exact"/>
        <w:ind w:firstLine="422" w:firstLineChars="200"/>
        <w:jc w:val="left"/>
        <w:rPr>
          <w:rFonts w:ascii="宋体" w:hAnsi="宋体" w:cs="宋体"/>
          <w:color w:val="auto"/>
          <w:szCs w:val="21"/>
          <w:highlight w:val="none"/>
        </w:rPr>
      </w:pPr>
      <w:r>
        <w:rPr>
          <w:rFonts w:hint="eastAsia" w:ascii="宋体" w:hAnsi="宋体" w:cs="宋体"/>
          <w:b/>
          <w:color w:val="auto"/>
          <w:szCs w:val="21"/>
          <w:highlight w:val="none"/>
          <w:lang w:bidi="ar"/>
        </w:rPr>
        <w:t>8.1</w:t>
      </w:r>
      <w:r>
        <w:rPr>
          <w:rFonts w:hint="eastAsia" w:ascii="宋体" w:hAnsi="宋体" w:cs="宋体"/>
          <w:color w:val="auto"/>
          <w:szCs w:val="21"/>
          <w:highlight w:val="none"/>
          <w:lang w:bidi="ar"/>
        </w:rPr>
        <w:t>除投标人须知前附表授权直接确定中标人外，评标委员会按照总得分由高到低顺序推荐中标候选人。</w:t>
      </w:r>
      <w:r>
        <w:rPr>
          <w:rFonts w:hint="eastAsia" w:ascii="宋体" w:hAnsi="宋体" w:cs="宋体"/>
          <w:color w:val="auto"/>
          <w:spacing w:val="-4"/>
          <w:szCs w:val="21"/>
          <w:highlight w:val="none"/>
          <w:lang w:bidi="ar"/>
        </w:rPr>
        <w:t>若出现总得分</w:t>
      </w:r>
      <w:r>
        <w:rPr>
          <w:rFonts w:hint="eastAsia" w:ascii="宋体" w:hAnsi="宋体" w:cs="宋体"/>
          <w:bCs/>
          <w:color w:val="auto"/>
          <w:spacing w:val="-4"/>
          <w:szCs w:val="21"/>
          <w:highlight w:val="none"/>
          <w:lang w:bidi="ar"/>
        </w:rPr>
        <w:t>相同的投标人有两名及以上时，以投标报价低者优先，如投标报价仍相同时，由招标人现场采取随机抽取的方式确定中标候选人排序</w:t>
      </w:r>
      <w:r>
        <w:rPr>
          <w:rFonts w:hint="eastAsia" w:ascii="宋体" w:hAnsi="宋体" w:cs="宋体"/>
          <w:color w:val="auto"/>
          <w:spacing w:val="-4"/>
          <w:szCs w:val="21"/>
          <w:highlight w:val="none"/>
          <w:lang w:bidi="ar"/>
        </w:rPr>
        <w:t>。</w:t>
      </w:r>
    </w:p>
    <w:p w14:paraId="00116820">
      <w:pPr>
        <w:autoSpaceDE w:val="0"/>
        <w:spacing w:line="440" w:lineRule="exact"/>
        <w:ind w:firstLine="422" w:firstLineChars="200"/>
        <w:jc w:val="left"/>
        <w:rPr>
          <w:rFonts w:ascii="宋体" w:hAnsi="宋体" w:cs="宋体"/>
          <w:color w:val="auto"/>
          <w:szCs w:val="21"/>
          <w:highlight w:val="none"/>
        </w:rPr>
      </w:pPr>
      <w:r>
        <w:rPr>
          <w:rFonts w:hint="eastAsia" w:ascii="宋体" w:hAnsi="宋体" w:cs="宋体"/>
          <w:b/>
          <w:color w:val="auto"/>
          <w:szCs w:val="21"/>
          <w:highlight w:val="none"/>
          <w:lang w:bidi="ar"/>
        </w:rPr>
        <w:t>8.2</w:t>
      </w:r>
      <w:r>
        <w:rPr>
          <w:rFonts w:hint="eastAsia" w:ascii="宋体" w:hAnsi="宋体" w:cs="宋体"/>
          <w:color w:val="auto"/>
          <w:szCs w:val="21"/>
          <w:highlight w:val="none"/>
          <w:lang w:bidi="ar"/>
        </w:rPr>
        <w:t>评标委员会完成评标后，应当向招标人提交书面评标报告。评标报告应当如实记载以下内容：</w:t>
      </w:r>
    </w:p>
    <w:p w14:paraId="36D44813">
      <w:pPr>
        <w:autoSpaceDE w:val="0"/>
        <w:spacing w:line="440" w:lineRule="exact"/>
        <w:ind w:left="420" w:leftChars="200" w:firstLine="105" w:firstLineChars="50"/>
        <w:jc w:val="left"/>
        <w:rPr>
          <w:rFonts w:ascii="宋体" w:hAnsi="宋体" w:cs="宋体"/>
          <w:color w:val="auto"/>
          <w:szCs w:val="21"/>
          <w:highlight w:val="none"/>
        </w:rPr>
      </w:pPr>
      <w:r>
        <w:rPr>
          <w:rFonts w:hint="eastAsia" w:ascii="宋体" w:hAnsi="宋体" w:cs="宋体"/>
          <w:color w:val="auto"/>
          <w:szCs w:val="21"/>
          <w:highlight w:val="none"/>
          <w:lang w:bidi="ar"/>
        </w:rPr>
        <w:t>（1）基本情况和数据表。</w:t>
      </w:r>
    </w:p>
    <w:p w14:paraId="08DDE071">
      <w:pPr>
        <w:autoSpaceDE w:val="0"/>
        <w:spacing w:line="440" w:lineRule="exact"/>
        <w:ind w:left="420" w:leftChars="200" w:firstLine="105" w:firstLineChars="50"/>
        <w:jc w:val="left"/>
        <w:rPr>
          <w:rFonts w:ascii="宋体" w:hAnsi="宋体" w:cs="宋体"/>
          <w:color w:val="auto"/>
          <w:szCs w:val="21"/>
          <w:highlight w:val="none"/>
        </w:rPr>
      </w:pPr>
      <w:r>
        <w:rPr>
          <w:rFonts w:hint="eastAsia" w:ascii="宋体" w:hAnsi="宋体" w:cs="宋体"/>
          <w:color w:val="auto"/>
          <w:szCs w:val="21"/>
          <w:highlight w:val="none"/>
          <w:lang w:bidi="ar"/>
        </w:rPr>
        <w:t>（2）评标委员会成员名单。</w:t>
      </w:r>
    </w:p>
    <w:p w14:paraId="42F80081">
      <w:pPr>
        <w:autoSpaceDE w:val="0"/>
        <w:spacing w:line="440" w:lineRule="exact"/>
        <w:ind w:left="420" w:leftChars="200" w:firstLine="105" w:firstLineChars="50"/>
        <w:jc w:val="left"/>
        <w:rPr>
          <w:rFonts w:ascii="宋体" w:hAnsi="宋体" w:cs="宋体"/>
          <w:color w:val="auto"/>
          <w:szCs w:val="21"/>
          <w:highlight w:val="none"/>
        </w:rPr>
      </w:pPr>
      <w:r>
        <w:rPr>
          <w:rFonts w:hint="eastAsia" w:ascii="宋体" w:hAnsi="宋体" w:cs="宋体"/>
          <w:color w:val="auto"/>
          <w:szCs w:val="21"/>
          <w:highlight w:val="none"/>
          <w:lang w:bidi="ar"/>
        </w:rPr>
        <w:t>（3）开标记录。</w:t>
      </w:r>
    </w:p>
    <w:p w14:paraId="3F382A35">
      <w:pPr>
        <w:autoSpaceDE w:val="0"/>
        <w:spacing w:line="440" w:lineRule="exact"/>
        <w:ind w:left="420" w:leftChars="200" w:firstLine="105" w:firstLineChars="50"/>
        <w:jc w:val="left"/>
        <w:rPr>
          <w:rFonts w:ascii="宋体" w:hAnsi="宋体" w:cs="宋体"/>
          <w:color w:val="auto"/>
          <w:szCs w:val="21"/>
          <w:highlight w:val="none"/>
        </w:rPr>
      </w:pPr>
      <w:r>
        <w:rPr>
          <w:rFonts w:hint="eastAsia" w:ascii="宋体" w:hAnsi="宋体" w:cs="宋体"/>
          <w:color w:val="auto"/>
          <w:szCs w:val="21"/>
          <w:highlight w:val="none"/>
          <w:lang w:bidi="ar"/>
        </w:rPr>
        <w:t>（4）符合要求的投标人一览表。</w:t>
      </w:r>
    </w:p>
    <w:p w14:paraId="68B808D2">
      <w:pPr>
        <w:autoSpaceDE w:val="0"/>
        <w:spacing w:line="440" w:lineRule="exact"/>
        <w:ind w:left="420" w:leftChars="200" w:firstLine="105" w:firstLineChars="50"/>
        <w:jc w:val="left"/>
        <w:rPr>
          <w:rFonts w:ascii="宋体" w:hAnsi="宋体" w:cs="宋体"/>
          <w:color w:val="auto"/>
          <w:szCs w:val="21"/>
          <w:highlight w:val="none"/>
        </w:rPr>
      </w:pPr>
      <w:r>
        <w:rPr>
          <w:rFonts w:hint="eastAsia" w:ascii="宋体" w:hAnsi="宋体" w:cs="宋体"/>
          <w:color w:val="auto"/>
          <w:szCs w:val="21"/>
          <w:highlight w:val="none"/>
          <w:lang w:bidi="ar"/>
        </w:rPr>
        <w:t>（5）废标情况说明。</w:t>
      </w:r>
    </w:p>
    <w:p w14:paraId="77374AC2">
      <w:pPr>
        <w:autoSpaceDE w:val="0"/>
        <w:spacing w:line="440" w:lineRule="exact"/>
        <w:ind w:left="420" w:leftChars="200" w:firstLine="105" w:firstLineChars="50"/>
        <w:jc w:val="left"/>
        <w:rPr>
          <w:rFonts w:ascii="宋体" w:hAnsi="宋体" w:cs="宋体"/>
          <w:color w:val="auto"/>
          <w:szCs w:val="21"/>
          <w:highlight w:val="none"/>
        </w:rPr>
      </w:pPr>
      <w:r>
        <w:rPr>
          <w:rFonts w:hint="eastAsia" w:ascii="宋体" w:hAnsi="宋体" w:cs="宋体"/>
          <w:color w:val="auto"/>
          <w:szCs w:val="21"/>
          <w:highlight w:val="none"/>
          <w:lang w:bidi="ar"/>
        </w:rPr>
        <w:t>（6）评标标准、评标方法或者评标因素。</w:t>
      </w:r>
    </w:p>
    <w:p w14:paraId="1F3BF8F4">
      <w:pPr>
        <w:autoSpaceDE w:val="0"/>
        <w:spacing w:line="440" w:lineRule="exact"/>
        <w:ind w:left="420" w:leftChars="200" w:firstLine="105" w:firstLineChars="50"/>
        <w:jc w:val="left"/>
        <w:rPr>
          <w:rFonts w:ascii="宋体" w:hAnsi="宋体" w:cs="宋体"/>
          <w:color w:val="auto"/>
          <w:szCs w:val="21"/>
          <w:highlight w:val="none"/>
        </w:rPr>
      </w:pPr>
      <w:r>
        <w:rPr>
          <w:rFonts w:hint="eastAsia" w:ascii="宋体" w:hAnsi="宋体" w:cs="宋体"/>
          <w:color w:val="auto"/>
          <w:szCs w:val="21"/>
          <w:highlight w:val="none"/>
          <w:lang w:bidi="ar"/>
        </w:rPr>
        <w:t>（7）经评审的价格一览表。</w:t>
      </w:r>
    </w:p>
    <w:p w14:paraId="5ACA6183">
      <w:pPr>
        <w:autoSpaceDE w:val="0"/>
        <w:spacing w:line="440" w:lineRule="exact"/>
        <w:ind w:left="420" w:leftChars="200" w:firstLine="105" w:firstLineChars="50"/>
        <w:jc w:val="left"/>
        <w:rPr>
          <w:rFonts w:ascii="宋体" w:hAnsi="宋体" w:cs="宋体"/>
          <w:color w:val="auto"/>
          <w:szCs w:val="21"/>
          <w:highlight w:val="none"/>
        </w:rPr>
      </w:pPr>
      <w:r>
        <w:rPr>
          <w:rFonts w:hint="eastAsia" w:ascii="宋体" w:hAnsi="宋体" w:cs="宋体"/>
          <w:color w:val="auto"/>
          <w:szCs w:val="21"/>
          <w:highlight w:val="none"/>
          <w:lang w:bidi="ar"/>
        </w:rPr>
        <w:t>（8）经评审的投标人排序。</w:t>
      </w:r>
    </w:p>
    <w:p w14:paraId="210BB343">
      <w:pPr>
        <w:autoSpaceDE w:val="0"/>
        <w:spacing w:line="440" w:lineRule="exact"/>
        <w:ind w:left="420" w:leftChars="200" w:firstLine="105" w:firstLineChars="50"/>
        <w:jc w:val="left"/>
        <w:rPr>
          <w:rFonts w:ascii="宋体" w:hAnsi="宋体" w:cs="宋体"/>
          <w:color w:val="auto"/>
          <w:szCs w:val="21"/>
          <w:highlight w:val="none"/>
        </w:rPr>
      </w:pPr>
      <w:r>
        <w:rPr>
          <w:rFonts w:hint="eastAsia" w:ascii="宋体" w:hAnsi="宋体" w:cs="宋体"/>
          <w:color w:val="auto"/>
          <w:szCs w:val="21"/>
          <w:highlight w:val="none"/>
          <w:lang w:bidi="ar"/>
        </w:rPr>
        <w:t>（9）推荐的中标候选人名单与签订合同前要处理的事宜。</w:t>
      </w:r>
    </w:p>
    <w:p w14:paraId="58E8CE8E">
      <w:pPr>
        <w:autoSpaceDE w:val="0"/>
        <w:spacing w:line="440" w:lineRule="exact"/>
        <w:ind w:left="420" w:leftChars="200" w:firstLine="105" w:firstLineChars="50"/>
        <w:jc w:val="left"/>
        <w:rPr>
          <w:rFonts w:ascii="宋体" w:hAnsi="宋体" w:cs="宋体"/>
          <w:color w:val="auto"/>
          <w:szCs w:val="21"/>
          <w:highlight w:val="none"/>
        </w:rPr>
      </w:pPr>
      <w:r>
        <w:rPr>
          <w:rFonts w:hint="eastAsia" w:ascii="宋体" w:hAnsi="宋体" w:cs="宋体"/>
          <w:color w:val="auto"/>
          <w:szCs w:val="21"/>
          <w:highlight w:val="none"/>
          <w:lang w:bidi="ar"/>
        </w:rPr>
        <w:t>（10）澄清、说明、补正事项纪要。</w:t>
      </w:r>
    </w:p>
    <w:p w14:paraId="764906C8">
      <w:pPr>
        <w:autoSpaceDE w:val="0"/>
        <w:spacing w:line="440" w:lineRule="exact"/>
        <w:ind w:firstLine="422" w:firstLineChars="200"/>
        <w:jc w:val="left"/>
        <w:rPr>
          <w:rFonts w:ascii="宋体" w:hAnsi="宋体" w:cs="宋体"/>
          <w:color w:val="auto"/>
          <w:szCs w:val="21"/>
          <w:highlight w:val="none"/>
        </w:rPr>
      </w:pPr>
      <w:r>
        <w:rPr>
          <w:rFonts w:hint="eastAsia" w:ascii="宋体" w:hAnsi="宋体" w:cs="宋体"/>
          <w:b/>
          <w:color w:val="auto"/>
          <w:szCs w:val="21"/>
          <w:highlight w:val="none"/>
          <w:lang w:bidi="ar"/>
        </w:rPr>
        <w:t>8.3</w:t>
      </w:r>
      <w:r>
        <w:rPr>
          <w:rFonts w:hint="eastAsia" w:ascii="宋体" w:hAnsi="宋体" w:cs="宋体"/>
          <w:b/>
          <w:bCs/>
          <w:color w:val="auto"/>
          <w:szCs w:val="21"/>
          <w:highlight w:val="none"/>
          <w:lang w:bidi="ar"/>
        </w:rPr>
        <w:t>评标委员会推荐的中标候选人应当限定在</w:t>
      </w:r>
      <w:r>
        <w:rPr>
          <w:rFonts w:hint="eastAsia" w:ascii="宋体" w:hAnsi="宋体" w:cs="宋体"/>
          <w:b/>
          <w:bCs/>
          <w:color w:val="auto"/>
          <w:szCs w:val="21"/>
          <w:highlight w:val="none"/>
          <w:u w:val="single"/>
          <w:lang w:bidi="ar"/>
        </w:rPr>
        <w:t xml:space="preserve"> 3</w:t>
      </w:r>
      <w:r>
        <w:rPr>
          <w:rFonts w:hint="eastAsia" w:ascii="宋体" w:hAnsi="宋体" w:cs="宋体"/>
          <w:b/>
          <w:bCs/>
          <w:color w:val="auto"/>
          <w:szCs w:val="21"/>
          <w:highlight w:val="none"/>
          <w:lang w:bidi="ar"/>
        </w:rPr>
        <w:t>名。</w:t>
      </w:r>
    </w:p>
    <w:p w14:paraId="6A9627C1">
      <w:pPr>
        <w:spacing w:line="440" w:lineRule="exact"/>
        <w:ind w:firstLine="422" w:firstLineChars="200"/>
        <w:rPr>
          <w:rFonts w:ascii="宋体" w:hAnsi="宋体" w:cs="宋体"/>
          <w:color w:val="auto"/>
          <w:szCs w:val="21"/>
          <w:highlight w:val="none"/>
        </w:rPr>
      </w:pPr>
      <w:r>
        <w:rPr>
          <w:rFonts w:hint="eastAsia" w:ascii="宋体" w:hAnsi="宋体" w:cs="宋体"/>
          <w:b/>
          <w:color w:val="auto"/>
          <w:szCs w:val="21"/>
          <w:highlight w:val="none"/>
          <w:lang w:bidi="ar"/>
        </w:rPr>
        <w:t>8.4</w:t>
      </w:r>
      <w:r>
        <w:rPr>
          <w:rFonts w:hint="eastAsia" w:ascii="宋体" w:hAnsi="宋体" w:cs="宋体"/>
          <w:color w:val="auto"/>
          <w:szCs w:val="21"/>
          <w:highlight w:val="none"/>
          <w:lang w:bidi="ar"/>
        </w:rPr>
        <w:t>依法必须进行招标的项目，招标人应当确定排名第一的中标候选人为中标人。第一中标候选人放弃中标、因不可抗力提出不能履行合同，或者招标文件规定应当提交履约保证金而在规定的期限内未能提交的，或者经查实其存在弄虚作假等其他违法违规行为骗取中标的，招标人将没收其投标保证金，可以确定排名第二的中标候选人为中标人，以此类推，也可以依法重新组织招标。</w:t>
      </w:r>
    </w:p>
    <w:p w14:paraId="1D80161F">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lang w:bidi="ar"/>
        </w:rPr>
        <w:t>依法必须进行招标的项目，除第一中标候选人或者中标人以外的其他投标人存在串通投标、弄虚作假、行贿情形且在评标过程中未被发现的，视为对中标结果没有造成实质性影响，招标人可以依法继续开展招标活动。</w:t>
      </w:r>
    </w:p>
    <w:p w14:paraId="55DD522A">
      <w:pPr>
        <w:pStyle w:val="3"/>
        <w:widowControl/>
        <w:autoSpaceDE w:val="0"/>
        <w:spacing w:before="0" w:after="0" w:line="440" w:lineRule="exact"/>
        <w:ind w:firstLine="422" w:firstLineChars="200"/>
        <w:rPr>
          <w:rFonts w:ascii="宋体" w:hAnsi="宋体" w:cs="宋体"/>
          <w:color w:val="auto"/>
          <w:sz w:val="21"/>
          <w:szCs w:val="21"/>
          <w:highlight w:val="none"/>
        </w:rPr>
      </w:pPr>
      <w:r>
        <w:rPr>
          <w:rFonts w:hint="eastAsia" w:ascii="宋体" w:hAnsi="宋体" w:cs="宋体"/>
          <w:color w:val="auto"/>
          <w:sz w:val="21"/>
          <w:szCs w:val="21"/>
          <w:highlight w:val="none"/>
        </w:rPr>
        <w:t>9.其他</w:t>
      </w:r>
    </w:p>
    <w:p w14:paraId="26A60A39">
      <w:pPr>
        <w:spacing w:line="440" w:lineRule="exact"/>
        <w:ind w:firstLine="420" w:firstLineChars="200"/>
        <w:rPr>
          <w:rFonts w:ascii="宋体" w:hAnsi="宋体" w:cs="宋体"/>
          <w:color w:val="auto"/>
          <w:szCs w:val="21"/>
          <w:highlight w:val="none"/>
          <w:lang w:bidi="ar"/>
        </w:rPr>
      </w:pPr>
      <w:r>
        <w:rPr>
          <w:rFonts w:hint="eastAsia" w:ascii="宋体" w:hAnsi="宋体" w:cs="宋体"/>
          <w:color w:val="auto"/>
          <w:szCs w:val="21"/>
          <w:highlight w:val="none"/>
          <w:lang w:bidi="ar"/>
        </w:rPr>
        <w:t>投标人提供的与投标文件有关的各类证书、证明、文件、资料等的真实性、合法性由投标人负全责。如存在弄虚作假，按相关规定予以处理。</w:t>
      </w:r>
    </w:p>
    <w:p w14:paraId="4AE2F4F0">
      <w:pPr>
        <w:rPr>
          <w:rFonts w:ascii="宋体" w:hAnsi="宋体" w:cs="宋体"/>
          <w:color w:val="auto"/>
          <w:highlight w:val="none"/>
        </w:rPr>
      </w:pPr>
    </w:p>
    <w:p w14:paraId="7FDB78EB">
      <w:pPr>
        <w:pStyle w:val="2"/>
        <w:spacing w:before="0" w:after="0"/>
        <w:rPr>
          <w:rFonts w:ascii="宋体" w:hAnsi="宋体" w:cs="宋体"/>
          <w:color w:val="auto"/>
          <w:sz w:val="32"/>
          <w:szCs w:val="32"/>
          <w:highlight w:val="none"/>
        </w:rPr>
      </w:pPr>
      <w:r>
        <w:rPr>
          <w:rFonts w:hint="eastAsia" w:ascii="宋体" w:hAnsi="宋体" w:cs="宋体"/>
          <w:color w:val="auto"/>
          <w:sz w:val="32"/>
          <w:szCs w:val="32"/>
          <w:highlight w:val="none"/>
        </w:rPr>
        <w:br w:type="page"/>
      </w:r>
      <w:bookmarkStart w:id="730" w:name="_Toc18436"/>
      <w:bookmarkStart w:id="731" w:name="_Toc7423"/>
      <w:r>
        <w:rPr>
          <w:rFonts w:hint="eastAsia" w:ascii="宋体" w:hAnsi="宋体" w:cs="宋体"/>
          <w:color w:val="auto"/>
          <w:sz w:val="32"/>
          <w:szCs w:val="32"/>
          <w:highlight w:val="none"/>
        </w:rPr>
        <w:t xml:space="preserve">第四章 </w:t>
      </w:r>
      <w:bookmarkEnd w:id="671"/>
      <w:r>
        <w:rPr>
          <w:rFonts w:hint="eastAsia" w:ascii="宋体" w:hAnsi="宋体" w:cs="宋体"/>
          <w:color w:val="auto"/>
          <w:sz w:val="32"/>
          <w:szCs w:val="32"/>
          <w:highlight w:val="none"/>
        </w:rPr>
        <w:t xml:space="preserve"> </w:t>
      </w:r>
      <w:bookmarkEnd w:id="730"/>
      <w:r>
        <w:rPr>
          <w:rFonts w:hint="eastAsia" w:ascii="宋体" w:hAnsi="宋体" w:cs="宋体"/>
          <w:color w:val="auto"/>
          <w:sz w:val="32"/>
          <w:szCs w:val="32"/>
          <w:highlight w:val="none"/>
        </w:rPr>
        <w:t>服务需求</w:t>
      </w:r>
    </w:p>
    <w:p w14:paraId="21BAD87E">
      <w:pPr>
        <w:spacing w:line="580" w:lineRule="exact"/>
        <w:ind w:firstLine="422" w:firstLineChars="150"/>
        <w:rPr>
          <w:rFonts w:ascii="宋体" w:hAnsi="宋体" w:cs="宋体"/>
          <w:b/>
          <w:color w:val="auto"/>
          <w:sz w:val="28"/>
          <w:szCs w:val="28"/>
          <w:highlight w:val="none"/>
        </w:rPr>
      </w:pPr>
      <w:r>
        <w:rPr>
          <w:rFonts w:hint="eastAsia" w:ascii="宋体" w:hAnsi="宋体" w:cs="宋体"/>
          <w:b/>
          <w:color w:val="auto"/>
          <w:sz w:val="28"/>
          <w:szCs w:val="28"/>
          <w:highlight w:val="none"/>
        </w:rPr>
        <w:t>一、委托服务事项</w:t>
      </w:r>
    </w:p>
    <w:p w14:paraId="18101CD6">
      <w:pPr>
        <w:spacing w:line="440" w:lineRule="exact"/>
        <w:ind w:firstLine="420" w:firstLineChars="200"/>
        <w:rPr>
          <w:rFonts w:ascii="宋体" w:hAnsi="宋体" w:cs="宋体"/>
          <w:color w:val="auto"/>
          <w:szCs w:val="21"/>
          <w:highlight w:val="none"/>
          <w:lang w:bidi="ar"/>
        </w:rPr>
      </w:pPr>
      <w:r>
        <w:rPr>
          <w:rFonts w:hint="eastAsia" w:ascii="宋体" w:hAnsi="宋体" w:cs="宋体"/>
          <w:color w:val="auto"/>
          <w:szCs w:val="21"/>
          <w:highlight w:val="none"/>
          <w:lang w:bidi="ar"/>
        </w:rPr>
        <w:t>项目位于滁州市经开区铜陵路与徽州路交口东北地块，项目总用地面积437.62亩，总建筑面积约25万㎡。</w:t>
      </w:r>
    </w:p>
    <w:p w14:paraId="3D2F0706">
      <w:pPr>
        <w:spacing w:line="580" w:lineRule="exact"/>
        <w:ind w:firstLine="422" w:firstLineChars="150"/>
        <w:rPr>
          <w:rFonts w:ascii="宋体" w:hAnsi="宋体" w:cs="宋体"/>
          <w:b/>
          <w:color w:val="auto"/>
          <w:sz w:val="28"/>
          <w:szCs w:val="28"/>
          <w:highlight w:val="none"/>
        </w:rPr>
      </w:pPr>
      <w:r>
        <w:rPr>
          <w:rFonts w:hint="eastAsia" w:ascii="宋体" w:hAnsi="宋体" w:cs="宋体"/>
          <w:b/>
          <w:color w:val="auto"/>
          <w:sz w:val="28"/>
          <w:szCs w:val="28"/>
          <w:highlight w:val="none"/>
        </w:rPr>
        <w:t>二、具体工作内容</w:t>
      </w:r>
    </w:p>
    <w:p w14:paraId="502D3D62">
      <w:pPr>
        <w:spacing w:line="440" w:lineRule="exact"/>
        <w:ind w:firstLine="420" w:firstLineChars="200"/>
        <w:rPr>
          <w:rFonts w:ascii="宋体" w:hAnsi="宋体" w:cs="宋体"/>
          <w:color w:val="auto"/>
          <w:szCs w:val="21"/>
          <w:highlight w:val="none"/>
          <w:lang w:bidi="ar"/>
        </w:rPr>
      </w:pPr>
      <w:r>
        <w:rPr>
          <w:rFonts w:hint="eastAsia" w:ascii="宋体" w:hAnsi="宋体" w:cs="宋体"/>
          <w:color w:val="auto"/>
          <w:szCs w:val="21"/>
          <w:highlight w:val="none"/>
          <w:lang w:bidi="ar"/>
        </w:rPr>
        <w:t>技术服务内容主要包括：本次招标包括为完成本项目所涉及的一切测量/测绘服务，</w:t>
      </w:r>
      <w:r>
        <w:rPr>
          <w:rFonts w:hint="eastAsia" w:ascii="宋体" w:hAnsi="宋体" w:cs="宋体"/>
          <w:color w:val="auto"/>
          <w:szCs w:val="21"/>
          <w:highlight w:val="none"/>
          <w:lang w:eastAsia="zh-CN" w:bidi="ar"/>
        </w:rPr>
        <w:t>包括但不限于</w:t>
      </w:r>
      <w:r>
        <w:rPr>
          <w:rFonts w:hint="eastAsia" w:ascii="宋体" w:hAnsi="宋体" w:cs="宋体"/>
          <w:color w:val="auto"/>
          <w:szCs w:val="21"/>
          <w:highlight w:val="none"/>
          <w:lang w:bidi="ar"/>
        </w:rPr>
        <w:t>地籍测绘、房产测绘、拔地定桩及规划验线、地形测绘及土方测绘、勘测定界、航空摄影测量、规划核实、地理信息数据处理服务、专题报告编制、测绘数据处理及出图等项测绘业务。</w:t>
      </w:r>
    </w:p>
    <w:p w14:paraId="7298A806">
      <w:pPr>
        <w:spacing w:line="580" w:lineRule="exact"/>
        <w:ind w:firstLine="422" w:firstLineChars="150"/>
        <w:rPr>
          <w:rFonts w:ascii="宋体" w:hAnsi="宋体" w:cs="宋体"/>
          <w:b/>
          <w:color w:val="auto"/>
          <w:sz w:val="28"/>
          <w:szCs w:val="28"/>
          <w:highlight w:val="none"/>
        </w:rPr>
      </w:pPr>
      <w:r>
        <w:rPr>
          <w:rFonts w:hint="eastAsia" w:ascii="宋体" w:hAnsi="宋体" w:cs="宋体"/>
          <w:b/>
          <w:color w:val="auto"/>
          <w:sz w:val="28"/>
          <w:szCs w:val="28"/>
          <w:highlight w:val="none"/>
        </w:rPr>
        <w:t>三、委托时间</w:t>
      </w:r>
    </w:p>
    <w:p w14:paraId="6572DCB2">
      <w:pPr>
        <w:spacing w:line="440" w:lineRule="exact"/>
        <w:ind w:firstLine="420" w:firstLineChars="200"/>
        <w:rPr>
          <w:rFonts w:ascii="宋体" w:hAnsi="宋体" w:cs="宋体"/>
          <w:color w:val="auto"/>
          <w:szCs w:val="21"/>
          <w:highlight w:val="none"/>
          <w:lang w:bidi="ar"/>
        </w:rPr>
      </w:pPr>
      <w:r>
        <w:rPr>
          <w:rFonts w:hint="eastAsia" w:ascii="宋体" w:hAnsi="宋体" w:cs="宋体"/>
          <w:color w:val="auto"/>
          <w:szCs w:val="21"/>
          <w:highlight w:val="none"/>
          <w:lang w:bidi="ar"/>
        </w:rPr>
        <w:t>自合同签订之日起，根据施工进度安排，现场满足条件下，任何一项测量工作应在15日内完成并提交成果。</w:t>
      </w:r>
    </w:p>
    <w:p w14:paraId="028995E0">
      <w:pPr>
        <w:spacing w:line="580" w:lineRule="exact"/>
        <w:ind w:firstLine="422" w:firstLineChars="150"/>
        <w:rPr>
          <w:rFonts w:ascii="宋体" w:hAnsi="宋体" w:cs="宋体"/>
          <w:b/>
          <w:color w:val="auto"/>
          <w:sz w:val="28"/>
          <w:szCs w:val="28"/>
          <w:highlight w:val="none"/>
        </w:rPr>
      </w:pPr>
      <w:r>
        <w:rPr>
          <w:rFonts w:hint="eastAsia" w:ascii="宋体" w:hAnsi="宋体" w:cs="宋体"/>
          <w:b/>
          <w:color w:val="auto"/>
          <w:sz w:val="28"/>
          <w:szCs w:val="28"/>
          <w:highlight w:val="none"/>
        </w:rPr>
        <w:t>四、具体业务的办理程序</w:t>
      </w:r>
    </w:p>
    <w:p w14:paraId="7347537E">
      <w:pPr>
        <w:pStyle w:val="2"/>
        <w:spacing w:before="0" w:after="0"/>
        <w:jc w:val="left"/>
        <w:rPr>
          <w:rFonts w:ascii="宋体" w:hAnsi="宋体" w:cs="宋体"/>
          <w:color w:val="auto"/>
          <w:sz w:val="32"/>
          <w:szCs w:val="32"/>
          <w:highlight w:val="none"/>
        </w:rPr>
      </w:pPr>
      <w:r>
        <w:rPr>
          <w:rFonts w:hint="eastAsia" w:ascii="宋体" w:hAnsi="宋体" w:cs="宋体"/>
          <w:b w:val="0"/>
          <w:bCs w:val="0"/>
          <w:color w:val="auto"/>
          <w:kern w:val="2"/>
          <w:sz w:val="21"/>
          <w:szCs w:val="21"/>
          <w:highlight w:val="none"/>
          <w:lang w:bidi="ar"/>
        </w:rPr>
        <w:t>本次拟招标测绘服务采购项目为项目全周期测绘/测量服务，包括但不限于原始方格网测绘、拔地定桩、规划放/验线、房产测绘、总图地籍测绘、规划核实报告、规划核实省厅管制系统信息上传等一切测绘/测量相关工作</w:t>
      </w:r>
      <w:r>
        <w:rPr>
          <w:rFonts w:hint="eastAsia" w:ascii="宋体" w:hAnsi="宋体" w:cs="宋体"/>
          <w:b w:val="0"/>
          <w:bCs w:val="0"/>
          <w:color w:val="auto"/>
          <w:kern w:val="2"/>
          <w:sz w:val="21"/>
          <w:szCs w:val="21"/>
          <w:highlight w:val="none"/>
          <w:lang w:eastAsia="zh-CN" w:bidi="ar"/>
        </w:rPr>
        <w:t>。</w:t>
      </w:r>
      <w:r>
        <w:rPr>
          <w:rFonts w:hint="eastAsia" w:ascii="宋体" w:hAnsi="宋体" w:cs="宋体"/>
          <w:b w:val="0"/>
          <w:bCs w:val="0"/>
          <w:color w:val="auto"/>
          <w:kern w:val="2"/>
          <w:sz w:val="21"/>
          <w:szCs w:val="21"/>
          <w:highlight w:val="none"/>
          <w:lang w:bidi="ar"/>
        </w:rPr>
        <w:br w:type="page"/>
      </w:r>
      <w:bookmarkStart w:id="732" w:name="_Toc29720"/>
      <w:r>
        <w:rPr>
          <w:rFonts w:hint="eastAsia" w:ascii="宋体" w:hAnsi="宋体" w:cs="宋体"/>
          <w:color w:val="auto"/>
          <w:sz w:val="32"/>
          <w:szCs w:val="32"/>
          <w:highlight w:val="none"/>
        </w:rPr>
        <w:t>第五章  合同条款及格式</w:t>
      </w:r>
      <w:bookmarkEnd w:id="672"/>
      <w:bookmarkEnd w:id="673"/>
      <w:bookmarkEnd w:id="674"/>
      <w:bookmarkEnd w:id="675"/>
      <w:bookmarkEnd w:id="731"/>
      <w:bookmarkEnd w:id="732"/>
    </w:p>
    <w:p w14:paraId="125AED8F">
      <w:pPr>
        <w:spacing w:line="400" w:lineRule="exact"/>
        <w:rPr>
          <w:rFonts w:ascii="宋体" w:hAnsi="宋体" w:cs="宋体"/>
          <w:color w:val="auto"/>
          <w:sz w:val="24"/>
          <w:highlight w:val="none"/>
        </w:rPr>
      </w:pPr>
      <w:bookmarkStart w:id="733" w:name="_Toc23095"/>
      <w:bookmarkStart w:id="734" w:name="_Toc9590"/>
    </w:p>
    <w:p w14:paraId="455836D4">
      <w:pPr>
        <w:spacing w:line="360" w:lineRule="exact"/>
        <w:rPr>
          <w:rFonts w:ascii="宋体" w:hAnsi="宋体" w:cs="宋体"/>
          <w:color w:val="auto"/>
          <w:sz w:val="24"/>
          <w:highlight w:val="none"/>
          <w:u w:val="single"/>
        </w:rPr>
      </w:pPr>
    </w:p>
    <w:p w14:paraId="643C3F7A">
      <w:pPr>
        <w:spacing w:before="120" w:line="480" w:lineRule="auto"/>
        <w:ind w:firstLine="420" w:firstLineChars="200"/>
        <w:rPr>
          <w:rFonts w:ascii="宋体" w:hAnsi="宋体" w:cs="宋体"/>
          <w:color w:val="auto"/>
          <w:szCs w:val="21"/>
          <w:highlight w:val="none"/>
        </w:rPr>
      </w:pPr>
      <w:bookmarkStart w:id="735" w:name="_Toc31359"/>
      <w:bookmarkStart w:id="736" w:name="_Toc22817"/>
    </w:p>
    <w:p w14:paraId="765C0AB3">
      <w:pPr>
        <w:spacing w:before="120" w:line="480" w:lineRule="auto"/>
        <w:ind w:firstLine="420" w:firstLineChars="200"/>
        <w:rPr>
          <w:rFonts w:ascii="宋体" w:hAnsi="宋体" w:cs="宋体"/>
          <w:color w:val="auto"/>
          <w:szCs w:val="21"/>
          <w:highlight w:val="none"/>
        </w:rPr>
      </w:pPr>
    </w:p>
    <w:p w14:paraId="44137DFF">
      <w:pPr>
        <w:spacing w:before="120" w:line="480" w:lineRule="auto"/>
        <w:ind w:firstLine="420" w:firstLineChars="200"/>
        <w:rPr>
          <w:rFonts w:ascii="宋体" w:hAnsi="宋体" w:cs="宋体"/>
          <w:color w:val="auto"/>
          <w:szCs w:val="21"/>
          <w:highlight w:val="none"/>
        </w:rPr>
      </w:pPr>
    </w:p>
    <w:p w14:paraId="3AD57AFA">
      <w:pPr>
        <w:spacing w:before="120" w:line="480" w:lineRule="auto"/>
        <w:ind w:firstLine="420" w:firstLineChars="200"/>
        <w:rPr>
          <w:rFonts w:ascii="宋体" w:hAnsi="宋体" w:cs="宋体"/>
          <w:color w:val="auto"/>
          <w:szCs w:val="21"/>
          <w:highlight w:val="none"/>
          <w:u w:val="single"/>
        </w:rPr>
      </w:pPr>
      <w:r>
        <w:rPr>
          <w:rFonts w:hint="eastAsia" w:ascii="宋体" w:hAnsi="宋体" w:cs="宋体"/>
          <w:color w:val="auto"/>
          <w:szCs w:val="21"/>
          <w:highlight w:val="none"/>
        </w:rPr>
        <w:t xml:space="preserve">项目名称： </w:t>
      </w:r>
      <w:r>
        <w:rPr>
          <w:rFonts w:hint="eastAsia" w:ascii="宋体" w:hAnsi="宋体" w:cs="宋体"/>
          <w:color w:val="auto"/>
          <w:szCs w:val="21"/>
          <w:highlight w:val="none"/>
          <w:u w:val="single"/>
        </w:rPr>
        <w:t>滁州工投经开区光储制造基地测绘业务服务项目</w:t>
      </w:r>
    </w:p>
    <w:p w14:paraId="2ADB8C68">
      <w:pPr>
        <w:spacing w:before="120" w:line="480" w:lineRule="auto"/>
        <w:ind w:firstLine="420" w:firstLineChars="200"/>
        <w:rPr>
          <w:rFonts w:ascii="宋体" w:hAnsi="宋体" w:cs="宋体"/>
          <w:color w:val="auto"/>
          <w:szCs w:val="21"/>
          <w:highlight w:val="none"/>
          <w:u w:val="single"/>
        </w:rPr>
      </w:pPr>
      <w:r>
        <w:rPr>
          <w:rFonts w:hint="eastAsia" w:ascii="宋体" w:hAnsi="宋体" w:cs="宋体"/>
          <w:color w:val="auto"/>
          <w:szCs w:val="21"/>
          <w:highlight w:val="none"/>
        </w:rPr>
        <w:t xml:space="preserve"> 甲方（招标人）：</w:t>
      </w:r>
      <w:r>
        <w:rPr>
          <w:rFonts w:hint="eastAsia" w:ascii="宋体" w:hAnsi="宋体" w:cs="宋体"/>
          <w:color w:val="auto"/>
          <w:szCs w:val="21"/>
          <w:highlight w:val="none"/>
          <w:u w:val="single"/>
        </w:rPr>
        <w:t>滁州工投创新科技产业园有限公司</w:t>
      </w:r>
    </w:p>
    <w:p w14:paraId="43A6457A">
      <w:pPr>
        <w:spacing w:before="120" w:line="480" w:lineRule="auto"/>
        <w:ind w:firstLine="420" w:firstLineChars="200"/>
        <w:rPr>
          <w:rFonts w:ascii="宋体" w:hAnsi="宋体" w:cs="宋体"/>
          <w:color w:val="auto"/>
          <w:szCs w:val="21"/>
          <w:highlight w:val="none"/>
          <w:u w:val="single"/>
        </w:rPr>
      </w:pPr>
      <w:r>
        <w:rPr>
          <w:rFonts w:hint="eastAsia" w:ascii="宋体" w:hAnsi="宋体" w:cs="宋体"/>
          <w:color w:val="auto"/>
          <w:szCs w:val="21"/>
          <w:highlight w:val="none"/>
        </w:rPr>
        <w:t>乙方（中标人）：</w:t>
      </w:r>
      <w:r>
        <w:rPr>
          <w:rFonts w:hint="eastAsia" w:ascii="宋体" w:hAnsi="宋体" w:cs="宋体"/>
          <w:color w:val="auto"/>
          <w:szCs w:val="21"/>
          <w:highlight w:val="none"/>
          <w:u w:val="single"/>
        </w:rPr>
        <w:t xml:space="preserve">                              </w:t>
      </w:r>
    </w:p>
    <w:p w14:paraId="5CC42F09">
      <w:pPr>
        <w:spacing w:before="120" w:line="480" w:lineRule="auto"/>
        <w:ind w:firstLine="420" w:firstLineChars="200"/>
        <w:rPr>
          <w:rFonts w:ascii="宋体" w:hAnsi="宋体" w:cs="宋体"/>
          <w:color w:val="auto"/>
          <w:szCs w:val="21"/>
          <w:highlight w:val="none"/>
          <w:u w:val="single"/>
        </w:rPr>
      </w:pPr>
      <w:r>
        <w:rPr>
          <w:rFonts w:hint="eastAsia" w:ascii="宋体" w:hAnsi="宋体" w:cs="宋体"/>
          <w:color w:val="auto"/>
          <w:szCs w:val="21"/>
          <w:highlight w:val="none"/>
        </w:rPr>
        <w:t>签订地：</w:t>
      </w:r>
      <w:r>
        <w:rPr>
          <w:rFonts w:hint="eastAsia" w:ascii="宋体" w:hAnsi="宋体" w:cs="宋体"/>
          <w:color w:val="auto"/>
          <w:szCs w:val="21"/>
          <w:highlight w:val="none"/>
          <w:u w:val="single"/>
        </w:rPr>
        <w:t>滁州工投创新科技产业园有限公司</w:t>
      </w:r>
    </w:p>
    <w:p w14:paraId="6D4D64AD">
      <w:pPr>
        <w:spacing w:before="120" w:line="48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签订日期：</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p>
    <w:p w14:paraId="4D1C3D14">
      <w:pPr>
        <w:widowControl/>
        <w:jc w:val="left"/>
        <w:rPr>
          <w:rFonts w:ascii="宋体" w:hAnsi="宋体" w:cs="宋体"/>
          <w:color w:val="auto"/>
          <w:szCs w:val="21"/>
          <w:highlight w:val="none"/>
        </w:rPr>
      </w:pPr>
      <w:r>
        <w:rPr>
          <w:rFonts w:hint="eastAsia" w:ascii="宋体" w:hAnsi="宋体" w:cs="宋体"/>
          <w:color w:val="auto"/>
          <w:szCs w:val="21"/>
          <w:highlight w:val="none"/>
        </w:rPr>
        <w:br w:type="page"/>
      </w:r>
    </w:p>
    <w:p w14:paraId="4F600866">
      <w:pPr>
        <w:spacing w:before="120" w:line="480" w:lineRule="auto"/>
        <w:ind w:firstLine="630" w:firstLineChars="300"/>
        <w:rPr>
          <w:rFonts w:ascii="宋体" w:hAnsi="宋体" w:cs="宋体"/>
          <w:color w:val="auto"/>
          <w:szCs w:val="21"/>
          <w:highlight w:val="none"/>
        </w:rPr>
      </w:pPr>
      <w:r>
        <w:rPr>
          <w:rFonts w:hint="eastAsia" w:ascii="宋体" w:hAnsi="宋体" w:cs="宋体"/>
          <w:color w:val="auto"/>
          <w:szCs w:val="21"/>
          <w:highlight w:val="none"/>
        </w:rPr>
        <w:t>招标单位（全称）</w:t>
      </w:r>
      <w:r>
        <w:rPr>
          <w:rFonts w:hint="eastAsia" w:ascii="宋体" w:hAnsi="宋体" w:cs="宋体"/>
          <w:color w:val="auto"/>
          <w:szCs w:val="21"/>
          <w:highlight w:val="none"/>
          <w:lang w:eastAsia="zh-CN"/>
        </w:rPr>
        <w:t>：</w:t>
      </w:r>
      <w:r>
        <w:rPr>
          <w:rFonts w:hint="eastAsia" w:ascii="宋体" w:hAnsi="宋体" w:cs="宋体"/>
          <w:color w:val="auto"/>
          <w:szCs w:val="21"/>
          <w:highlight w:val="none"/>
          <w:u w:val="single"/>
        </w:rPr>
        <w:t>滁州工投创新科技产业园有限公司</w:t>
      </w:r>
      <w:r>
        <w:rPr>
          <w:rFonts w:hint="eastAsia" w:ascii="宋体" w:hAnsi="宋体" w:cs="宋体"/>
          <w:color w:val="auto"/>
          <w:szCs w:val="21"/>
          <w:highlight w:val="none"/>
        </w:rPr>
        <w:t>（以下简称甲方）</w:t>
      </w:r>
    </w:p>
    <w:p w14:paraId="322F0C9E">
      <w:pPr>
        <w:spacing w:line="420" w:lineRule="exact"/>
        <w:ind w:right="-433" w:rightChars="-206"/>
        <w:jc w:val="left"/>
        <w:rPr>
          <w:rFonts w:ascii="宋体" w:hAnsi="宋体" w:cs="宋体"/>
          <w:color w:val="auto"/>
          <w:szCs w:val="21"/>
          <w:highlight w:val="none"/>
        </w:rPr>
      </w:pPr>
      <w:r>
        <w:rPr>
          <w:rFonts w:hint="eastAsia" w:ascii="宋体" w:hAnsi="宋体" w:cs="宋体"/>
          <w:color w:val="auto"/>
          <w:szCs w:val="21"/>
          <w:highlight w:val="none"/>
        </w:rPr>
        <w:t xml:space="preserve">      服务单位（全称）:</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（以下简称乙方）</w:t>
      </w:r>
    </w:p>
    <w:p w14:paraId="5203E1E3">
      <w:pPr>
        <w:pStyle w:val="22"/>
        <w:spacing w:line="42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依照《中华人民共和国民法典》及其他有关法律法规，遵循平等、自愿、公平和诚实信用的原则，双方就本次服务事项协商一致，订立本合同。</w:t>
      </w:r>
    </w:p>
    <w:p w14:paraId="79FDAF28">
      <w:pPr>
        <w:spacing w:line="420" w:lineRule="exact"/>
        <w:ind w:right="-433" w:rightChars="-206" w:firstLine="420" w:firstLineChars="200"/>
        <w:jc w:val="left"/>
        <w:rPr>
          <w:rFonts w:ascii="宋体" w:hAnsi="宋体" w:cs="宋体"/>
          <w:color w:val="auto"/>
          <w:szCs w:val="21"/>
          <w:highlight w:val="none"/>
        </w:rPr>
      </w:pPr>
      <w:r>
        <w:rPr>
          <w:rFonts w:hint="eastAsia" w:ascii="宋体" w:hAnsi="宋体" w:cs="宋体"/>
          <w:color w:val="auto"/>
          <w:szCs w:val="21"/>
          <w:highlight w:val="none"/>
        </w:rPr>
        <w:t>1.项目名称：</w:t>
      </w:r>
      <w:r>
        <w:rPr>
          <w:rFonts w:hint="eastAsia" w:ascii="宋体" w:hAnsi="宋体" w:cs="宋体"/>
          <w:color w:val="auto"/>
          <w:kern w:val="0"/>
          <w:szCs w:val="21"/>
          <w:highlight w:val="none"/>
        </w:rPr>
        <w:t>滁州工投创新科技产业园有限公司</w:t>
      </w:r>
    </w:p>
    <w:p w14:paraId="14358EBD">
      <w:pPr>
        <w:spacing w:line="420" w:lineRule="exact"/>
        <w:ind w:right="-433" w:rightChars="-206" w:firstLine="420" w:firstLineChars="200"/>
        <w:jc w:val="left"/>
        <w:rPr>
          <w:rFonts w:ascii="宋体" w:hAnsi="宋体" w:cs="宋体"/>
          <w:color w:val="auto"/>
          <w:szCs w:val="21"/>
          <w:highlight w:val="none"/>
        </w:rPr>
      </w:pPr>
      <w:r>
        <w:rPr>
          <w:rFonts w:hint="eastAsia" w:ascii="宋体" w:hAnsi="宋体" w:cs="宋体"/>
          <w:color w:val="auto"/>
          <w:szCs w:val="21"/>
          <w:highlight w:val="none"/>
        </w:rPr>
        <w:t>2、服务内容：</w:t>
      </w:r>
    </w:p>
    <w:p w14:paraId="65B1B037">
      <w:pPr>
        <w:spacing w:line="420" w:lineRule="exact"/>
        <w:ind w:right="-433" w:rightChars="-206" w:firstLine="420" w:firstLineChars="200"/>
        <w:jc w:val="left"/>
        <w:rPr>
          <w:rFonts w:ascii="宋体" w:hAnsi="宋体" w:cs="宋体"/>
          <w:color w:val="auto"/>
          <w:szCs w:val="21"/>
          <w:highlight w:val="none"/>
        </w:rPr>
      </w:pPr>
      <w:r>
        <w:rPr>
          <w:rFonts w:hint="eastAsia" w:ascii="宋体" w:hAnsi="宋体" w:cs="宋体"/>
          <w:color w:val="auto"/>
          <w:szCs w:val="21"/>
          <w:highlight w:val="none"/>
        </w:rPr>
        <w:t>3、服务期：按招标人要求</w:t>
      </w:r>
    </w:p>
    <w:p w14:paraId="6CC219BA">
      <w:pPr>
        <w:spacing w:line="420" w:lineRule="exact"/>
        <w:ind w:right="-433" w:rightChars="-206" w:firstLine="420" w:firstLineChars="200"/>
        <w:jc w:val="left"/>
        <w:rPr>
          <w:rFonts w:ascii="宋体" w:hAnsi="宋体" w:cs="宋体"/>
          <w:color w:val="auto"/>
          <w:szCs w:val="21"/>
          <w:highlight w:val="none"/>
        </w:rPr>
      </w:pPr>
      <w:r>
        <w:rPr>
          <w:rFonts w:hint="eastAsia" w:ascii="宋体" w:hAnsi="宋体" w:cs="宋体"/>
          <w:color w:val="auto"/>
          <w:szCs w:val="21"/>
          <w:highlight w:val="none"/>
        </w:rPr>
        <w:t>4、服务质量：项目成果满足国家、省、市相关行业规范要求。</w:t>
      </w:r>
    </w:p>
    <w:p w14:paraId="6D61D60D">
      <w:pPr>
        <w:spacing w:line="420" w:lineRule="exact"/>
        <w:ind w:right="-433" w:rightChars="-206" w:firstLine="422" w:firstLineChars="200"/>
        <w:jc w:val="left"/>
        <w:rPr>
          <w:rFonts w:ascii="宋体" w:hAnsi="宋体" w:cs="宋体"/>
          <w:b/>
          <w:bCs/>
          <w:color w:val="auto"/>
          <w:szCs w:val="21"/>
          <w:highlight w:val="none"/>
        </w:rPr>
      </w:pPr>
      <w:r>
        <w:rPr>
          <w:rFonts w:hint="eastAsia" w:ascii="宋体" w:hAnsi="宋体" w:cs="宋体"/>
          <w:b/>
          <w:bCs/>
          <w:color w:val="auto"/>
          <w:szCs w:val="21"/>
          <w:highlight w:val="none"/>
        </w:rPr>
        <w:t>5、合同价款及支付</w:t>
      </w:r>
    </w:p>
    <w:p w14:paraId="5D5D96B3">
      <w:pPr>
        <w:spacing w:line="440" w:lineRule="exact"/>
        <w:ind w:firstLine="422" w:firstLineChars="200"/>
        <w:rPr>
          <w:rFonts w:ascii="宋体" w:hAnsi="宋体" w:cs="宋体"/>
          <w:color w:val="auto"/>
          <w:szCs w:val="21"/>
          <w:highlight w:val="none"/>
        </w:rPr>
      </w:pPr>
      <w:r>
        <w:rPr>
          <w:rFonts w:hint="eastAsia" w:ascii="宋体" w:hAnsi="宋体" w:cs="宋体"/>
          <w:b/>
          <w:bCs/>
          <w:color w:val="auto"/>
          <w:szCs w:val="21"/>
          <w:highlight w:val="none"/>
        </w:rPr>
        <w:t xml:space="preserve">5.1本项目合同价为： </w:t>
      </w:r>
      <w:r>
        <w:rPr>
          <w:rFonts w:hint="eastAsia" w:ascii="宋体" w:hAnsi="宋体" w:cs="宋体"/>
          <w:b/>
          <w:bCs/>
          <w:color w:val="auto"/>
          <w:szCs w:val="21"/>
          <w:highlight w:val="none"/>
          <w:u w:val="single"/>
        </w:rPr>
        <w:t xml:space="preserve">               </w:t>
      </w:r>
      <w:r>
        <w:rPr>
          <w:rFonts w:hint="eastAsia" w:ascii="宋体" w:hAnsi="宋体" w:cs="宋体"/>
          <w:color w:val="auto"/>
          <w:szCs w:val="21"/>
          <w:highlight w:val="none"/>
        </w:rPr>
        <w:t>。</w:t>
      </w:r>
    </w:p>
    <w:p w14:paraId="6A6B331B">
      <w:pPr>
        <w:pStyle w:val="22"/>
        <w:spacing w:line="420" w:lineRule="exact"/>
        <w:ind w:firstLine="422" w:firstLineChars="200"/>
        <w:jc w:val="left"/>
        <w:rPr>
          <w:rFonts w:ascii="宋体" w:hAnsi="宋体" w:cs="宋体"/>
          <w:b/>
          <w:bCs/>
          <w:color w:val="auto"/>
          <w:szCs w:val="21"/>
          <w:highlight w:val="none"/>
        </w:rPr>
      </w:pPr>
      <w:r>
        <w:rPr>
          <w:rFonts w:hint="eastAsia" w:ascii="宋体" w:hAnsi="宋体" w:cs="宋体"/>
          <w:b/>
          <w:bCs/>
          <w:color w:val="auto"/>
          <w:szCs w:val="21"/>
          <w:highlight w:val="none"/>
        </w:rPr>
        <w:t xml:space="preserve">5.2本项目合同计价方式为固定单价，工程量按实结算。                </w:t>
      </w:r>
    </w:p>
    <w:p w14:paraId="2D948A19">
      <w:pPr>
        <w:spacing w:line="440" w:lineRule="exact"/>
        <w:ind w:firstLine="422" w:firstLineChars="200"/>
        <w:jc w:val="left"/>
        <w:rPr>
          <w:rFonts w:ascii="宋体" w:hAnsi="宋体" w:cs="宋体"/>
          <w:color w:val="auto"/>
          <w:szCs w:val="21"/>
          <w:highlight w:val="none"/>
        </w:rPr>
      </w:pPr>
      <w:r>
        <w:rPr>
          <w:rFonts w:hint="eastAsia" w:ascii="宋体" w:hAnsi="宋体" w:cs="宋体"/>
          <w:b/>
          <w:bCs/>
          <w:color w:val="auto"/>
          <w:szCs w:val="21"/>
          <w:highlight w:val="none"/>
        </w:rPr>
        <w:t>5.3付款方式：</w:t>
      </w:r>
      <w:r>
        <w:rPr>
          <w:rFonts w:hint="eastAsia" w:ascii="宋体" w:hAnsi="宋体" w:cs="宋体"/>
          <w:color w:val="C00000"/>
          <w:szCs w:val="21"/>
          <w:highlight w:val="none"/>
        </w:rPr>
        <w:t>本项目</w:t>
      </w:r>
      <w:r>
        <w:rPr>
          <w:rFonts w:hint="eastAsia" w:ascii="宋体" w:hAnsi="宋体" w:cs="宋体"/>
          <w:color w:val="C00000"/>
          <w:szCs w:val="21"/>
          <w:highlight w:val="none"/>
          <w:lang w:val="en-US" w:eastAsia="zh-CN"/>
        </w:rPr>
        <w:t>合同内工作量全部完成并提交测绘成果后一次性</w:t>
      </w:r>
      <w:r>
        <w:rPr>
          <w:rFonts w:hint="eastAsia" w:ascii="宋体" w:hAnsi="宋体" w:cs="宋体"/>
          <w:color w:val="C00000"/>
          <w:szCs w:val="21"/>
          <w:highlight w:val="none"/>
        </w:rPr>
        <w:t>结算</w:t>
      </w:r>
      <w:r>
        <w:rPr>
          <w:rFonts w:hint="eastAsia" w:ascii="宋体" w:hAnsi="宋体" w:cs="宋体"/>
          <w:color w:val="C00000"/>
          <w:szCs w:val="21"/>
          <w:highlight w:val="none"/>
          <w:lang w:eastAsia="zh-CN"/>
        </w:rPr>
        <w:t>，</w:t>
      </w:r>
      <w:r>
        <w:rPr>
          <w:rFonts w:hint="eastAsia" w:ascii="宋体" w:hAnsi="宋体" w:cs="宋体"/>
          <w:color w:val="auto"/>
          <w:szCs w:val="21"/>
          <w:highlight w:val="none"/>
        </w:rPr>
        <w:t xml:space="preserve">乙方根据招标方实际发生工作量，提交给甲方审核。甲方对实际发生的测绘业务量进行审核，并提出审查意见；乙方根据双方确认的工作量和业务费用结果开具增值税专用发票（税率 </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 xml:space="preserve"> %）后，甲方将测绘业务费用支付给乙方。</w:t>
      </w:r>
    </w:p>
    <w:p w14:paraId="36829B27">
      <w:pPr>
        <w:spacing w:line="420" w:lineRule="exact"/>
        <w:ind w:right="-433" w:rightChars="-206" w:firstLine="422" w:firstLineChars="200"/>
        <w:jc w:val="left"/>
        <w:rPr>
          <w:rFonts w:ascii="宋体" w:hAnsi="宋体" w:cs="宋体"/>
          <w:b/>
          <w:bCs/>
          <w:color w:val="auto"/>
          <w:szCs w:val="21"/>
          <w:highlight w:val="none"/>
        </w:rPr>
      </w:pPr>
      <w:r>
        <w:rPr>
          <w:rFonts w:hint="eastAsia" w:ascii="宋体" w:hAnsi="宋体" w:cs="宋体"/>
          <w:b/>
          <w:bCs/>
          <w:color w:val="auto"/>
          <w:szCs w:val="21"/>
          <w:highlight w:val="none"/>
        </w:rPr>
        <w:t>6、双方一般权利和义务</w:t>
      </w:r>
    </w:p>
    <w:p w14:paraId="4B86F83D">
      <w:pPr>
        <w:pStyle w:val="22"/>
        <w:spacing w:line="42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6.1  甲方权利和义务</w:t>
      </w:r>
    </w:p>
    <w:p w14:paraId="13EE2A88">
      <w:pPr>
        <w:pStyle w:val="22"/>
        <w:spacing w:line="42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6.1.1甲方向乙方提供相关技术资料；</w:t>
      </w:r>
    </w:p>
    <w:p w14:paraId="32E26C3D">
      <w:pPr>
        <w:pStyle w:val="22"/>
        <w:spacing w:line="42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 xml:space="preserve">6.1.2甲方向乙方提供工作条件: </w:t>
      </w:r>
    </w:p>
    <w:p w14:paraId="335F28EB">
      <w:pPr>
        <w:pStyle w:val="22"/>
        <w:spacing w:line="42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6.1.3甲方协助乙方与项目相关部门进行联系，办理项目所需佐证文件 。</w:t>
      </w:r>
    </w:p>
    <w:p w14:paraId="64B18128">
      <w:pPr>
        <w:pStyle w:val="22"/>
        <w:spacing w:line="42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6.1.4甲方有义务按时支付服务款。</w:t>
      </w:r>
    </w:p>
    <w:p w14:paraId="08B4C7CE">
      <w:pPr>
        <w:pStyle w:val="22"/>
        <w:spacing w:line="42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6.2  乙方权利和义务</w:t>
      </w:r>
    </w:p>
    <w:p w14:paraId="1A61EF5F">
      <w:pPr>
        <w:pStyle w:val="22"/>
        <w:spacing w:line="42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6.2.1乙方应保证服务必须满足相关规范、标准以及相关要求；</w:t>
      </w:r>
    </w:p>
    <w:p w14:paraId="3A28D891">
      <w:pPr>
        <w:pStyle w:val="22"/>
        <w:spacing w:line="42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6.2.2乙方对未尽事宜应提前两天向甲方提出；</w:t>
      </w:r>
    </w:p>
    <w:p w14:paraId="4C091056">
      <w:pPr>
        <w:pStyle w:val="22"/>
        <w:spacing w:line="42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6.2.3乙方选派项目负责人</w:t>
      </w:r>
      <w:r>
        <w:rPr>
          <w:rFonts w:hint="eastAsia" w:ascii="宋体" w:hAnsi="宋体" w:cs="宋体"/>
          <w:color w:val="auto"/>
          <w:szCs w:val="21"/>
          <w:highlight w:val="none"/>
          <w:u w:val="single"/>
        </w:rPr>
        <w:t xml:space="preserve">      （电话：        ）</w:t>
      </w:r>
      <w:r>
        <w:rPr>
          <w:rFonts w:hint="eastAsia" w:ascii="宋体" w:hAnsi="宋体" w:cs="宋体"/>
          <w:color w:val="auto"/>
          <w:szCs w:val="21"/>
          <w:highlight w:val="none"/>
        </w:rPr>
        <w:t>负责协调相关事宜；</w:t>
      </w:r>
    </w:p>
    <w:p w14:paraId="12C48F08">
      <w:pPr>
        <w:spacing w:line="420" w:lineRule="exact"/>
        <w:ind w:right="-433" w:rightChars="-206" w:firstLine="422" w:firstLineChars="200"/>
        <w:jc w:val="left"/>
        <w:rPr>
          <w:rFonts w:ascii="宋体" w:hAnsi="宋体" w:cs="宋体"/>
          <w:b/>
          <w:bCs/>
          <w:color w:val="auto"/>
          <w:szCs w:val="21"/>
          <w:highlight w:val="none"/>
        </w:rPr>
      </w:pPr>
      <w:r>
        <w:rPr>
          <w:rFonts w:hint="eastAsia" w:ascii="宋体" w:hAnsi="宋体" w:cs="宋体"/>
          <w:b/>
          <w:bCs/>
          <w:color w:val="auto"/>
          <w:szCs w:val="21"/>
          <w:highlight w:val="none"/>
        </w:rPr>
        <w:t>7、安全责任</w:t>
      </w:r>
    </w:p>
    <w:p w14:paraId="19AFECF1">
      <w:pPr>
        <w:pStyle w:val="22"/>
        <w:spacing w:line="42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7.1  甲方不得要求乙方违反安全管理的规定，因甲方原因等导致安全事故由甲方承担相应的责任及发生的费用。</w:t>
      </w:r>
    </w:p>
    <w:p w14:paraId="0D219486">
      <w:pPr>
        <w:pStyle w:val="22"/>
        <w:spacing w:line="42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7.2  乙方应遵守有关管理制度，采取必要的安全措施，消除事故隐患，由于乙方安全措施不力造成事故责任和因此发生的费用由乙方承担。</w:t>
      </w:r>
    </w:p>
    <w:p w14:paraId="5C4B8A48">
      <w:pPr>
        <w:spacing w:line="420" w:lineRule="exact"/>
        <w:ind w:right="-433" w:rightChars="-206" w:firstLine="422" w:firstLineChars="200"/>
        <w:jc w:val="left"/>
        <w:rPr>
          <w:rFonts w:ascii="宋体" w:hAnsi="宋体" w:cs="宋体"/>
          <w:b/>
          <w:bCs/>
          <w:color w:val="auto"/>
          <w:szCs w:val="21"/>
          <w:highlight w:val="none"/>
        </w:rPr>
      </w:pPr>
      <w:r>
        <w:rPr>
          <w:rFonts w:hint="eastAsia" w:ascii="宋体" w:hAnsi="宋体" w:cs="宋体"/>
          <w:b/>
          <w:bCs/>
          <w:color w:val="auto"/>
          <w:szCs w:val="21"/>
          <w:highlight w:val="none"/>
        </w:rPr>
        <w:t>8、违约责任</w:t>
      </w:r>
    </w:p>
    <w:p w14:paraId="5904CF6F">
      <w:pPr>
        <w:pStyle w:val="22"/>
        <w:spacing w:line="42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8.1   甲方违约，当发生下列情况时：</w:t>
      </w:r>
    </w:p>
    <w:p w14:paraId="2896C904">
      <w:pPr>
        <w:pStyle w:val="22"/>
        <w:spacing w:line="42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8.1.1  甲方不履行合同义务或不按合同约定履行义务的其他情况；</w:t>
      </w:r>
    </w:p>
    <w:p w14:paraId="3BAA6350">
      <w:pPr>
        <w:pStyle w:val="22"/>
        <w:spacing w:line="42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8.2   乙方违约，当发生下列情况时：</w:t>
      </w:r>
    </w:p>
    <w:p w14:paraId="12B0CB22">
      <w:pPr>
        <w:pStyle w:val="22"/>
        <w:spacing w:line="42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8.2.1  由于乙方原因质量达不到协议书约定的质量标准，乙方无条件返工并承担损失和违约责任；</w:t>
      </w:r>
    </w:p>
    <w:p w14:paraId="236D8D60">
      <w:pPr>
        <w:pStyle w:val="22"/>
        <w:spacing w:line="42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8.2.2  由于乙方不履行合同义务或不按合同约定履行义务的其他情况；</w:t>
      </w:r>
    </w:p>
    <w:p w14:paraId="3CD5744A">
      <w:pPr>
        <w:pStyle w:val="22"/>
        <w:spacing w:line="42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8.2.3  乙方承担</w:t>
      </w:r>
      <w:r>
        <w:rPr>
          <w:rFonts w:hint="eastAsia" w:ascii="宋体" w:hAnsi="宋体" w:cs="宋体"/>
          <w:color w:val="auto"/>
          <w:szCs w:val="21"/>
          <w:highlight w:val="none"/>
          <w:lang w:eastAsia="zh-CN"/>
        </w:rPr>
        <w:t>违约责任，并赔偿</w:t>
      </w:r>
      <w:r>
        <w:rPr>
          <w:rFonts w:hint="eastAsia" w:ascii="宋体" w:hAnsi="宋体" w:cs="宋体"/>
          <w:color w:val="auto"/>
          <w:szCs w:val="21"/>
          <w:highlight w:val="none"/>
        </w:rPr>
        <w:t>其因其违约给甲方造成的直接经济损失。</w:t>
      </w:r>
    </w:p>
    <w:p w14:paraId="63DB219C">
      <w:pPr>
        <w:pStyle w:val="22"/>
        <w:spacing w:line="42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8.3    一方违约后， 另一方要求违约方继续履行合同时，违约方承担上述违约责任后，仍继续履行合同。</w:t>
      </w:r>
    </w:p>
    <w:p w14:paraId="68A538A2">
      <w:pPr>
        <w:spacing w:line="420" w:lineRule="exact"/>
        <w:ind w:right="-433" w:rightChars="-206" w:firstLine="422" w:firstLineChars="200"/>
        <w:jc w:val="left"/>
        <w:rPr>
          <w:rFonts w:ascii="宋体" w:hAnsi="宋体" w:cs="宋体"/>
          <w:b/>
          <w:bCs/>
          <w:color w:val="auto"/>
          <w:szCs w:val="21"/>
          <w:highlight w:val="none"/>
        </w:rPr>
      </w:pPr>
      <w:r>
        <w:rPr>
          <w:rFonts w:hint="eastAsia" w:ascii="宋体" w:hAnsi="宋体" w:cs="宋体"/>
          <w:b/>
          <w:bCs/>
          <w:color w:val="auto"/>
          <w:szCs w:val="21"/>
          <w:highlight w:val="none"/>
        </w:rPr>
        <w:t>9、合同生效及其它</w:t>
      </w:r>
    </w:p>
    <w:p w14:paraId="257A8C53">
      <w:pPr>
        <w:pStyle w:val="22"/>
        <w:spacing w:line="42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9.1  本合同发生的相关技术资料等纸质材料是本合同的组成部分，与本合同具有同等法律效力。</w:t>
      </w:r>
    </w:p>
    <w:p w14:paraId="69660E16">
      <w:pPr>
        <w:pStyle w:val="22"/>
        <w:spacing w:line="42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9.2  未尽事宜，双方在合同执行时协商解决。</w:t>
      </w:r>
    </w:p>
    <w:p w14:paraId="0B375C34">
      <w:pPr>
        <w:pStyle w:val="22"/>
        <w:spacing w:line="42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9.3  甲乙双方在履行合同</w:t>
      </w:r>
      <w:r>
        <w:rPr>
          <w:rFonts w:hint="eastAsia" w:ascii="宋体" w:hAnsi="宋体" w:cs="宋体"/>
          <w:color w:val="auto"/>
          <w:szCs w:val="21"/>
          <w:highlight w:val="none"/>
          <w:lang w:eastAsia="zh-CN"/>
        </w:rPr>
        <w:t>时</w:t>
      </w:r>
      <w:r>
        <w:rPr>
          <w:rFonts w:hint="eastAsia" w:ascii="宋体" w:hAnsi="宋体" w:cs="宋体"/>
          <w:color w:val="auto"/>
          <w:szCs w:val="21"/>
          <w:highlight w:val="none"/>
        </w:rPr>
        <w:t>发生争议时协商解决，协商不成可向甲方所在地人民法院起诉；</w:t>
      </w:r>
    </w:p>
    <w:p w14:paraId="65D8F42E">
      <w:pPr>
        <w:pStyle w:val="22"/>
        <w:spacing w:line="42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9.4  本合同规定的责任和义务、付款结清后，本合同即告终止。</w:t>
      </w:r>
    </w:p>
    <w:p w14:paraId="4F1C78E1">
      <w:pPr>
        <w:pStyle w:val="22"/>
        <w:spacing w:line="42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9.5  甲乙双方法定代表人或其委托代理人在合同书上签名并加盖单位公章后合同生效。</w:t>
      </w:r>
    </w:p>
    <w:p w14:paraId="1256265C">
      <w:pPr>
        <w:pStyle w:val="22"/>
        <w:spacing w:line="42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9.6  本合同正本一式</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份，甲乙双方各执</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份。</w:t>
      </w:r>
    </w:p>
    <w:p w14:paraId="0E0A4A00">
      <w:pPr>
        <w:pStyle w:val="22"/>
        <w:spacing w:line="42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 xml:space="preserve">甲 方：  （公章）                       乙 方：  （公章）                                 </w:t>
      </w:r>
    </w:p>
    <w:p w14:paraId="3BC5ACC7">
      <w:pPr>
        <w:pStyle w:val="22"/>
        <w:spacing w:line="42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法定代表人或其委托代理人：            法定代表人或其委托代理人：</w:t>
      </w:r>
    </w:p>
    <w:p w14:paraId="298232C6">
      <w:pPr>
        <w:pStyle w:val="22"/>
        <w:spacing w:line="42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（签字）                             （签字）</w:t>
      </w:r>
    </w:p>
    <w:p w14:paraId="02E29FAA">
      <w:pPr>
        <w:pStyle w:val="22"/>
        <w:spacing w:line="42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 xml:space="preserve">组织机构代码：                        组织机构代码：             </w:t>
      </w:r>
    </w:p>
    <w:p w14:paraId="4B13E60B">
      <w:pPr>
        <w:pStyle w:val="22"/>
        <w:spacing w:line="42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 xml:space="preserve">地  址：                              地  址：                  </w:t>
      </w:r>
    </w:p>
    <w:p w14:paraId="556D110F">
      <w:pPr>
        <w:pStyle w:val="22"/>
        <w:spacing w:line="42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 xml:space="preserve">邮政编码：                            邮政编码：                  </w:t>
      </w:r>
    </w:p>
    <w:p w14:paraId="54344DDB">
      <w:pPr>
        <w:pStyle w:val="22"/>
        <w:spacing w:line="42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 xml:space="preserve">电  话：                              电  话：                     </w:t>
      </w:r>
    </w:p>
    <w:p w14:paraId="759BA97D">
      <w:pPr>
        <w:pStyle w:val="22"/>
        <w:spacing w:line="42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 xml:space="preserve">                                      开户银行：                   </w:t>
      </w:r>
    </w:p>
    <w:p w14:paraId="6FC225EE">
      <w:pPr>
        <w:spacing w:line="420" w:lineRule="exact"/>
        <w:ind w:firstLine="420" w:firstLineChars="200"/>
        <w:rPr>
          <w:rFonts w:ascii="宋体" w:hAnsi="宋体" w:cs="宋体"/>
          <w:color w:val="auto"/>
          <w:highlight w:val="none"/>
        </w:rPr>
      </w:pPr>
      <w:r>
        <w:rPr>
          <w:rFonts w:hint="eastAsia" w:ascii="宋体" w:hAnsi="宋体" w:cs="宋体"/>
          <w:color w:val="auto"/>
          <w:szCs w:val="21"/>
          <w:highlight w:val="none"/>
        </w:rPr>
        <w:t xml:space="preserve">                                    账   号：</w:t>
      </w:r>
    </w:p>
    <w:p w14:paraId="06360FAE">
      <w:pPr>
        <w:spacing w:line="360" w:lineRule="auto"/>
        <w:ind w:left="630" w:leftChars="300" w:firstLine="110" w:firstLineChars="50"/>
        <w:rPr>
          <w:rFonts w:ascii="宋体" w:hAnsi="宋体" w:cs="宋体"/>
          <w:color w:val="auto"/>
          <w:sz w:val="22"/>
          <w:szCs w:val="22"/>
          <w:highlight w:val="none"/>
        </w:rPr>
      </w:pPr>
    </w:p>
    <w:p w14:paraId="63042F32">
      <w:pPr>
        <w:pStyle w:val="2"/>
        <w:spacing w:before="156" w:beforeLines="50" w:after="156" w:afterLines="50"/>
        <w:rPr>
          <w:rFonts w:ascii="宋体" w:hAnsi="宋体" w:cs="宋体"/>
          <w:color w:val="auto"/>
          <w:sz w:val="36"/>
          <w:szCs w:val="36"/>
          <w:highlight w:val="none"/>
        </w:rPr>
      </w:pPr>
    </w:p>
    <w:p w14:paraId="329378B7">
      <w:pPr>
        <w:pStyle w:val="2"/>
        <w:spacing w:before="156" w:beforeLines="50" w:after="156" w:afterLines="50"/>
        <w:rPr>
          <w:rFonts w:ascii="宋体" w:hAnsi="宋体" w:cs="宋体"/>
          <w:color w:val="auto"/>
          <w:sz w:val="36"/>
          <w:szCs w:val="36"/>
          <w:highlight w:val="none"/>
        </w:rPr>
      </w:pPr>
    </w:p>
    <w:p w14:paraId="5E8ADF5E">
      <w:pPr>
        <w:pStyle w:val="2"/>
        <w:rPr>
          <w:rFonts w:ascii="宋体" w:hAnsi="宋体" w:cs="宋体"/>
          <w:color w:val="auto"/>
          <w:sz w:val="32"/>
          <w:szCs w:val="32"/>
          <w:highlight w:val="none"/>
        </w:rPr>
      </w:pPr>
      <w:r>
        <w:rPr>
          <w:rFonts w:hint="eastAsia" w:ascii="宋体" w:hAnsi="宋体" w:cs="宋体"/>
          <w:color w:val="auto"/>
          <w:highlight w:val="none"/>
        </w:rPr>
        <w:br w:type="page"/>
      </w:r>
      <w:r>
        <w:rPr>
          <w:rFonts w:hint="eastAsia" w:ascii="宋体" w:hAnsi="宋体" w:cs="宋体"/>
          <w:color w:val="auto"/>
          <w:sz w:val="32"/>
          <w:szCs w:val="32"/>
          <w:highlight w:val="none"/>
        </w:rPr>
        <w:t>第六章  投标文件格式</w:t>
      </w:r>
      <w:bookmarkEnd w:id="733"/>
      <w:bookmarkEnd w:id="734"/>
      <w:bookmarkEnd w:id="735"/>
      <w:bookmarkEnd w:id="736"/>
    </w:p>
    <w:p w14:paraId="10A7FFA7">
      <w:pPr>
        <w:jc w:val="center"/>
        <w:rPr>
          <w:rFonts w:ascii="宋体" w:hAnsi="宋体" w:cs="宋体"/>
          <w:color w:val="auto"/>
          <w:sz w:val="20"/>
          <w:highlight w:val="none"/>
        </w:rPr>
      </w:pPr>
    </w:p>
    <w:p w14:paraId="18076FBB">
      <w:pPr>
        <w:jc w:val="center"/>
        <w:rPr>
          <w:rFonts w:ascii="宋体" w:hAnsi="宋体" w:cs="宋体"/>
          <w:b/>
          <w:color w:val="auto"/>
          <w:sz w:val="28"/>
          <w:szCs w:val="28"/>
          <w:highlight w:val="none"/>
        </w:rPr>
      </w:pPr>
      <w:r>
        <w:rPr>
          <w:rFonts w:hint="eastAsia" w:ascii="宋体" w:hAnsi="宋体" w:cs="宋体"/>
          <w:b/>
          <w:color w:val="auto"/>
          <w:sz w:val="28"/>
          <w:szCs w:val="28"/>
          <w:highlight w:val="none"/>
          <w:lang w:bidi="ar"/>
        </w:rPr>
        <w:t>一、资信证明格式文件</w:t>
      </w:r>
    </w:p>
    <w:p w14:paraId="7056060A">
      <w:pPr>
        <w:jc w:val="center"/>
        <w:rPr>
          <w:rFonts w:ascii="宋体" w:hAnsi="宋体" w:cs="宋体"/>
          <w:color w:val="auto"/>
          <w:sz w:val="20"/>
          <w:szCs w:val="20"/>
          <w:highlight w:val="none"/>
        </w:rPr>
      </w:pPr>
      <w:r>
        <w:rPr>
          <w:rFonts w:hint="eastAsia" w:ascii="宋体" w:hAnsi="宋体" w:cs="宋体"/>
          <w:color w:val="auto"/>
          <w:sz w:val="20"/>
          <w:szCs w:val="20"/>
          <w:highlight w:val="none"/>
          <w:lang w:bidi="ar"/>
        </w:rPr>
        <w:t xml:space="preserve"> </w:t>
      </w:r>
    </w:p>
    <w:p w14:paraId="2F3294CF">
      <w:pPr>
        <w:rPr>
          <w:rFonts w:ascii="宋体" w:hAnsi="宋体" w:cs="宋体"/>
          <w:color w:val="auto"/>
          <w:sz w:val="20"/>
          <w:szCs w:val="20"/>
          <w:highlight w:val="none"/>
        </w:rPr>
      </w:pPr>
      <w:r>
        <w:rPr>
          <w:rFonts w:hint="eastAsia" w:ascii="宋体" w:hAnsi="宋体" w:cs="宋体"/>
          <w:color w:val="auto"/>
          <w:sz w:val="20"/>
          <w:szCs w:val="20"/>
          <w:highlight w:val="none"/>
          <w:lang w:bidi="ar"/>
        </w:rPr>
        <w:t xml:space="preserve"> </w:t>
      </w:r>
    </w:p>
    <w:p w14:paraId="4283A7AF">
      <w:pPr>
        <w:jc w:val="center"/>
        <w:rPr>
          <w:rFonts w:ascii="宋体" w:hAnsi="宋体" w:cs="宋体"/>
          <w:b/>
          <w:color w:val="auto"/>
          <w:sz w:val="44"/>
          <w:szCs w:val="44"/>
          <w:highlight w:val="none"/>
        </w:rPr>
      </w:pPr>
      <w:r>
        <w:rPr>
          <w:rFonts w:hint="eastAsia" w:ascii="宋体" w:hAnsi="宋体" w:cs="宋体"/>
          <w:b/>
          <w:color w:val="auto"/>
          <w:sz w:val="44"/>
          <w:szCs w:val="44"/>
          <w:highlight w:val="none"/>
          <w:lang w:bidi="ar"/>
        </w:rPr>
        <w:t>资信证明文件</w:t>
      </w:r>
    </w:p>
    <w:p w14:paraId="4FC4C049">
      <w:pPr>
        <w:jc w:val="center"/>
        <w:rPr>
          <w:rFonts w:ascii="宋体" w:hAnsi="宋体" w:cs="宋体"/>
          <w:color w:val="auto"/>
          <w:sz w:val="32"/>
          <w:szCs w:val="32"/>
          <w:highlight w:val="none"/>
        </w:rPr>
      </w:pPr>
      <w:r>
        <w:rPr>
          <w:rFonts w:hint="eastAsia" w:ascii="宋体" w:hAnsi="宋体" w:cs="宋体"/>
          <w:color w:val="auto"/>
          <w:sz w:val="32"/>
          <w:szCs w:val="32"/>
          <w:highlight w:val="none"/>
          <w:lang w:bidi="ar"/>
        </w:rPr>
        <w:t>（投标文件一）</w:t>
      </w:r>
    </w:p>
    <w:p w14:paraId="4A1196F2">
      <w:pPr>
        <w:jc w:val="center"/>
        <w:rPr>
          <w:rFonts w:ascii="宋体" w:hAnsi="宋体" w:cs="宋体"/>
          <w:color w:val="auto"/>
          <w:sz w:val="44"/>
          <w:szCs w:val="44"/>
          <w:highlight w:val="none"/>
        </w:rPr>
      </w:pPr>
      <w:r>
        <w:rPr>
          <w:rFonts w:hint="eastAsia" w:ascii="宋体" w:hAnsi="宋体" w:cs="宋体"/>
          <w:color w:val="auto"/>
          <w:sz w:val="44"/>
          <w:szCs w:val="44"/>
          <w:highlight w:val="none"/>
          <w:lang w:bidi="ar"/>
        </w:rPr>
        <w:t xml:space="preserve"> </w:t>
      </w:r>
    </w:p>
    <w:p w14:paraId="1FD8A75F">
      <w:pPr>
        <w:jc w:val="center"/>
        <w:rPr>
          <w:rFonts w:ascii="宋体" w:hAnsi="宋体" w:cs="宋体"/>
          <w:color w:val="auto"/>
          <w:sz w:val="32"/>
          <w:szCs w:val="32"/>
          <w:highlight w:val="none"/>
          <w:u w:val="single"/>
        </w:rPr>
      </w:pPr>
    </w:p>
    <w:p w14:paraId="559998BD">
      <w:pPr>
        <w:jc w:val="center"/>
        <w:rPr>
          <w:rFonts w:ascii="宋体" w:hAnsi="宋体" w:cs="宋体"/>
          <w:color w:val="auto"/>
          <w:sz w:val="32"/>
          <w:szCs w:val="32"/>
          <w:highlight w:val="none"/>
        </w:rPr>
      </w:pPr>
      <w:r>
        <w:rPr>
          <w:rFonts w:hint="eastAsia" w:ascii="宋体" w:hAnsi="宋体" w:cs="宋体"/>
          <w:color w:val="auto"/>
          <w:sz w:val="32"/>
          <w:szCs w:val="32"/>
          <w:highlight w:val="none"/>
          <w:u w:val="single"/>
          <w:lang w:bidi="ar"/>
        </w:rPr>
        <w:t xml:space="preserve">        </w:t>
      </w:r>
      <w:r>
        <w:rPr>
          <w:rFonts w:hint="eastAsia" w:ascii="宋体" w:hAnsi="宋体" w:cs="宋体"/>
          <w:color w:val="auto"/>
          <w:sz w:val="32"/>
          <w:szCs w:val="32"/>
          <w:highlight w:val="none"/>
          <w:lang w:bidi="ar"/>
        </w:rPr>
        <w:t>项目</w:t>
      </w:r>
    </w:p>
    <w:p w14:paraId="00857177">
      <w:pPr>
        <w:rPr>
          <w:rFonts w:ascii="宋体" w:hAnsi="宋体" w:cs="宋体"/>
          <w:color w:val="auto"/>
          <w:sz w:val="28"/>
          <w:szCs w:val="28"/>
          <w:highlight w:val="none"/>
        </w:rPr>
      </w:pPr>
      <w:r>
        <w:rPr>
          <w:rFonts w:hint="eastAsia" w:ascii="宋体" w:hAnsi="宋体" w:cs="宋体"/>
          <w:color w:val="auto"/>
          <w:sz w:val="28"/>
          <w:szCs w:val="28"/>
          <w:highlight w:val="none"/>
          <w:lang w:bidi="ar"/>
        </w:rPr>
        <w:t xml:space="preserve"> </w:t>
      </w:r>
    </w:p>
    <w:p w14:paraId="1A5E9DCD">
      <w:pPr>
        <w:rPr>
          <w:rFonts w:ascii="宋体" w:hAnsi="宋体" w:cs="宋体"/>
          <w:color w:val="auto"/>
          <w:sz w:val="28"/>
          <w:szCs w:val="28"/>
          <w:highlight w:val="none"/>
        </w:rPr>
      </w:pPr>
      <w:r>
        <w:rPr>
          <w:rFonts w:hint="eastAsia" w:ascii="宋体" w:hAnsi="宋体" w:cs="宋体"/>
          <w:color w:val="auto"/>
          <w:sz w:val="28"/>
          <w:szCs w:val="28"/>
          <w:highlight w:val="none"/>
          <w:lang w:bidi="ar"/>
        </w:rPr>
        <w:t xml:space="preserve"> </w:t>
      </w:r>
    </w:p>
    <w:p w14:paraId="3AD88476">
      <w:pPr>
        <w:rPr>
          <w:rFonts w:ascii="宋体" w:hAnsi="宋体" w:cs="宋体"/>
          <w:color w:val="auto"/>
          <w:sz w:val="28"/>
          <w:szCs w:val="28"/>
          <w:highlight w:val="none"/>
        </w:rPr>
      </w:pPr>
      <w:r>
        <w:rPr>
          <w:rFonts w:hint="eastAsia" w:ascii="宋体" w:hAnsi="宋体" w:cs="宋体"/>
          <w:color w:val="auto"/>
          <w:sz w:val="28"/>
          <w:szCs w:val="28"/>
          <w:highlight w:val="none"/>
          <w:lang w:bidi="ar"/>
        </w:rPr>
        <w:t xml:space="preserve"> </w:t>
      </w:r>
    </w:p>
    <w:p w14:paraId="1F5E70AF">
      <w:pPr>
        <w:rPr>
          <w:rFonts w:ascii="宋体" w:hAnsi="宋体" w:cs="宋体"/>
          <w:color w:val="auto"/>
          <w:sz w:val="28"/>
          <w:szCs w:val="28"/>
          <w:highlight w:val="none"/>
        </w:rPr>
      </w:pPr>
      <w:r>
        <w:rPr>
          <w:rFonts w:hint="eastAsia" w:ascii="宋体" w:hAnsi="宋体" w:cs="宋体"/>
          <w:color w:val="auto"/>
          <w:sz w:val="28"/>
          <w:szCs w:val="28"/>
          <w:highlight w:val="none"/>
          <w:lang w:bidi="ar"/>
        </w:rPr>
        <w:t xml:space="preserve"> </w:t>
      </w:r>
    </w:p>
    <w:p w14:paraId="0515A239">
      <w:pPr>
        <w:rPr>
          <w:rFonts w:ascii="宋体" w:hAnsi="宋体" w:cs="宋体"/>
          <w:color w:val="auto"/>
          <w:sz w:val="28"/>
          <w:szCs w:val="28"/>
          <w:highlight w:val="none"/>
        </w:rPr>
      </w:pPr>
      <w:r>
        <w:rPr>
          <w:rFonts w:hint="eastAsia" w:ascii="宋体" w:hAnsi="宋体" w:cs="宋体"/>
          <w:color w:val="auto"/>
          <w:sz w:val="28"/>
          <w:szCs w:val="28"/>
          <w:highlight w:val="none"/>
          <w:lang w:bidi="ar"/>
        </w:rPr>
        <w:t xml:space="preserve"> </w:t>
      </w:r>
    </w:p>
    <w:p w14:paraId="29FD2479">
      <w:pPr>
        <w:rPr>
          <w:rFonts w:ascii="宋体" w:hAnsi="宋体" w:cs="宋体"/>
          <w:color w:val="auto"/>
          <w:sz w:val="28"/>
          <w:szCs w:val="28"/>
          <w:highlight w:val="none"/>
        </w:rPr>
      </w:pPr>
      <w:r>
        <w:rPr>
          <w:rFonts w:hint="eastAsia" w:ascii="宋体" w:hAnsi="宋体" w:cs="宋体"/>
          <w:color w:val="auto"/>
          <w:sz w:val="28"/>
          <w:szCs w:val="28"/>
          <w:highlight w:val="none"/>
          <w:lang w:bidi="ar"/>
        </w:rPr>
        <w:t xml:space="preserve"> </w:t>
      </w:r>
    </w:p>
    <w:p w14:paraId="6F6CFF89">
      <w:pPr>
        <w:jc w:val="center"/>
        <w:rPr>
          <w:rFonts w:ascii="宋体" w:hAnsi="宋体" w:cs="宋体"/>
          <w:color w:val="auto"/>
          <w:sz w:val="28"/>
          <w:szCs w:val="28"/>
          <w:highlight w:val="none"/>
          <w:u w:val="single"/>
        </w:rPr>
      </w:pPr>
      <w:r>
        <w:rPr>
          <w:rFonts w:hint="eastAsia" w:ascii="宋体" w:hAnsi="宋体" w:cs="宋体"/>
          <w:color w:val="auto"/>
          <w:sz w:val="28"/>
          <w:szCs w:val="28"/>
          <w:highlight w:val="none"/>
          <w:lang w:bidi="ar"/>
        </w:rPr>
        <w:t>投标人：</w:t>
      </w:r>
      <w:r>
        <w:rPr>
          <w:rFonts w:hint="eastAsia" w:ascii="宋体" w:hAnsi="宋体" w:cs="宋体"/>
          <w:color w:val="auto"/>
          <w:sz w:val="28"/>
          <w:szCs w:val="28"/>
          <w:highlight w:val="none"/>
          <w:u w:val="single"/>
          <w:lang w:bidi="ar"/>
        </w:rPr>
        <w:t xml:space="preserve">                              </w:t>
      </w:r>
      <w:r>
        <w:rPr>
          <w:rFonts w:hint="eastAsia" w:ascii="宋体" w:hAnsi="宋体" w:cs="宋体"/>
          <w:color w:val="auto"/>
          <w:sz w:val="28"/>
          <w:szCs w:val="28"/>
          <w:highlight w:val="none"/>
          <w:lang w:bidi="ar"/>
        </w:rPr>
        <w:t>（盖章）</w:t>
      </w:r>
    </w:p>
    <w:p w14:paraId="439412D8">
      <w:pPr>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lang w:bidi="ar"/>
        </w:rPr>
        <w:t>法定代表人：</w:t>
      </w:r>
      <w:r>
        <w:rPr>
          <w:rFonts w:hint="eastAsia" w:ascii="宋体" w:hAnsi="宋体" w:cs="宋体"/>
          <w:color w:val="auto"/>
          <w:sz w:val="28"/>
          <w:szCs w:val="28"/>
          <w:highlight w:val="none"/>
          <w:u w:val="single"/>
          <w:lang w:bidi="ar"/>
        </w:rPr>
        <w:t xml:space="preserve">                              </w:t>
      </w:r>
      <w:r>
        <w:rPr>
          <w:rFonts w:hint="eastAsia" w:ascii="宋体" w:hAnsi="宋体" w:cs="宋体"/>
          <w:color w:val="auto"/>
          <w:sz w:val="28"/>
          <w:szCs w:val="28"/>
          <w:highlight w:val="none"/>
          <w:lang w:bidi="ar"/>
        </w:rPr>
        <w:t>（签字或盖章）</w:t>
      </w:r>
    </w:p>
    <w:p w14:paraId="22A3CDD9">
      <w:pPr>
        <w:jc w:val="center"/>
        <w:rPr>
          <w:rFonts w:ascii="宋体" w:hAnsi="宋体" w:cs="宋体"/>
          <w:color w:val="auto"/>
          <w:sz w:val="28"/>
          <w:szCs w:val="28"/>
          <w:highlight w:val="none"/>
        </w:rPr>
      </w:pPr>
      <w:r>
        <w:rPr>
          <w:rFonts w:hint="eastAsia" w:ascii="宋体" w:hAnsi="宋体" w:cs="宋体"/>
          <w:color w:val="auto"/>
          <w:sz w:val="28"/>
          <w:szCs w:val="28"/>
          <w:highlight w:val="none"/>
          <w:u w:val="single"/>
          <w:lang w:bidi="ar"/>
        </w:rPr>
        <w:t xml:space="preserve">        </w:t>
      </w:r>
      <w:r>
        <w:rPr>
          <w:rFonts w:hint="eastAsia" w:ascii="宋体" w:hAnsi="宋体" w:cs="宋体"/>
          <w:color w:val="auto"/>
          <w:sz w:val="28"/>
          <w:szCs w:val="28"/>
          <w:highlight w:val="none"/>
          <w:lang w:bidi="ar"/>
        </w:rPr>
        <w:t>年</w:t>
      </w:r>
      <w:r>
        <w:rPr>
          <w:rFonts w:hint="eastAsia" w:ascii="宋体" w:hAnsi="宋体" w:cs="宋体"/>
          <w:color w:val="auto"/>
          <w:sz w:val="28"/>
          <w:szCs w:val="28"/>
          <w:highlight w:val="none"/>
          <w:u w:val="single"/>
          <w:lang w:bidi="ar"/>
        </w:rPr>
        <w:t xml:space="preserve">        </w:t>
      </w:r>
      <w:r>
        <w:rPr>
          <w:rFonts w:hint="eastAsia" w:ascii="宋体" w:hAnsi="宋体" w:cs="宋体"/>
          <w:color w:val="auto"/>
          <w:sz w:val="28"/>
          <w:szCs w:val="28"/>
          <w:highlight w:val="none"/>
          <w:lang w:bidi="ar"/>
        </w:rPr>
        <w:t>月</w:t>
      </w:r>
      <w:r>
        <w:rPr>
          <w:rFonts w:hint="eastAsia" w:ascii="宋体" w:hAnsi="宋体" w:cs="宋体"/>
          <w:color w:val="auto"/>
          <w:sz w:val="28"/>
          <w:szCs w:val="28"/>
          <w:highlight w:val="none"/>
          <w:u w:val="single"/>
          <w:lang w:bidi="ar"/>
        </w:rPr>
        <w:t xml:space="preserve">        </w:t>
      </w:r>
      <w:r>
        <w:rPr>
          <w:rFonts w:hint="eastAsia" w:ascii="宋体" w:hAnsi="宋体" w:cs="宋体"/>
          <w:color w:val="auto"/>
          <w:sz w:val="28"/>
          <w:szCs w:val="28"/>
          <w:highlight w:val="none"/>
          <w:lang w:bidi="ar"/>
        </w:rPr>
        <w:t>日</w:t>
      </w:r>
    </w:p>
    <w:p w14:paraId="011CCE76">
      <w:pPr>
        <w:spacing w:line="400" w:lineRule="exact"/>
        <w:ind w:firstLine="4130" w:firstLineChars="935"/>
        <w:rPr>
          <w:rFonts w:ascii="宋体" w:hAnsi="宋体" w:cs="宋体"/>
          <w:b/>
          <w:color w:val="auto"/>
          <w:sz w:val="44"/>
          <w:szCs w:val="44"/>
          <w:highlight w:val="none"/>
        </w:rPr>
      </w:pPr>
    </w:p>
    <w:p w14:paraId="49292310">
      <w:pPr>
        <w:pStyle w:val="43"/>
        <w:rPr>
          <w:rFonts w:ascii="宋体" w:hAnsi="宋体" w:cs="宋体"/>
          <w:color w:val="auto"/>
          <w:highlight w:val="none"/>
        </w:rPr>
      </w:pPr>
    </w:p>
    <w:p w14:paraId="4A32FE5F">
      <w:pPr>
        <w:spacing w:line="400" w:lineRule="exact"/>
        <w:ind w:firstLine="562" w:firstLineChars="200"/>
        <w:jc w:val="center"/>
        <w:rPr>
          <w:rFonts w:ascii="宋体" w:hAnsi="宋体" w:cs="宋体"/>
          <w:b/>
          <w:color w:val="auto"/>
          <w:sz w:val="28"/>
          <w:szCs w:val="28"/>
          <w:highlight w:val="none"/>
        </w:rPr>
      </w:pPr>
      <w:r>
        <w:rPr>
          <w:rFonts w:hint="eastAsia" w:ascii="宋体" w:hAnsi="宋体" w:cs="宋体"/>
          <w:b/>
          <w:color w:val="auto"/>
          <w:sz w:val="28"/>
          <w:szCs w:val="28"/>
          <w:highlight w:val="none"/>
        </w:rPr>
        <w:br w:type="page"/>
      </w:r>
      <w:r>
        <w:rPr>
          <w:rFonts w:hint="eastAsia" w:ascii="宋体" w:hAnsi="宋体" w:cs="宋体"/>
          <w:b/>
          <w:color w:val="auto"/>
          <w:sz w:val="28"/>
          <w:szCs w:val="28"/>
          <w:highlight w:val="none"/>
        </w:rPr>
        <w:t>目    录</w:t>
      </w:r>
    </w:p>
    <w:p w14:paraId="2155547C">
      <w:pPr>
        <w:spacing w:line="400" w:lineRule="exact"/>
        <w:ind w:firstLine="420" w:firstLineChars="200"/>
        <w:rPr>
          <w:rFonts w:ascii="宋体" w:hAnsi="宋体" w:cs="宋体"/>
          <w:color w:val="auto"/>
          <w:highlight w:val="none"/>
        </w:rPr>
      </w:pPr>
    </w:p>
    <w:p w14:paraId="6196E7F2">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（1）法定代表人身份证明文件和本人有效身份证（或法定代表人授权委托书和委托代理人有效身份证）；</w:t>
      </w:r>
    </w:p>
    <w:p w14:paraId="754D1304">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（2）诚信投标承诺书（格式见附件）；</w:t>
      </w:r>
    </w:p>
    <w:p w14:paraId="28DF7412">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（3）企业法人营业执照；</w:t>
      </w:r>
    </w:p>
    <w:p w14:paraId="1F749482">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（4）企业资质证书；</w:t>
      </w:r>
    </w:p>
    <w:p w14:paraId="5671FB05">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（5）拟派项目负责人身份证及相关证书；</w:t>
      </w:r>
    </w:p>
    <w:p w14:paraId="6DB7C6B4">
      <w:pPr>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（6）</w:t>
      </w:r>
      <w:r>
        <w:rPr>
          <w:rFonts w:hint="eastAsia" w:ascii="宋体" w:hAnsi="宋体" w:cs="宋体"/>
          <w:color w:val="auto"/>
          <w:spacing w:val="-1"/>
          <w:szCs w:val="21"/>
          <w:highlight w:val="none"/>
        </w:rPr>
        <w:t>投标人拟派的法定代表人</w:t>
      </w:r>
      <w:r>
        <w:rPr>
          <w:rFonts w:hint="eastAsia" w:ascii="宋体" w:hAnsi="宋体" w:cs="宋体"/>
          <w:color w:val="auto"/>
          <w:spacing w:val="-1"/>
          <w:szCs w:val="21"/>
          <w:highlight w:val="none"/>
          <w:lang w:eastAsia="zh-CN"/>
        </w:rPr>
        <w:t>（</w:t>
      </w:r>
      <w:r>
        <w:rPr>
          <w:rFonts w:hint="eastAsia" w:ascii="宋体" w:hAnsi="宋体" w:cs="宋体"/>
          <w:color w:val="auto"/>
          <w:spacing w:val="-1"/>
          <w:szCs w:val="21"/>
          <w:highlight w:val="none"/>
        </w:rPr>
        <w:t>或委托代理人)和拟派项目负责人须持有社保部门出具的本单位为其缴纳的投标前连续三个月的养老保险证明（或官网在线打印件），证明文件两个月内有效（同一人担任不同公司法定代表人的，该法定代表人参加本项目投标时须提供本人在其他公司任法定代表人的营业执照及为其缴纳养老保险证明材料），投标申请人是事业单位的，暂未缴纳社保的，须由其主管部门出具证明</w:t>
      </w:r>
      <w:r>
        <w:rPr>
          <w:rFonts w:hint="eastAsia" w:ascii="宋体" w:hAnsi="宋体" w:cs="宋体"/>
          <w:color w:val="auto"/>
          <w:szCs w:val="21"/>
          <w:highlight w:val="none"/>
        </w:rPr>
        <w:t>；</w:t>
      </w:r>
    </w:p>
    <w:p w14:paraId="3E4EEA11">
      <w:pPr>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（7）资信评分所需证明材料；</w:t>
      </w:r>
    </w:p>
    <w:p w14:paraId="74765F9F">
      <w:pPr>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（8）投标人认为需要补充的其他材料。（如有）</w:t>
      </w:r>
    </w:p>
    <w:p w14:paraId="7C3F419B">
      <w:pPr>
        <w:spacing w:line="440" w:lineRule="exact"/>
        <w:ind w:firstLine="420" w:firstLineChars="200"/>
        <w:rPr>
          <w:rFonts w:ascii="宋体" w:hAnsi="宋体" w:cs="宋体"/>
          <w:color w:val="auto"/>
          <w:szCs w:val="21"/>
          <w:highlight w:val="none"/>
        </w:rPr>
      </w:pPr>
    </w:p>
    <w:p w14:paraId="21C4D86A">
      <w:pPr>
        <w:spacing w:line="440" w:lineRule="exact"/>
        <w:ind w:firstLine="420" w:firstLineChars="200"/>
        <w:rPr>
          <w:rFonts w:ascii="宋体" w:hAnsi="宋体" w:cs="宋体"/>
          <w:color w:val="auto"/>
          <w:szCs w:val="21"/>
          <w:highlight w:val="none"/>
        </w:rPr>
      </w:pPr>
    </w:p>
    <w:p w14:paraId="17AF0CCA">
      <w:pPr>
        <w:spacing w:line="440" w:lineRule="exact"/>
        <w:rPr>
          <w:rFonts w:ascii="宋体" w:hAnsi="宋体" w:cs="宋体"/>
          <w:color w:val="auto"/>
          <w:szCs w:val="21"/>
          <w:highlight w:val="none"/>
        </w:rPr>
      </w:pPr>
    </w:p>
    <w:p w14:paraId="318A504A">
      <w:pPr>
        <w:spacing w:line="360" w:lineRule="auto"/>
        <w:jc w:val="center"/>
        <w:rPr>
          <w:rFonts w:ascii="宋体" w:hAnsi="宋体" w:cs="宋体"/>
          <w:b/>
          <w:color w:val="auto"/>
          <w:sz w:val="28"/>
          <w:szCs w:val="28"/>
          <w:highlight w:val="none"/>
        </w:rPr>
      </w:pPr>
      <w:r>
        <w:rPr>
          <w:rFonts w:hint="eastAsia" w:ascii="宋体" w:hAnsi="宋体" w:cs="宋体"/>
          <w:color w:val="auto"/>
          <w:sz w:val="20"/>
          <w:szCs w:val="20"/>
          <w:highlight w:val="none"/>
        </w:rPr>
        <w:br w:type="page"/>
      </w:r>
      <w:bookmarkStart w:id="737" w:name="_Toc488780208"/>
      <w:bookmarkStart w:id="738" w:name="_Toc15300917"/>
      <w:bookmarkStart w:id="739" w:name="_Toc56962913"/>
      <w:r>
        <w:rPr>
          <w:rFonts w:hint="eastAsia" w:ascii="宋体" w:hAnsi="宋体" w:cs="宋体"/>
          <w:b/>
          <w:color w:val="auto"/>
          <w:sz w:val="28"/>
          <w:szCs w:val="28"/>
          <w:highlight w:val="none"/>
        </w:rPr>
        <w:t>（1）法定代表人身份证明或授权委托书</w:t>
      </w:r>
    </w:p>
    <w:p w14:paraId="2236F57C">
      <w:pPr>
        <w:pStyle w:val="198"/>
        <w:spacing w:before="312" w:beforeLines="100" w:after="312" w:afterLines="100" w:line="400" w:lineRule="exact"/>
        <w:rPr>
          <w:rFonts w:ascii="宋体" w:hAnsi="宋体" w:cs="宋体"/>
          <w:b/>
          <w:color w:val="auto"/>
          <w:sz w:val="24"/>
          <w:szCs w:val="24"/>
          <w:highlight w:val="none"/>
        </w:rPr>
      </w:pPr>
      <w:r>
        <w:rPr>
          <w:rFonts w:hint="eastAsia" w:ascii="宋体" w:hAnsi="宋体" w:cs="宋体"/>
          <w:color w:val="auto"/>
          <w:sz w:val="24"/>
          <w:szCs w:val="24"/>
          <w:highlight w:val="none"/>
        </w:rPr>
        <w:t>1、法定代表人身份证明</w:t>
      </w:r>
    </w:p>
    <w:p w14:paraId="31745E47">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投标人名称：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p>
    <w:p w14:paraId="5851A787">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单位性质：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p>
    <w:p w14:paraId="4F94C8CC">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地    址：</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p>
    <w:p w14:paraId="19E82363">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成立时间：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w:t>
      </w:r>
    </w:p>
    <w:p w14:paraId="79A2484E">
      <w:pPr>
        <w:spacing w:line="400" w:lineRule="exact"/>
        <w:ind w:firstLine="480" w:firstLineChars="200"/>
        <w:rPr>
          <w:rFonts w:ascii="宋体" w:hAnsi="宋体" w:cs="宋体"/>
          <w:color w:val="auto"/>
          <w:sz w:val="24"/>
          <w:highlight w:val="none"/>
          <w:u w:val="single"/>
        </w:rPr>
      </w:pPr>
      <w:r>
        <w:rPr>
          <w:rFonts w:hint="eastAsia" w:ascii="宋体" w:hAnsi="宋体" w:cs="宋体"/>
          <w:color w:val="auto"/>
          <w:sz w:val="24"/>
          <w:highlight w:val="none"/>
        </w:rPr>
        <w:t>经营期限：</w:t>
      </w:r>
      <w:r>
        <w:rPr>
          <w:rFonts w:hint="eastAsia" w:ascii="宋体" w:hAnsi="宋体" w:cs="宋体"/>
          <w:color w:val="auto"/>
          <w:sz w:val="24"/>
          <w:highlight w:val="none"/>
          <w:u w:val="single"/>
        </w:rPr>
        <w:t xml:space="preserve">                                </w:t>
      </w:r>
    </w:p>
    <w:p w14:paraId="61BCD324">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姓名：</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性别：</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年龄：</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职务：</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p>
    <w:p w14:paraId="23FD0131">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系</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（投标人名称）的法定代表人。</w:t>
      </w:r>
    </w:p>
    <w:p w14:paraId="3C238AF8">
      <w:pPr>
        <w:spacing w:line="400" w:lineRule="exact"/>
        <w:ind w:firstLine="960" w:firstLineChars="400"/>
        <w:rPr>
          <w:rFonts w:ascii="宋体" w:hAnsi="宋体" w:cs="宋体"/>
          <w:color w:val="auto"/>
          <w:sz w:val="24"/>
          <w:highlight w:val="none"/>
        </w:rPr>
      </w:pPr>
      <w:r>
        <w:rPr>
          <w:rFonts w:hint="eastAsia" w:ascii="宋体" w:hAnsi="宋体" w:cs="宋体"/>
          <w:color w:val="auto"/>
          <w:sz w:val="24"/>
          <w:highlight w:val="none"/>
        </w:rPr>
        <w:t>特此证明。</w:t>
      </w:r>
    </w:p>
    <w:p w14:paraId="3A972196">
      <w:pPr>
        <w:pStyle w:val="43"/>
        <w:spacing w:line="400" w:lineRule="exact"/>
        <w:ind w:firstLine="480"/>
        <w:rPr>
          <w:rFonts w:ascii="宋体" w:hAnsi="宋体" w:cs="宋体"/>
          <w:color w:val="auto"/>
          <w:highlight w:val="none"/>
        </w:rPr>
      </w:pPr>
      <w:r>
        <w:rPr>
          <w:rFonts w:hint="eastAsia" w:ascii="宋体" w:hAnsi="宋体" w:cs="宋体"/>
          <w:color w:val="auto"/>
          <w:sz w:val="24"/>
          <w:highlight w:val="none"/>
        </w:rPr>
        <w:t>附：</w:t>
      </w:r>
      <w:r>
        <w:rPr>
          <w:rFonts w:hint="eastAsia" w:ascii="宋体" w:hAnsi="宋体" w:cs="宋体"/>
          <w:b/>
          <w:color w:val="auto"/>
          <w:sz w:val="24"/>
          <w:highlight w:val="none"/>
        </w:rPr>
        <w:t>法定代表人身份证</w:t>
      </w:r>
    </w:p>
    <w:p w14:paraId="52F05AFF">
      <w:pPr>
        <w:spacing w:line="400" w:lineRule="exact"/>
        <w:ind w:firstLine="3480" w:firstLineChars="1450"/>
        <w:rPr>
          <w:rFonts w:ascii="宋体" w:hAnsi="宋体" w:cs="宋体"/>
          <w:color w:val="auto"/>
          <w:sz w:val="24"/>
          <w:highlight w:val="none"/>
        </w:rPr>
      </w:pPr>
      <w:r>
        <w:rPr>
          <w:rFonts w:hint="eastAsia" w:ascii="宋体" w:hAnsi="宋体" w:cs="宋体"/>
          <w:color w:val="auto"/>
          <w:sz w:val="24"/>
          <w:highlight w:val="none"/>
        </w:rPr>
        <w:t>投标人：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（盖章）</w:t>
      </w:r>
    </w:p>
    <w:p w14:paraId="69DFCADE">
      <w:pPr>
        <w:spacing w:line="400" w:lineRule="exact"/>
        <w:rPr>
          <w:rFonts w:ascii="宋体" w:hAnsi="宋体" w:cs="宋体"/>
          <w:color w:val="auto"/>
          <w:sz w:val="24"/>
          <w:highlight w:val="none"/>
        </w:rPr>
      </w:pPr>
      <w:r>
        <w:rPr>
          <w:rFonts w:hint="eastAsia" w:ascii="宋体" w:hAnsi="宋体" w:cs="宋体"/>
          <w:color w:val="auto"/>
          <w:sz w:val="24"/>
          <w:highlight w:val="none"/>
        </w:rPr>
        <w:t xml:space="preserve">                                        年    月     日</w:t>
      </w:r>
    </w:p>
    <w:p w14:paraId="49768582">
      <w:pPr>
        <w:spacing w:line="400" w:lineRule="exact"/>
        <w:jc w:val="center"/>
        <w:rPr>
          <w:rFonts w:ascii="宋体" w:hAnsi="宋体" w:cs="宋体"/>
          <w:color w:val="auto"/>
          <w:sz w:val="28"/>
          <w:szCs w:val="28"/>
          <w:highlight w:val="none"/>
        </w:rPr>
      </w:pPr>
      <w:r>
        <w:rPr>
          <w:rFonts w:hint="eastAsia" w:ascii="宋体" w:hAnsi="宋体" w:cs="宋体"/>
          <w:color w:val="auto"/>
          <w:sz w:val="28"/>
          <w:szCs w:val="28"/>
          <w:highlight w:val="none"/>
        </w:rPr>
        <w:t>2、授权委托书</w:t>
      </w:r>
    </w:p>
    <w:p w14:paraId="62ECA46A">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本人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（姓名）系</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（投标人）的法定代表人，现委托</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（姓名）为我方代理人。代理人根据授权，以我方名义签署、澄清、说明、补正、递交、撤回、修改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”(项目名称、项目编号）投标文件，全权处理与该项目投标、评审答疑、签订合同以及与合同执行有关的一切事务，其法律后果由我方承担。</w:t>
      </w:r>
    </w:p>
    <w:p w14:paraId="2B6C6EB2">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委托期限：</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r>
        <w:rPr>
          <w:rFonts w:hint="eastAsia" w:ascii="宋体" w:hAnsi="宋体" w:cs="宋体"/>
          <w:color w:val="auto"/>
          <w:sz w:val="24"/>
          <w:highlight w:val="none"/>
        </w:rPr>
        <w:t xml:space="preserve">     </w:t>
      </w:r>
    </w:p>
    <w:p w14:paraId="79DF63A0">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代理人无转委托权。</w:t>
      </w:r>
    </w:p>
    <w:p w14:paraId="09FDDD7A">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附：①法定代表人身份证复印件</w:t>
      </w:r>
    </w:p>
    <w:p w14:paraId="6B26379B">
      <w:pPr>
        <w:spacing w:line="400" w:lineRule="exact"/>
        <w:ind w:firstLine="960" w:firstLineChars="400"/>
        <w:rPr>
          <w:rFonts w:ascii="宋体" w:hAnsi="宋体" w:cs="宋体"/>
          <w:color w:val="auto"/>
          <w:sz w:val="24"/>
          <w:highlight w:val="none"/>
        </w:rPr>
      </w:pPr>
      <w:r>
        <w:rPr>
          <w:rFonts w:hint="eastAsia" w:ascii="宋体" w:hAnsi="宋体" w:cs="宋体"/>
          <w:color w:val="auto"/>
          <w:sz w:val="24"/>
          <w:highlight w:val="none"/>
        </w:rPr>
        <w:t>②委托代理人身份证复印件</w:t>
      </w:r>
    </w:p>
    <w:p w14:paraId="34302E8B">
      <w:pPr>
        <w:spacing w:line="400" w:lineRule="exact"/>
        <w:ind w:firstLine="960" w:firstLineChars="400"/>
        <w:rPr>
          <w:rFonts w:ascii="宋体" w:hAnsi="宋体" w:cs="宋体"/>
          <w:color w:val="auto"/>
          <w:sz w:val="24"/>
          <w:highlight w:val="none"/>
        </w:rPr>
      </w:pPr>
      <w:r>
        <w:rPr>
          <w:rFonts w:hint="eastAsia" w:ascii="宋体" w:hAnsi="宋体" w:cs="宋体"/>
          <w:color w:val="auto"/>
          <w:sz w:val="24"/>
          <w:highlight w:val="none"/>
        </w:rPr>
        <w:t xml:space="preserve"> </w:t>
      </w:r>
    </w:p>
    <w:p w14:paraId="37766071">
      <w:pPr>
        <w:spacing w:line="400" w:lineRule="exact"/>
        <w:ind w:firstLine="3000" w:firstLineChars="1250"/>
        <w:rPr>
          <w:rFonts w:ascii="宋体" w:hAnsi="宋体" w:cs="宋体"/>
          <w:color w:val="auto"/>
          <w:sz w:val="24"/>
          <w:highlight w:val="none"/>
        </w:rPr>
      </w:pPr>
      <w:r>
        <w:rPr>
          <w:rFonts w:hint="eastAsia" w:ascii="宋体" w:hAnsi="宋体" w:cs="宋体"/>
          <w:color w:val="auto"/>
          <w:sz w:val="24"/>
          <w:highlight w:val="none"/>
        </w:rPr>
        <w:t>投标人（盖章）：</w:t>
      </w:r>
    </w:p>
    <w:p w14:paraId="535E8FA3">
      <w:pPr>
        <w:spacing w:line="400" w:lineRule="exact"/>
        <w:ind w:firstLine="2280" w:firstLineChars="950"/>
        <w:rPr>
          <w:rFonts w:ascii="宋体" w:hAnsi="宋体" w:cs="宋体"/>
          <w:color w:val="auto"/>
          <w:sz w:val="24"/>
          <w:highlight w:val="none"/>
        </w:rPr>
      </w:pPr>
      <w:r>
        <w:rPr>
          <w:rFonts w:hint="eastAsia" w:ascii="宋体" w:hAnsi="宋体" w:cs="宋体"/>
          <w:color w:val="auto"/>
          <w:sz w:val="24"/>
          <w:highlight w:val="none"/>
        </w:rPr>
        <w:t>法定代表人（身份证号码）：          （签字或盖章）</w:t>
      </w:r>
    </w:p>
    <w:p w14:paraId="6DB95015">
      <w:pPr>
        <w:spacing w:line="400" w:lineRule="exact"/>
        <w:ind w:firstLine="2280" w:firstLineChars="950"/>
        <w:rPr>
          <w:rFonts w:ascii="宋体" w:hAnsi="宋体" w:cs="宋体"/>
          <w:color w:val="auto"/>
          <w:sz w:val="24"/>
          <w:highlight w:val="none"/>
        </w:rPr>
      </w:pPr>
      <w:r>
        <w:rPr>
          <w:rFonts w:hint="eastAsia" w:ascii="宋体" w:hAnsi="宋体" w:cs="宋体"/>
          <w:color w:val="auto"/>
          <w:sz w:val="24"/>
          <w:highlight w:val="none"/>
        </w:rPr>
        <w:t>委托代理人（身份证号码）：          （签字或盖章）</w:t>
      </w:r>
    </w:p>
    <w:p w14:paraId="794216BC">
      <w:pPr>
        <w:spacing w:line="400" w:lineRule="exact"/>
        <w:ind w:firstLine="4200" w:firstLineChars="1750"/>
        <w:rPr>
          <w:rFonts w:ascii="宋体" w:hAnsi="宋体" w:cs="宋体"/>
          <w:color w:val="auto"/>
          <w:sz w:val="24"/>
          <w:highlight w:val="none"/>
        </w:rPr>
      </w:pPr>
      <w:r>
        <w:rPr>
          <w:rFonts w:hint="eastAsia" w:ascii="宋体" w:hAnsi="宋体" w:cs="宋体"/>
          <w:color w:val="auto"/>
          <w:sz w:val="24"/>
          <w:highlight w:val="none"/>
        </w:rPr>
        <w:t>联系号码：</w:t>
      </w:r>
    </w:p>
    <w:p w14:paraId="776F13B8">
      <w:pPr>
        <w:spacing w:line="400" w:lineRule="exact"/>
        <w:ind w:firstLine="2280" w:firstLineChars="950"/>
        <w:rPr>
          <w:rFonts w:ascii="宋体" w:hAnsi="宋体" w:cs="宋体"/>
          <w:color w:val="auto"/>
          <w:sz w:val="24"/>
          <w:highlight w:val="none"/>
        </w:rPr>
      </w:pPr>
      <w:r>
        <w:rPr>
          <w:rFonts w:hint="eastAsia" w:ascii="宋体" w:hAnsi="宋体" w:cs="宋体"/>
          <w:color w:val="auto"/>
          <w:sz w:val="24"/>
          <w:highlight w:val="none"/>
        </w:rPr>
        <w:t xml:space="preserve">                  年    月    日</w:t>
      </w:r>
    </w:p>
    <w:p w14:paraId="7B54698F">
      <w:pPr>
        <w:spacing w:line="360" w:lineRule="auto"/>
        <w:jc w:val="center"/>
        <w:rPr>
          <w:rFonts w:ascii="宋体" w:hAnsi="宋体" w:cs="宋体"/>
          <w:b/>
          <w:color w:val="auto"/>
          <w:sz w:val="28"/>
          <w:szCs w:val="28"/>
          <w:highlight w:val="none"/>
        </w:rPr>
      </w:pPr>
    </w:p>
    <w:p w14:paraId="70628C8E">
      <w:pPr>
        <w:spacing w:line="360" w:lineRule="auto"/>
        <w:jc w:val="center"/>
        <w:rPr>
          <w:rFonts w:ascii="宋体" w:hAnsi="宋体" w:cs="宋体"/>
          <w:b/>
          <w:color w:val="auto"/>
          <w:sz w:val="28"/>
          <w:szCs w:val="28"/>
          <w:highlight w:val="none"/>
        </w:rPr>
      </w:pPr>
      <w:r>
        <w:rPr>
          <w:rFonts w:hint="eastAsia" w:ascii="宋体" w:hAnsi="宋体" w:cs="宋体"/>
          <w:b/>
          <w:color w:val="auto"/>
          <w:sz w:val="28"/>
          <w:szCs w:val="28"/>
          <w:highlight w:val="none"/>
        </w:rPr>
        <w:br w:type="page"/>
      </w:r>
      <w:r>
        <w:rPr>
          <w:rFonts w:hint="eastAsia" w:ascii="宋体" w:hAnsi="宋体" w:cs="宋体"/>
          <w:b/>
          <w:color w:val="auto"/>
          <w:sz w:val="28"/>
          <w:szCs w:val="28"/>
          <w:highlight w:val="none"/>
        </w:rPr>
        <w:t xml:space="preserve">（2）诚信投标承诺书 </w:t>
      </w:r>
    </w:p>
    <w:p w14:paraId="0FB71C4C">
      <w:pPr>
        <w:spacing w:line="560" w:lineRule="exact"/>
        <w:rPr>
          <w:rFonts w:ascii="宋体" w:hAnsi="宋体" w:cs="宋体"/>
          <w:color w:val="auto"/>
          <w:szCs w:val="21"/>
          <w:highlight w:val="none"/>
        </w:rPr>
      </w:pPr>
      <w:r>
        <w:rPr>
          <w:rFonts w:hint="eastAsia" w:ascii="宋体" w:hAnsi="宋体" w:cs="宋体"/>
          <w:b/>
          <w:color w:val="auto"/>
          <w:szCs w:val="21"/>
          <w:highlight w:val="none"/>
        </w:rPr>
        <w:t>本人以企业法定代表人的身份郑重承诺</w:t>
      </w:r>
      <w:r>
        <w:rPr>
          <w:rFonts w:hint="eastAsia" w:ascii="宋体" w:hAnsi="宋体" w:cs="宋体"/>
          <w:color w:val="auto"/>
          <w:szCs w:val="21"/>
          <w:highlight w:val="none"/>
        </w:rPr>
        <w:t>：</w:t>
      </w:r>
    </w:p>
    <w:p w14:paraId="7EC55B0F">
      <w:pPr>
        <w:spacing w:line="5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一、将遵循公开、公正和诚实信用的原则自愿参加</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项目的投标；</w:t>
      </w:r>
    </w:p>
    <w:p w14:paraId="74434B47">
      <w:pPr>
        <w:spacing w:line="5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二、所提供的一切材料都是真实、有效、合法的；</w:t>
      </w:r>
    </w:p>
    <w:p w14:paraId="54ABD44F">
      <w:pPr>
        <w:spacing w:line="5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三、不出借、转让资质证书，不让他人挂靠参选，不以他人名义参选或者以其他方式弄虚作假，骗取中标；</w:t>
      </w:r>
    </w:p>
    <w:p w14:paraId="5EFCBBBB">
      <w:pPr>
        <w:spacing w:line="5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四、不与其他投标企业相互串通参选报价，不排挤其他投标企业的公平竞争、损害项目单位的合法权益；</w:t>
      </w:r>
    </w:p>
    <w:p w14:paraId="20BAD764">
      <w:pPr>
        <w:spacing w:line="5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五、不与项目单位、代理机构或其他投标企业串通参选，损害国家利益、社会公共利益或者他人的合法权益；</w:t>
      </w:r>
    </w:p>
    <w:p w14:paraId="3AE5E4BB">
      <w:pPr>
        <w:spacing w:line="5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六、投标企业及其法定代表人、拟任项目负责人没有下列情形：1、被人民法院列入失信被执行人的；2、我公司及其法定代表人、拟任项目负责人近三年有行贿犯罪行为的；3、被市场监督管理部门列入经营异常名录或者严重违法企业名单的；4、被税务部门列入重大税收违法案件当事人的；5、在“信用中国”网站上披露仍在公示期内的严重失信行为的；6、被滁州市县两级各行业主管部门及公管部门取消在一定期限内的投标资格且在取消期限内的；7、被人力资源社会保障行政部门列入拖欠农民工工资“黑名单”的或因拖欠农民工工资被县级及以上有关行政主管部门限制投标资格且在限制期限内的。</w:t>
      </w:r>
    </w:p>
    <w:p w14:paraId="2084A5C3">
      <w:pPr>
        <w:spacing w:line="5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七、严格遵守开标现场纪律，服从监管人员管理；</w:t>
      </w:r>
    </w:p>
    <w:p w14:paraId="1BD7FCCA">
      <w:pPr>
        <w:spacing w:line="5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八、保证中标后不转包及使用挂靠施工队伍，若有分包征得建设单位同意；</w:t>
      </w:r>
    </w:p>
    <w:p w14:paraId="480987C8">
      <w:pPr>
        <w:spacing w:line="5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九、保证中标之后，按照招标文件承诺派驻管理人员及投入机械设备，如有违反，同意接受建设单位违约处罚；</w:t>
      </w:r>
    </w:p>
    <w:p w14:paraId="30AAD88D">
      <w:pPr>
        <w:spacing w:line="5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十、保证企业及所属相关人员在本次参选中无行贿等犯罪行为；</w:t>
      </w:r>
    </w:p>
    <w:p w14:paraId="25426B59">
      <w:pPr>
        <w:spacing w:line="5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十一、如在参选过程和公示期间发生投诉行为，依法进行投诉。投诉内容符合要求，投诉材料加盖企业公章或由法定代表人授权委托人签字，并附有关身份证明复印件。不恶意投诉，对本公司提供的投诉线索的真实性负责，否则愿接受有关部门的处罚。</w:t>
      </w:r>
    </w:p>
    <w:p w14:paraId="001CEBCF">
      <w:pPr>
        <w:spacing w:line="5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十二、如我公司中标，按照国务院《关于全面治理拖欠农民工工资问题的意见》（国办发〔2016〕1号）及国家住建部和人社部关于《建筑工人实名制管理办法》（建市〔2019〕18号）的规定，总承包单位对所承建的工程项目的建筑工人实名制管理负总责，对建筑工人实行实名制管理；实行人工费用与其他工程款分账管理制度；建筑工程承包单位必须开设农民工工资专户；建设单位在支付工程款时，应将人工费部分按规定汇入建筑工程承包单位的农民工工资专户，由建筑工程承包单位按劳动合同约定，通过农民工工资专户按月足额将工资发放给建筑工人。（本条不采用）</w:t>
      </w:r>
    </w:p>
    <w:p w14:paraId="708F19B2">
      <w:pPr>
        <w:spacing w:line="5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 以上内容我已仔细阅读，本公司若有违反承诺内容的行为，自愿依法接受取消投标或中标资格、中标无效、记入信用档案等有关处理，愿意承担法律责任，给项目单位造成损失的，依法承担赔偿责任。</w:t>
      </w:r>
    </w:p>
    <w:p w14:paraId="3CD9B608">
      <w:pPr>
        <w:spacing w:line="560" w:lineRule="exact"/>
        <w:ind w:firstLine="420" w:firstLineChars="200"/>
        <w:rPr>
          <w:rFonts w:ascii="宋体" w:hAnsi="宋体" w:cs="宋体"/>
          <w:color w:val="auto"/>
          <w:szCs w:val="21"/>
          <w:highlight w:val="none"/>
        </w:rPr>
      </w:pPr>
    </w:p>
    <w:p w14:paraId="07291638">
      <w:pPr>
        <w:pStyle w:val="43"/>
        <w:rPr>
          <w:rFonts w:ascii="宋体" w:hAnsi="宋体" w:cs="宋体"/>
          <w:color w:val="auto"/>
          <w:highlight w:val="none"/>
        </w:rPr>
      </w:pPr>
    </w:p>
    <w:p w14:paraId="4E46167E">
      <w:pPr>
        <w:pStyle w:val="43"/>
        <w:rPr>
          <w:rFonts w:ascii="宋体" w:hAnsi="宋体" w:cs="宋体"/>
          <w:color w:val="auto"/>
          <w:highlight w:val="none"/>
        </w:rPr>
      </w:pPr>
    </w:p>
    <w:p w14:paraId="71D9C9CB">
      <w:pPr>
        <w:spacing w:line="5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开户银行：                    基本账户：</w:t>
      </w:r>
    </w:p>
    <w:p w14:paraId="4B1F71C6">
      <w:pPr>
        <w:pStyle w:val="43"/>
        <w:rPr>
          <w:rFonts w:ascii="宋体" w:hAnsi="宋体" w:cs="宋体"/>
          <w:color w:val="auto"/>
          <w:highlight w:val="none"/>
        </w:rPr>
      </w:pPr>
    </w:p>
    <w:p w14:paraId="105C8AAE">
      <w:pPr>
        <w:spacing w:line="5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投标人（盖章）：              法定代表人或授权委托代理人（签字或盖章）：</w:t>
      </w:r>
    </w:p>
    <w:p w14:paraId="4940EF35">
      <w:pPr>
        <w:spacing w:line="400" w:lineRule="exact"/>
        <w:ind w:firstLine="3360" w:firstLineChars="1600"/>
        <w:rPr>
          <w:rFonts w:ascii="宋体" w:hAnsi="宋体" w:cs="宋体"/>
          <w:color w:val="auto"/>
          <w:szCs w:val="21"/>
          <w:highlight w:val="none"/>
        </w:rPr>
      </w:pPr>
    </w:p>
    <w:p w14:paraId="5B258E5B">
      <w:pPr>
        <w:spacing w:line="400" w:lineRule="exact"/>
        <w:ind w:firstLine="3570" w:firstLineChars="1700"/>
        <w:rPr>
          <w:rFonts w:ascii="宋体" w:hAnsi="宋体" w:cs="宋体"/>
          <w:color w:val="auto"/>
          <w:szCs w:val="21"/>
          <w:highlight w:val="none"/>
        </w:rPr>
      </w:pPr>
      <w:r>
        <w:rPr>
          <w:rFonts w:hint="eastAsia" w:ascii="宋体" w:hAnsi="宋体" w:cs="宋体"/>
          <w:color w:val="auto"/>
          <w:szCs w:val="21"/>
          <w:highlight w:val="none"/>
        </w:rPr>
        <w:t>日期：</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年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月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p>
    <w:p w14:paraId="4AD32B8C">
      <w:pPr>
        <w:spacing w:line="440" w:lineRule="exact"/>
        <w:ind w:firstLine="5565" w:firstLineChars="2650"/>
        <w:rPr>
          <w:rFonts w:ascii="宋体" w:hAnsi="宋体" w:cs="宋体"/>
          <w:color w:val="auto"/>
          <w:szCs w:val="21"/>
          <w:highlight w:val="none"/>
        </w:rPr>
      </w:pPr>
    </w:p>
    <w:p w14:paraId="223A88AE">
      <w:pPr>
        <w:spacing w:line="440" w:lineRule="exact"/>
        <w:ind w:firstLine="5565" w:firstLineChars="2650"/>
        <w:rPr>
          <w:rFonts w:ascii="宋体" w:hAnsi="宋体" w:cs="宋体"/>
          <w:color w:val="auto"/>
          <w:szCs w:val="21"/>
          <w:highlight w:val="none"/>
          <w:u w:val="single"/>
        </w:rPr>
      </w:pPr>
    </w:p>
    <w:p w14:paraId="3A9A477D">
      <w:pPr>
        <w:pStyle w:val="43"/>
        <w:rPr>
          <w:rFonts w:ascii="宋体" w:hAnsi="宋体" w:cs="宋体"/>
          <w:color w:val="auto"/>
          <w:szCs w:val="21"/>
          <w:highlight w:val="none"/>
          <w:u w:val="single"/>
        </w:rPr>
      </w:pPr>
    </w:p>
    <w:p w14:paraId="4BB55CCD">
      <w:pPr>
        <w:rPr>
          <w:rFonts w:ascii="宋体" w:hAnsi="宋体" w:cs="宋体"/>
          <w:color w:val="auto"/>
          <w:szCs w:val="21"/>
          <w:highlight w:val="none"/>
          <w:u w:val="single"/>
        </w:rPr>
      </w:pPr>
    </w:p>
    <w:p w14:paraId="07B60EE0">
      <w:pPr>
        <w:pStyle w:val="43"/>
        <w:rPr>
          <w:rFonts w:ascii="宋体" w:hAnsi="宋体" w:cs="宋体"/>
          <w:color w:val="auto"/>
          <w:szCs w:val="21"/>
          <w:highlight w:val="none"/>
          <w:u w:val="single"/>
        </w:rPr>
      </w:pPr>
    </w:p>
    <w:p w14:paraId="6E655827">
      <w:pPr>
        <w:rPr>
          <w:rFonts w:ascii="宋体" w:hAnsi="宋体" w:cs="宋体"/>
          <w:color w:val="auto"/>
          <w:szCs w:val="21"/>
          <w:highlight w:val="none"/>
          <w:u w:val="single"/>
        </w:rPr>
      </w:pPr>
    </w:p>
    <w:p w14:paraId="40F3B386">
      <w:pPr>
        <w:spacing w:line="360" w:lineRule="auto"/>
        <w:jc w:val="center"/>
        <w:rPr>
          <w:rFonts w:ascii="宋体" w:hAnsi="宋体" w:cs="宋体"/>
          <w:b/>
          <w:color w:val="auto"/>
          <w:sz w:val="28"/>
          <w:szCs w:val="28"/>
          <w:highlight w:val="none"/>
        </w:rPr>
      </w:pPr>
    </w:p>
    <w:p w14:paraId="603AF01F">
      <w:pPr>
        <w:spacing w:line="360" w:lineRule="auto"/>
        <w:jc w:val="center"/>
        <w:rPr>
          <w:rFonts w:ascii="宋体" w:hAnsi="宋体" w:cs="宋体"/>
          <w:b/>
          <w:color w:val="auto"/>
          <w:sz w:val="28"/>
          <w:szCs w:val="28"/>
          <w:highlight w:val="none"/>
        </w:rPr>
      </w:pPr>
    </w:p>
    <w:p w14:paraId="501ACA4D">
      <w:pPr>
        <w:spacing w:line="360" w:lineRule="auto"/>
        <w:jc w:val="center"/>
        <w:rPr>
          <w:rFonts w:ascii="宋体" w:hAnsi="宋体" w:cs="宋体"/>
          <w:b/>
          <w:color w:val="auto"/>
          <w:sz w:val="28"/>
          <w:szCs w:val="28"/>
          <w:highlight w:val="none"/>
        </w:rPr>
      </w:pPr>
    </w:p>
    <w:p w14:paraId="5A7D90EE">
      <w:pPr>
        <w:jc w:val="center"/>
        <w:rPr>
          <w:rFonts w:ascii="宋体" w:hAnsi="宋体" w:cs="宋体"/>
          <w:color w:val="auto"/>
          <w:sz w:val="24"/>
          <w:highlight w:val="none"/>
        </w:rPr>
      </w:pPr>
      <w:bookmarkStart w:id="740" w:name="_Toc25450"/>
      <w:r>
        <w:rPr>
          <w:rFonts w:hint="eastAsia" w:ascii="宋体" w:hAnsi="宋体" w:cs="宋体"/>
          <w:color w:val="auto"/>
          <w:sz w:val="28"/>
          <w:szCs w:val="28"/>
          <w:highlight w:val="none"/>
        </w:rPr>
        <w:br w:type="page"/>
      </w:r>
      <w:bookmarkEnd w:id="737"/>
      <w:bookmarkEnd w:id="738"/>
      <w:bookmarkEnd w:id="739"/>
      <w:bookmarkEnd w:id="740"/>
      <w:bookmarkStart w:id="741" w:name="_Toc35864597"/>
      <w:bookmarkStart w:id="742" w:name="_Toc19487_WPSOffice_Level1"/>
      <w:bookmarkStart w:id="743" w:name="_Toc7702"/>
      <w:bookmarkStart w:id="744" w:name="_Toc29328_WPSOffice_Level1"/>
      <w:r>
        <w:rPr>
          <w:rFonts w:hint="eastAsia" w:ascii="宋体" w:hAnsi="宋体" w:cs="宋体"/>
          <w:b/>
          <w:color w:val="auto"/>
          <w:sz w:val="28"/>
          <w:szCs w:val="28"/>
          <w:highlight w:val="none"/>
          <w:lang w:val="en-US" w:eastAsia="zh-CN" w:bidi="ar"/>
        </w:rPr>
        <w:t>二</w:t>
      </w:r>
      <w:r>
        <w:rPr>
          <w:rFonts w:hint="eastAsia" w:ascii="宋体" w:hAnsi="宋体" w:cs="宋体"/>
          <w:b/>
          <w:color w:val="auto"/>
          <w:sz w:val="28"/>
          <w:szCs w:val="28"/>
          <w:highlight w:val="none"/>
          <w:lang w:bidi="ar"/>
        </w:rPr>
        <w:t>、商务标格式文件</w:t>
      </w:r>
    </w:p>
    <w:p w14:paraId="1E2DF126">
      <w:pPr>
        <w:jc w:val="center"/>
        <w:rPr>
          <w:rFonts w:ascii="宋体" w:hAnsi="宋体" w:cs="宋体"/>
          <w:color w:val="auto"/>
          <w:sz w:val="20"/>
          <w:szCs w:val="20"/>
          <w:highlight w:val="none"/>
        </w:rPr>
      </w:pPr>
      <w:r>
        <w:rPr>
          <w:rFonts w:hint="eastAsia" w:ascii="宋体" w:hAnsi="宋体" w:cs="宋体"/>
          <w:color w:val="auto"/>
          <w:sz w:val="20"/>
          <w:szCs w:val="20"/>
          <w:highlight w:val="none"/>
          <w:lang w:bidi="ar"/>
        </w:rPr>
        <w:t xml:space="preserve"> </w:t>
      </w:r>
    </w:p>
    <w:p w14:paraId="63890DDA">
      <w:pPr>
        <w:rPr>
          <w:rFonts w:ascii="宋体" w:hAnsi="宋体" w:cs="宋体"/>
          <w:color w:val="auto"/>
          <w:sz w:val="20"/>
          <w:szCs w:val="20"/>
          <w:highlight w:val="none"/>
        </w:rPr>
      </w:pPr>
      <w:r>
        <w:rPr>
          <w:rFonts w:hint="eastAsia" w:ascii="宋体" w:hAnsi="宋体" w:cs="宋体"/>
          <w:color w:val="auto"/>
          <w:sz w:val="20"/>
          <w:szCs w:val="20"/>
          <w:highlight w:val="none"/>
          <w:lang w:bidi="ar"/>
        </w:rPr>
        <w:t xml:space="preserve"> </w:t>
      </w:r>
    </w:p>
    <w:p w14:paraId="1BE5563D">
      <w:pPr>
        <w:pStyle w:val="40"/>
        <w:widowControl w:val="0"/>
        <w:spacing w:before="100" w:beforeAutospacing="1" w:after="120"/>
        <w:ind w:left="420" w:leftChars="200" w:firstLine="420" w:firstLineChars="200"/>
        <w:jc w:val="both"/>
        <w:rPr>
          <w:color w:val="auto"/>
          <w:kern w:val="2"/>
          <w:sz w:val="21"/>
          <w:szCs w:val="21"/>
          <w:highlight w:val="none"/>
        </w:rPr>
      </w:pPr>
      <w:r>
        <w:rPr>
          <w:rFonts w:hint="eastAsia"/>
          <w:color w:val="auto"/>
          <w:kern w:val="2"/>
          <w:sz w:val="21"/>
          <w:szCs w:val="21"/>
          <w:highlight w:val="none"/>
          <w:lang w:bidi="ar"/>
        </w:rPr>
        <w:t xml:space="preserve"> </w:t>
      </w:r>
    </w:p>
    <w:p w14:paraId="482A272B">
      <w:pPr>
        <w:jc w:val="center"/>
        <w:rPr>
          <w:rFonts w:ascii="宋体" w:hAnsi="宋体" w:cs="宋体"/>
          <w:b/>
          <w:color w:val="auto"/>
          <w:sz w:val="44"/>
          <w:szCs w:val="44"/>
          <w:highlight w:val="none"/>
        </w:rPr>
      </w:pPr>
      <w:r>
        <w:rPr>
          <w:rFonts w:hint="eastAsia" w:ascii="宋体" w:hAnsi="宋体" w:cs="宋体"/>
          <w:b/>
          <w:color w:val="auto"/>
          <w:sz w:val="44"/>
          <w:szCs w:val="44"/>
          <w:highlight w:val="none"/>
          <w:lang w:bidi="ar"/>
        </w:rPr>
        <w:t>商务标</w:t>
      </w:r>
    </w:p>
    <w:p w14:paraId="142D81A1">
      <w:pPr>
        <w:jc w:val="center"/>
        <w:rPr>
          <w:rFonts w:ascii="宋体" w:hAnsi="宋体" w:cs="宋体"/>
          <w:color w:val="auto"/>
          <w:sz w:val="36"/>
          <w:szCs w:val="36"/>
          <w:highlight w:val="none"/>
        </w:rPr>
      </w:pPr>
      <w:r>
        <w:rPr>
          <w:rFonts w:hint="eastAsia" w:ascii="宋体" w:hAnsi="宋体" w:cs="宋体"/>
          <w:color w:val="auto"/>
          <w:sz w:val="44"/>
          <w:szCs w:val="44"/>
          <w:highlight w:val="none"/>
          <w:lang w:bidi="ar"/>
        </w:rPr>
        <w:t>（</w:t>
      </w:r>
      <w:r>
        <w:rPr>
          <w:rFonts w:hint="eastAsia" w:ascii="宋体" w:hAnsi="宋体" w:cs="宋体"/>
          <w:color w:val="auto"/>
          <w:sz w:val="36"/>
          <w:szCs w:val="36"/>
          <w:highlight w:val="none"/>
          <w:lang w:bidi="ar"/>
        </w:rPr>
        <w:t>投标文件</w:t>
      </w:r>
      <w:r>
        <w:rPr>
          <w:rFonts w:hint="eastAsia" w:ascii="宋体" w:hAnsi="宋体" w:cs="宋体"/>
          <w:color w:val="auto"/>
          <w:sz w:val="36"/>
          <w:szCs w:val="36"/>
          <w:highlight w:val="none"/>
          <w:lang w:val="en-US" w:eastAsia="zh-CN" w:bidi="ar"/>
        </w:rPr>
        <w:t>二</w:t>
      </w:r>
      <w:r>
        <w:rPr>
          <w:rFonts w:hint="eastAsia" w:ascii="宋体" w:hAnsi="宋体" w:cs="宋体"/>
          <w:color w:val="auto"/>
          <w:sz w:val="36"/>
          <w:szCs w:val="36"/>
          <w:highlight w:val="none"/>
          <w:lang w:bidi="ar"/>
        </w:rPr>
        <w:t>）</w:t>
      </w:r>
    </w:p>
    <w:p w14:paraId="30D2AB45">
      <w:pPr>
        <w:jc w:val="center"/>
        <w:rPr>
          <w:rFonts w:ascii="宋体" w:hAnsi="宋体" w:cs="宋体"/>
          <w:color w:val="auto"/>
          <w:sz w:val="36"/>
          <w:szCs w:val="36"/>
          <w:highlight w:val="none"/>
        </w:rPr>
      </w:pPr>
      <w:r>
        <w:rPr>
          <w:rFonts w:hint="eastAsia" w:ascii="宋体" w:hAnsi="宋体" w:cs="宋体"/>
          <w:color w:val="auto"/>
          <w:sz w:val="36"/>
          <w:szCs w:val="36"/>
          <w:highlight w:val="none"/>
          <w:lang w:bidi="ar"/>
        </w:rPr>
        <w:t xml:space="preserve"> </w:t>
      </w:r>
    </w:p>
    <w:p w14:paraId="1D014F3C">
      <w:pPr>
        <w:jc w:val="center"/>
        <w:rPr>
          <w:rFonts w:ascii="宋体" w:hAnsi="宋体" w:cs="宋体"/>
          <w:color w:val="auto"/>
          <w:sz w:val="32"/>
          <w:szCs w:val="32"/>
          <w:highlight w:val="none"/>
          <w:u w:val="single"/>
        </w:rPr>
      </w:pPr>
    </w:p>
    <w:p w14:paraId="56496A1E">
      <w:pPr>
        <w:jc w:val="center"/>
        <w:rPr>
          <w:rFonts w:ascii="宋体" w:hAnsi="宋体" w:cs="宋体"/>
          <w:color w:val="auto"/>
          <w:sz w:val="32"/>
          <w:szCs w:val="32"/>
          <w:highlight w:val="none"/>
        </w:rPr>
      </w:pPr>
      <w:r>
        <w:rPr>
          <w:rFonts w:hint="eastAsia" w:ascii="宋体" w:hAnsi="宋体" w:cs="宋体"/>
          <w:color w:val="auto"/>
          <w:sz w:val="32"/>
          <w:szCs w:val="32"/>
          <w:highlight w:val="none"/>
          <w:u w:val="single"/>
          <w:lang w:bidi="ar"/>
        </w:rPr>
        <w:t xml:space="preserve">        </w:t>
      </w:r>
      <w:r>
        <w:rPr>
          <w:rFonts w:hint="eastAsia" w:ascii="宋体" w:hAnsi="宋体" w:cs="宋体"/>
          <w:color w:val="auto"/>
          <w:sz w:val="32"/>
          <w:szCs w:val="32"/>
          <w:highlight w:val="none"/>
          <w:lang w:bidi="ar"/>
        </w:rPr>
        <w:t>项目</w:t>
      </w:r>
    </w:p>
    <w:p w14:paraId="5978D903">
      <w:pPr>
        <w:rPr>
          <w:rFonts w:ascii="宋体" w:hAnsi="宋体" w:cs="宋体"/>
          <w:color w:val="auto"/>
          <w:sz w:val="28"/>
          <w:szCs w:val="28"/>
          <w:highlight w:val="none"/>
          <w:lang w:bidi="ar"/>
        </w:rPr>
      </w:pPr>
    </w:p>
    <w:p w14:paraId="0C2A394F">
      <w:pPr>
        <w:rPr>
          <w:rFonts w:ascii="宋体" w:hAnsi="宋体" w:cs="宋体"/>
          <w:color w:val="auto"/>
          <w:sz w:val="28"/>
          <w:szCs w:val="28"/>
          <w:highlight w:val="none"/>
        </w:rPr>
      </w:pPr>
      <w:r>
        <w:rPr>
          <w:rFonts w:hint="eastAsia" w:ascii="宋体" w:hAnsi="宋体" w:cs="宋体"/>
          <w:color w:val="auto"/>
          <w:sz w:val="28"/>
          <w:szCs w:val="28"/>
          <w:highlight w:val="none"/>
          <w:lang w:bidi="ar"/>
        </w:rPr>
        <w:t xml:space="preserve"> </w:t>
      </w:r>
    </w:p>
    <w:p w14:paraId="4AE550C8">
      <w:pPr>
        <w:rPr>
          <w:rFonts w:ascii="宋体" w:hAnsi="宋体" w:cs="宋体"/>
          <w:color w:val="auto"/>
          <w:sz w:val="28"/>
          <w:szCs w:val="28"/>
          <w:highlight w:val="none"/>
        </w:rPr>
      </w:pPr>
      <w:r>
        <w:rPr>
          <w:rFonts w:hint="eastAsia" w:ascii="宋体" w:hAnsi="宋体" w:cs="宋体"/>
          <w:color w:val="auto"/>
          <w:sz w:val="28"/>
          <w:szCs w:val="28"/>
          <w:highlight w:val="none"/>
          <w:lang w:bidi="ar"/>
        </w:rPr>
        <w:t xml:space="preserve"> </w:t>
      </w:r>
    </w:p>
    <w:p w14:paraId="5A58F4A0">
      <w:pPr>
        <w:rPr>
          <w:rFonts w:ascii="宋体" w:hAnsi="宋体" w:cs="宋体"/>
          <w:color w:val="auto"/>
          <w:sz w:val="28"/>
          <w:szCs w:val="28"/>
          <w:highlight w:val="none"/>
        </w:rPr>
      </w:pPr>
      <w:r>
        <w:rPr>
          <w:rFonts w:hint="eastAsia" w:ascii="宋体" w:hAnsi="宋体" w:cs="宋体"/>
          <w:color w:val="auto"/>
          <w:sz w:val="28"/>
          <w:szCs w:val="28"/>
          <w:highlight w:val="none"/>
          <w:lang w:bidi="ar"/>
        </w:rPr>
        <w:t xml:space="preserve"> </w:t>
      </w:r>
    </w:p>
    <w:p w14:paraId="21AD9484">
      <w:pPr>
        <w:rPr>
          <w:rFonts w:ascii="宋体" w:hAnsi="宋体" w:cs="宋体"/>
          <w:color w:val="auto"/>
          <w:sz w:val="28"/>
          <w:szCs w:val="28"/>
          <w:highlight w:val="none"/>
        </w:rPr>
      </w:pPr>
      <w:r>
        <w:rPr>
          <w:rFonts w:hint="eastAsia" w:ascii="宋体" w:hAnsi="宋体" w:cs="宋体"/>
          <w:color w:val="auto"/>
          <w:sz w:val="28"/>
          <w:szCs w:val="28"/>
          <w:highlight w:val="none"/>
          <w:lang w:bidi="ar"/>
        </w:rPr>
        <w:t xml:space="preserve"> </w:t>
      </w:r>
    </w:p>
    <w:p w14:paraId="1B273F22">
      <w:pPr>
        <w:rPr>
          <w:rFonts w:ascii="宋体" w:hAnsi="宋体" w:cs="宋体"/>
          <w:color w:val="auto"/>
          <w:sz w:val="28"/>
          <w:szCs w:val="28"/>
          <w:highlight w:val="none"/>
        </w:rPr>
      </w:pPr>
      <w:r>
        <w:rPr>
          <w:rFonts w:hint="eastAsia" w:ascii="宋体" w:hAnsi="宋体" w:cs="宋体"/>
          <w:color w:val="auto"/>
          <w:sz w:val="28"/>
          <w:szCs w:val="28"/>
          <w:highlight w:val="none"/>
          <w:lang w:bidi="ar"/>
        </w:rPr>
        <w:t xml:space="preserve"> </w:t>
      </w:r>
    </w:p>
    <w:p w14:paraId="4BADB126">
      <w:pPr>
        <w:rPr>
          <w:rFonts w:ascii="宋体" w:hAnsi="宋体" w:cs="宋体"/>
          <w:color w:val="auto"/>
          <w:sz w:val="28"/>
          <w:szCs w:val="28"/>
          <w:highlight w:val="none"/>
        </w:rPr>
      </w:pPr>
      <w:r>
        <w:rPr>
          <w:rFonts w:hint="eastAsia" w:ascii="宋体" w:hAnsi="宋体" w:cs="宋体"/>
          <w:color w:val="auto"/>
          <w:sz w:val="28"/>
          <w:szCs w:val="28"/>
          <w:highlight w:val="none"/>
          <w:lang w:bidi="ar"/>
        </w:rPr>
        <w:t xml:space="preserve"> </w:t>
      </w:r>
    </w:p>
    <w:p w14:paraId="6171E8AD">
      <w:pPr>
        <w:rPr>
          <w:rFonts w:ascii="宋体" w:hAnsi="宋体" w:cs="宋体"/>
          <w:color w:val="auto"/>
          <w:sz w:val="28"/>
          <w:szCs w:val="28"/>
          <w:highlight w:val="none"/>
        </w:rPr>
      </w:pPr>
      <w:r>
        <w:rPr>
          <w:rFonts w:hint="eastAsia" w:ascii="宋体" w:hAnsi="宋体" w:cs="宋体"/>
          <w:color w:val="auto"/>
          <w:sz w:val="28"/>
          <w:szCs w:val="28"/>
          <w:highlight w:val="none"/>
          <w:lang w:bidi="ar"/>
        </w:rPr>
        <w:t xml:space="preserve"> </w:t>
      </w:r>
    </w:p>
    <w:p w14:paraId="69F827EF">
      <w:pPr>
        <w:jc w:val="center"/>
        <w:rPr>
          <w:rFonts w:ascii="宋体" w:hAnsi="宋体" w:cs="宋体"/>
          <w:color w:val="auto"/>
          <w:sz w:val="28"/>
          <w:szCs w:val="28"/>
          <w:highlight w:val="none"/>
          <w:u w:val="single"/>
        </w:rPr>
      </w:pPr>
      <w:r>
        <w:rPr>
          <w:rFonts w:hint="eastAsia" w:ascii="宋体" w:hAnsi="宋体" w:cs="宋体"/>
          <w:color w:val="auto"/>
          <w:sz w:val="28"/>
          <w:szCs w:val="28"/>
          <w:highlight w:val="none"/>
          <w:lang w:bidi="ar"/>
        </w:rPr>
        <w:t>投标人：</w:t>
      </w:r>
      <w:r>
        <w:rPr>
          <w:rFonts w:hint="eastAsia" w:ascii="宋体" w:hAnsi="宋体" w:cs="宋体"/>
          <w:color w:val="auto"/>
          <w:sz w:val="28"/>
          <w:szCs w:val="28"/>
          <w:highlight w:val="none"/>
          <w:u w:val="single"/>
          <w:lang w:bidi="ar"/>
        </w:rPr>
        <w:t xml:space="preserve">                              </w:t>
      </w:r>
      <w:r>
        <w:rPr>
          <w:rFonts w:hint="eastAsia" w:ascii="宋体" w:hAnsi="宋体" w:cs="宋体"/>
          <w:color w:val="auto"/>
          <w:sz w:val="28"/>
          <w:szCs w:val="28"/>
          <w:highlight w:val="none"/>
          <w:lang w:bidi="ar"/>
        </w:rPr>
        <w:t>（盖章）</w:t>
      </w:r>
    </w:p>
    <w:p w14:paraId="7020FC06">
      <w:pPr>
        <w:ind w:firstLine="700" w:firstLineChars="250"/>
        <w:rPr>
          <w:rFonts w:ascii="宋体" w:hAnsi="宋体" w:cs="宋体"/>
          <w:color w:val="auto"/>
          <w:sz w:val="28"/>
          <w:szCs w:val="28"/>
          <w:highlight w:val="none"/>
        </w:rPr>
      </w:pPr>
      <w:r>
        <w:rPr>
          <w:rFonts w:hint="eastAsia" w:ascii="宋体" w:hAnsi="宋体" w:cs="宋体"/>
          <w:color w:val="auto"/>
          <w:sz w:val="28"/>
          <w:szCs w:val="28"/>
          <w:highlight w:val="none"/>
          <w:lang w:bidi="ar"/>
        </w:rPr>
        <w:t>法定代表人：</w:t>
      </w:r>
      <w:r>
        <w:rPr>
          <w:rFonts w:hint="eastAsia" w:ascii="宋体" w:hAnsi="宋体" w:cs="宋体"/>
          <w:color w:val="auto"/>
          <w:sz w:val="28"/>
          <w:szCs w:val="28"/>
          <w:highlight w:val="none"/>
          <w:u w:val="single"/>
          <w:lang w:bidi="ar"/>
        </w:rPr>
        <w:t xml:space="preserve">                             </w:t>
      </w:r>
      <w:r>
        <w:rPr>
          <w:rFonts w:hint="eastAsia" w:ascii="宋体" w:hAnsi="宋体" w:cs="宋体"/>
          <w:color w:val="auto"/>
          <w:sz w:val="28"/>
          <w:szCs w:val="28"/>
          <w:highlight w:val="none"/>
          <w:lang w:bidi="ar"/>
        </w:rPr>
        <w:t>（签字或盖章）</w:t>
      </w:r>
    </w:p>
    <w:p w14:paraId="3C716A37">
      <w:pPr>
        <w:jc w:val="center"/>
        <w:rPr>
          <w:rFonts w:ascii="宋体" w:hAnsi="宋体" w:cs="宋体"/>
          <w:color w:val="auto"/>
          <w:sz w:val="28"/>
          <w:szCs w:val="28"/>
          <w:highlight w:val="none"/>
        </w:rPr>
      </w:pPr>
      <w:r>
        <w:rPr>
          <w:rFonts w:hint="eastAsia" w:ascii="宋体" w:hAnsi="宋体" w:cs="宋体"/>
          <w:color w:val="auto"/>
          <w:sz w:val="28"/>
          <w:szCs w:val="28"/>
          <w:highlight w:val="none"/>
          <w:u w:val="single"/>
          <w:lang w:bidi="ar"/>
        </w:rPr>
        <w:t xml:space="preserve">        </w:t>
      </w:r>
      <w:r>
        <w:rPr>
          <w:rFonts w:hint="eastAsia" w:ascii="宋体" w:hAnsi="宋体" w:cs="宋体"/>
          <w:color w:val="auto"/>
          <w:sz w:val="28"/>
          <w:szCs w:val="28"/>
          <w:highlight w:val="none"/>
          <w:lang w:bidi="ar"/>
        </w:rPr>
        <w:t>年</w:t>
      </w:r>
      <w:r>
        <w:rPr>
          <w:rFonts w:hint="eastAsia" w:ascii="宋体" w:hAnsi="宋体" w:cs="宋体"/>
          <w:color w:val="auto"/>
          <w:sz w:val="28"/>
          <w:szCs w:val="28"/>
          <w:highlight w:val="none"/>
          <w:u w:val="single"/>
          <w:lang w:bidi="ar"/>
        </w:rPr>
        <w:t xml:space="preserve">     </w:t>
      </w:r>
      <w:r>
        <w:rPr>
          <w:rFonts w:hint="eastAsia" w:ascii="宋体" w:hAnsi="宋体" w:cs="宋体"/>
          <w:color w:val="auto"/>
          <w:sz w:val="28"/>
          <w:szCs w:val="28"/>
          <w:highlight w:val="none"/>
          <w:lang w:bidi="ar"/>
        </w:rPr>
        <w:t>月</w:t>
      </w:r>
      <w:r>
        <w:rPr>
          <w:rFonts w:hint="eastAsia" w:ascii="宋体" w:hAnsi="宋体" w:cs="宋体"/>
          <w:color w:val="auto"/>
          <w:sz w:val="28"/>
          <w:szCs w:val="28"/>
          <w:highlight w:val="none"/>
          <w:u w:val="single"/>
          <w:lang w:bidi="ar"/>
        </w:rPr>
        <w:t xml:space="preserve">     </w:t>
      </w:r>
      <w:r>
        <w:rPr>
          <w:rFonts w:hint="eastAsia" w:ascii="宋体" w:hAnsi="宋体" w:cs="宋体"/>
          <w:color w:val="auto"/>
          <w:sz w:val="28"/>
          <w:szCs w:val="28"/>
          <w:highlight w:val="none"/>
          <w:lang w:bidi="ar"/>
        </w:rPr>
        <w:t>日</w:t>
      </w:r>
    </w:p>
    <w:p w14:paraId="66049985">
      <w:pPr>
        <w:widowControl/>
        <w:spacing w:line="480" w:lineRule="exact"/>
        <w:ind w:firstLine="420" w:firstLineChars="200"/>
        <w:jc w:val="left"/>
        <w:rPr>
          <w:rFonts w:ascii="宋体" w:hAnsi="宋体" w:cs="宋体"/>
          <w:color w:val="auto"/>
          <w:kern w:val="0"/>
          <w:szCs w:val="21"/>
          <w:highlight w:val="none"/>
        </w:rPr>
      </w:pPr>
    </w:p>
    <w:p w14:paraId="59825F7A">
      <w:pPr>
        <w:spacing w:line="400" w:lineRule="exact"/>
        <w:jc w:val="center"/>
        <w:rPr>
          <w:rFonts w:ascii="宋体" w:hAnsi="宋体" w:cs="宋体"/>
          <w:b/>
          <w:color w:val="auto"/>
          <w:sz w:val="36"/>
          <w:szCs w:val="36"/>
          <w:highlight w:val="none"/>
        </w:rPr>
      </w:pPr>
      <w:r>
        <w:rPr>
          <w:rFonts w:hint="eastAsia" w:ascii="宋体" w:hAnsi="宋体" w:cs="宋体"/>
          <w:color w:val="auto"/>
          <w:kern w:val="0"/>
          <w:szCs w:val="21"/>
          <w:highlight w:val="none"/>
        </w:rPr>
        <w:br w:type="page"/>
      </w:r>
      <w:r>
        <w:rPr>
          <w:rFonts w:hint="eastAsia" w:ascii="宋体" w:hAnsi="宋体" w:cs="宋体"/>
          <w:b/>
          <w:color w:val="auto"/>
          <w:sz w:val="36"/>
          <w:szCs w:val="36"/>
          <w:highlight w:val="none"/>
          <w:lang w:bidi="ar"/>
        </w:rPr>
        <w:t>目   录</w:t>
      </w:r>
    </w:p>
    <w:p w14:paraId="7995B531">
      <w:pPr>
        <w:spacing w:line="400" w:lineRule="exact"/>
        <w:ind w:firstLine="4130" w:firstLineChars="935"/>
        <w:rPr>
          <w:rFonts w:ascii="宋体" w:hAnsi="宋体" w:cs="宋体"/>
          <w:b/>
          <w:color w:val="auto"/>
          <w:sz w:val="44"/>
          <w:szCs w:val="44"/>
          <w:highlight w:val="none"/>
        </w:rPr>
      </w:pPr>
      <w:r>
        <w:rPr>
          <w:rFonts w:hint="eastAsia" w:ascii="宋体" w:hAnsi="宋体" w:cs="宋体"/>
          <w:b/>
          <w:color w:val="auto"/>
          <w:sz w:val="44"/>
          <w:szCs w:val="44"/>
          <w:highlight w:val="none"/>
          <w:lang w:bidi="ar"/>
        </w:rPr>
        <w:t xml:space="preserve"> </w:t>
      </w:r>
    </w:p>
    <w:p w14:paraId="7F550BE3">
      <w:pPr>
        <w:spacing w:line="440" w:lineRule="exact"/>
        <w:ind w:left="420"/>
        <w:jc w:val="left"/>
        <w:rPr>
          <w:rFonts w:ascii="宋体" w:hAnsi="宋体" w:cs="宋体"/>
          <w:color w:val="auto"/>
          <w:szCs w:val="21"/>
          <w:highlight w:val="none"/>
        </w:rPr>
      </w:pPr>
      <w:r>
        <w:rPr>
          <w:rFonts w:hint="eastAsia" w:ascii="宋体" w:hAnsi="宋体" w:cs="宋体"/>
          <w:color w:val="auto"/>
          <w:szCs w:val="21"/>
          <w:highlight w:val="none"/>
          <w:lang w:bidi="ar"/>
        </w:rPr>
        <w:t>（1）投标函（格式见附件）；</w:t>
      </w:r>
    </w:p>
    <w:p w14:paraId="7CB603AA">
      <w:pPr>
        <w:spacing w:line="440" w:lineRule="exact"/>
        <w:ind w:left="420"/>
        <w:jc w:val="left"/>
        <w:rPr>
          <w:rFonts w:ascii="宋体" w:hAnsi="宋体" w:cs="宋体"/>
          <w:color w:val="auto"/>
          <w:szCs w:val="21"/>
          <w:highlight w:val="none"/>
          <w:lang w:bidi="ar"/>
        </w:rPr>
      </w:pPr>
      <w:r>
        <w:rPr>
          <w:rFonts w:hint="eastAsia" w:ascii="宋体" w:hAnsi="宋体" w:cs="宋体"/>
          <w:color w:val="auto"/>
          <w:szCs w:val="21"/>
          <w:highlight w:val="none"/>
          <w:lang w:bidi="ar"/>
        </w:rPr>
        <w:t>（2）分项报价清单（格式见附件）；</w:t>
      </w:r>
    </w:p>
    <w:p w14:paraId="6DB788DE">
      <w:pPr>
        <w:spacing w:line="440" w:lineRule="exact"/>
        <w:ind w:left="420"/>
        <w:jc w:val="left"/>
        <w:rPr>
          <w:rFonts w:ascii="宋体" w:hAnsi="宋体" w:cs="宋体"/>
          <w:color w:val="auto"/>
          <w:szCs w:val="21"/>
          <w:highlight w:val="none"/>
        </w:rPr>
      </w:pPr>
      <w:r>
        <w:rPr>
          <w:rFonts w:hint="eastAsia" w:ascii="宋体" w:hAnsi="宋体" w:cs="宋体"/>
          <w:color w:val="auto"/>
          <w:szCs w:val="21"/>
          <w:highlight w:val="none"/>
          <w:lang w:bidi="ar"/>
        </w:rPr>
        <w:t>（3）投标人认为需要提供的其他材料（如有）。</w:t>
      </w:r>
    </w:p>
    <w:p w14:paraId="350A8D15">
      <w:pPr>
        <w:spacing w:line="440" w:lineRule="exact"/>
        <w:ind w:firstLine="424" w:firstLineChars="202"/>
        <w:jc w:val="left"/>
        <w:rPr>
          <w:rFonts w:ascii="宋体" w:hAnsi="宋体" w:cs="宋体"/>
          <w:color w:val="auto"/>
          <w:szCs w:val="21"/>
          <w:highlight w:val="none"/>
        </w:rPr>
      </w:pPr>
    </w:p>
    <w:p w14:paraId="70D32FC6">
      <w:pPr>
        <w:widowControl/>
        <w:spacing w:line="480" w:lineRule="exact"/>
        <w:ind w:firstLine="420" w:firstLineChars="200"/>
        <w:jc w:val="left"/>
        <w:rPr>
          <w:rFonts w:ascii="宋体" w:hAnsi="宋体" w:cs="宋体"/>
          <w:color w:val="auto"/>
          <w:kern w:val="0"/>
          <w:szCs w:val="21"/>
          <w:highlight w:val="none"/>
        </w:rPr>
      </w:pPr>
    </w:p>
    <w:p w14:paraId="70DCB444">
      <w:pPr>
        <w:widowControl/>
        <w:spacing w:line="480" w:lineRule="exact"/>
        <w:ind w:firstLine="420" w:firstLineChars="200"/>
        <w:jc w:val="left"/>
        <w:rPr>
          <w:rFonts w:ascii="宋体" w:hAnsi="宋体" w:cs="宋体"/>
          <w:color w:val="auto"/>
          <w:kern w:val="0"/>
          <w:szCs w:val="21"/>
          <w:highlight w:val="none"/>
        </w:rPr>
      </w:pPr>
    </w:p>
    <w:p w14:paraId="5DFC7FED">
      <w:pPr>
        <w:widowControl/>
        <w:spacing w:line="480" w:lineRule="exact"/>
        <w:ind w:firstLine="420" w:firstLineChars="200"/>
        <w:jc w:val="left"/>
        <w:rPr>
          <w:rFonts w:ascii="宋体" w:hAnsi="宋体" w:cs="宋体"/>
          <w:color w:val="auto"/>
          <w:kern w:val="0"/>
          <w:szCs w:val="21"/>
          <w:highlight w:val="none"/>
        </w:rPr>
      </w:pPr>
    </w:p>
    <w:p w14:paraId="3AC47E3D">
      <w:pPr>
        <w:widowControl/>
        <w:spacing w:line="480" w:lineRule="exact"/>
        <w:ind w:firstLine="420" w:firstLineChars="200"/>
        <w:jc w:val="left"/>
        <w:rPr>
          <w:rFonts w:ascii="宋体" w:hAnsi="宋体" w:cs="宋体"/>
          <w:color w:val="auto"/>
          <w:kern w:val="0"/>
          <w:szCs w:val="21"/>
          <w:highlight w:val="none"/>
        </w:rPr>
      </w:pPr>
    </w:p>
    <w:p w14:paraId="1F2BCD84">
      <w:pPr>
        <w:jc w:val="center"/>
        <w:rPr>
          <w:rFonts w:ascii="宋体" w:hAnsi="宋体" w:cs="宋体"/>
          <w:b/>
          <w:color w:val="auto"/>
          <w:sz w:val="44"/>
          <w:szCs w:val="44"/>
          <w:highlight w:val="none"/>
        </w:rPr>
      </w:pPr>
      <w:r>
        <w:rPr>
          <w:rFonts w:hint="eastAsia" w:ascii="宋体" w:hAnsi="宋体" w:cs="宋体"/>
          <w:color w:val="auto"/>
          <w:kern w:val="0"/>
          <w:szCs w:val="21"/>
          <w:highlight w:val="none"/>
        </w:rPr>
        <w:br w:type="page"/>
      </w:r>
      <w:r>
        <w:rPr>
          <w:rFonts w:hint="eastAsia" w:ascii="宋体" w:hAnsi="宋体" w:cs="宋体"/>
          <w:b/>
          <w:color w:val="auto"/>
          <w:sz w:val="32"/>
          <w:szCs w:val="32"/>
          <w:highlight w:val="none"/>
          <w:lang w:bidi="ar"/>
        </w:rPr>
        <w:t xml:space="preserve"> （1）投 标 函</w:t>
      </w:r>
    </w:p>
    <w:p w14:paraId="6E78153F">
      <w:pPr>
        <w:spacing w:line="560" w:lineRule="exact"/>
        <w:rPr>
          <w:rFonts w:ascii="宋体" w:hAnsi="宋体" w:cs="宋体"/>
          <w:color w:val="auto"/>
          <w:szCs w:val="21"/>
          <w:highlight w:val="none"/>
          <w:u w:val="single"/>
        </w:rPr>
      </w:pPr>
      <w:r>
        <w:rPr>
          <w:rFonts w:hint="eastAsia" w:ascii="宋体" w:hAnsi="宋体" w:cs="宋体"/>
          <w:color w:val="auto"/>
          <w:szCs w:val="21"/>
          <w:highlight w:val="none"/>
          <w:lang w:bidi="ar"/>
        </w:rPr>
        <w:t>致：</w:t>
      </w:r>
      <w:r>
        <w:rPr>
          <w:rFonts w:hint="eastAsia" w:ascii="宋体" w:hAnsi="宋体" w:cs="宋体"/>
          <w:color w:val="auto"/>
          <w:szCs w:val="21"/>
          <w:highlight w:val="none"/>
          <w:u w:val="single"/>
          <w:lang w:bidi="ar"/>
        </w:rPr>
        <w:t xml:space="preserve">                                   </w:t>
      </w:r>
    </w:p>
    <w:p w14:paraId="0FD3F8FE">
      <w:pPr>
        <w:spacing w:line="560" w:lineRule="exact"/>
        <w:ind w:firstLine="404" w:firstLineChars="200"/>
        <w:rPr>
          <w:rFonts w:ascii="宋体" w:hAnsi="宋体" w:cs="宋体"/>
          <w:color w:val="auto"/>
          <w:szCs w:val="21"/>
          <w:highlight w:val="none"/>
        </w:rPr>
      </w:pPr>
      <w:r>
        <w:rPr>
          <w:rFonts w:hint="eastAsia" w:ascii="宋体" w:hAnsi="宋体" w:cs="宋体"/>
          <w:color w:val="auto"/>
          <w:spacing w:val="-4"/>
          <w:szCs w:val="21"/>
          <w:highlight w:val="none"/>
          <w:lang w:bidi="ar"/>
        </w:rPr>
        <w:t>1、</w:t>
      </w:r>
      <w:r>
        <w:rPr>
          <w:rFonts w:hint="eastAsia" w:ascii="宋体" w:hAnsi="宋体" w:cs="宋体"/>
          <w:color w:val="auto"/>
          <w:szCs w:val="21"/>
          <w:highlight w:val="none"/>
          <w:lang w:bidi="ar"/>
        </w:rPr>
        <w:t>根据你方招标项目编号为</w:t>
      </w:r>
      <w:r>
        <w:rPr>
          <w:rFonts w:hint="eastAsia" w:ascii="宋体" w:hAnsi="宋体" w:cs="宋体"/>
          <w:color w:val="auto"/>
          <w:szCs w:val="21"/>
          <w:highlight w:val="none"/>
          <w:u w:val="single"/>
          <w:lang w:bidi="ar"/>
        </w:rPr>
        <w:t xml:space="preserve">        </w:t>
      </w:r>
      <w:r>
        <w:rPr>
          <w:rFonts w:hint="eastAsia" w:ascii="宋体" w:hAnsi="宋体" w:cs="宋体"/>
          <w:color w:val="auto"/>
          <w:szCs w:val="21"/>
          <w:highlight w:val="none"/>
          <w:lang w:bidi="ar"/>
        </w:rPr>
        <w:t>的</w:t>
      </w:r>
      <w:r>
        <w:rPr>
          <w:rFonts w:hint="eastAsia" w:ascii="宋体" w:hAnsi="宋体" w:cs="宋体"/>
          <w:color w:val="auto"/>
          <w:szCs w:val="21"/>
          <w:highlight w:val="none"/>
          <w:u w:val="single"/>
          <w:lang w:bidi="ar"/>
        </w:rPr>
        <w:t xml:space="preserve">                （项目名称）  </w:t>
      </w:r>
      <w:r>
        <w:rPr>
          <w:rFonts w:hint="eastAsia" w:ascii="宋体" w:hAnsi="宋体" w:cs="宋体"/>
          <w:color w:val="auto"/>
          <w:szCs w:val="21"/>
          <w:highlight w:val="none"/>
          <w:lang w:bidi="ar"/>
        </w:rPr>
        <w:t>的招标文件，遵照《中华人民共和国招标投标法》等有关规定，经研究上述招标文件的投标须知、合同条款、服务要求及规范和其他有关文件后，</w:t>
      </w:r>
      <w:r>
        <w:rPr>
          <w:rFonts w:hint="eastAsia" w:ascii="宋体" w:hAnsi="宋体" w:cs="宋体"/>
          <w:b/>
          <w:bCs/>
          <w:color w:val="auto"/>
          <w:sz w:val="22"/>
          <w:szCs w:val="22"/>
          <w:highlight w:val="none"/>
          <w:u w:val="single"/>
          <w:lang w:bidi="ar"/>
        </w:rPr>
        <w:t>我方愿以投标报价（大写：）          ，小写：     承包上述服务（含税价，增值税专用发票税率为</w:t>
      </w:r>
      <w:r>
        <w:rPr>
          <w:rFonts w:hint="eastAsia" w:ascii="宋体" w:hAnsi="宋体" w:cs="宋体"/>
          <w:b/>
          <w:bCs/>
          <w:color w:val="auto"/>
          <w:sz w:val="22"/>
          <w:szCs w:val="22"/>
          <w:highlight w:val="none"/>
          <w:u w:val="single"/>
          <w:lang w:val="en-US" w:eastAsia="zh-CN" w:bidi="ar"/>
        </w:rPr>
        <w:t xml:space="preserve">   </w:t>
      </w:r>
      <w:r>
        <w:rPr>
          <w:rFonts w:hint="eastAsia" w:ascii="宋体" w:hAnsi="宋体" w:cs="宋体"/>
          <w:b/>
          <w:bCs/>
          <w:color w:val="auto"/>
          <w:sz w:val="22"/>
          <w:szCs w:val="22"/>
          <w:highlight w:val="none"/>
          <w:u w:val="single"/>
          <w:lang w:bidi="ar"/>
        </w:rPr>
        <w:t>%）</w:t>
      </w:r>
      <w:r>
        <w:rPr>
          <w:rFonts w:hint="eastAsia" w:ascii="宋体" w:hAnsi="宋体" w:cs="宋体"/>
          <w:b/>
          <w:bCs/>
          <w:color w:val="auto"/>
          <w:szCs w:val="21"/>
          <w:highlight w:val="none"/>
          <w:lang w:bidi="ar"/>
        </w:rPr>
        <w:t>，</w:t>
      </w:r>
      <w:r>
        <w:rPr>
          <w:rFonts w:hint="eastAsia" w:ascii="宋体" w:hAnsi="宋体" w:cs="宋体"/>
          <w:color w:val="auto"/>
          <w:szCs w:val="21"/>
          <w:highlight w:val="none"/>
          <w:lang w:bidi="ar"/>
        </w:rPr>
        <w:t>并按上述要求对合同的完成承担全部责任和义务。如我单位中标，我单位将完成本项目的相关服务，质量标准</w:t>
      </w:r>
      <w:r>
        <w:rPr>
          <w:rFonts w:hint="eastAsia" w:ascii="宋体" w:hAnsi="宋体" w:cs="宋体"/>
          <w:color w:val="auto"/>
          <w:szCs w:val="21"/>
          <w:highlight w:val="none"/>
        </w:rPr>
        <w:t>满足国家、省、市相关行业规范要求</w:t>
      </w:r>
      <w:r>
        <w:rPr>
          <w:rFonts w:hint="eastAsia" w:ascii="宋体" w:hAnsi="宋体" w:cs="宋体"/>
          <w:color w:val="auto"/>
          <w:szCs w:val="21"/>
          <w:highlight w:val="none"/>
          <w:lang w:bidi="ar"/>
        </w:rPr>
        <w:t>。</w:t>
      </w:r>
    </w:p>
    <w:p w14:paraId="5203D95A">
      <w:pPr>
        <w:autoSpaceDE w:val="0"/>
        <w:snapToGrid w:val="0"/>
        <w:spacing w:line="560" w:lineRule="exact"/>
        <w:ind w:firstLine="404" w:firstLineChars="200"/>
        <w:jc w:val="left"/>
        <w:rPr>
          <w:rFonts w:ascii="宋体" w:hAnsi="宋体" w:cs="宋体"/>
          <w:color w:val="auto"/>
          <w:spacing w:val="-4"/>
          <w:szCs w:val="21"/>
          <w:highlight w:val="none"/>
        </w:rPr>
      </w:pPr>
      <w:r>
        <w:rPr>
          <w:rFonts w:hint="eastAsia" w:ascii="宋体" w:hAnsi="宋体" w:cs="宋体"/>
          <w:color w:val="auto"/>
          <w:spacing w:val="-4"/>
          <w:szCs w:val="21"/>
          <w:highlight w:val="none"/>
          <w:lang w:bidi="ar"/>
        </w:rPr>
        <w:t>2.我方已详细审核全部招标文件及有关附件，承诺招标文件及有关附件中所有条款。</w:t>
      </w:r>
    </w:p>
    <w:p w14:paraId="78B62A8F">
      <w:pPr>
        <w:autoSpaceDE w:val="0"/>
        <w:spacing w:line="5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lang w:bidi="ar"/>
        </w:rPr>
        <w:t>3、我方拟派本项目的项目负责人为：</w:t>
      </w:r>
      <w:r>
        <w:rPr>
          <w:rFonts w:hint="eastAsia" w:ascii="宋体" w:hAnsi="宋体" w:cs="宋体"/>
          <w:color w:val="auto"/>
          <w:szCs w:val="21"/>
          <w:highlight w:val="none"/>
          <w:u w:val="single"/>
          <w:lang w:bidi="ar"/>
        </w:rPr>
        <w:t xml:space="preserve">         </w:t>
      </w:r>
      <w:r>
        <w:rPr>
          <w:rFonts w:hint="eastAsia" w:ascii="宋体" w:hAnsi="宋体" w:cs="宋体"/>
          <w:color w:val="auto"/>
          <w:szCs w:val="21"/>
          <w:highlight w:val="none"/>
          <w:lang w:bidi="ar"/>
        </w:rPr>
        <w:t xml:space="preserve">。 </w:t>
      </w:r>
    </w:p>
    <w:p w14:paraId="7F8B9A1E">
      <w:pPr>
        <w:autoSpaceDE w:val="0"/>
        <w:spacing w:line="5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lang w:bidi="ar"/>
        </w:rPr>
        <w:t>4、我单位承诺在接到贵单位通知后在当日内至现场解决相关问题。</w:t>
      </w:r>
    </w:p>
    <w:p w14:paraId="29A47FF0">
      <w:pPr>
        <w:pStyle w:val="40"/>
        <w:widowControl w:val="0"/>
        <w:autoSpaceDE w:val="0"/>
        <w:spacing w:line="560" w:lineRule="exact"/>
        <w:ind w:firstLine="420" w:firstLineChars="200"/>
        <w:jc w:val="both"/>
        <w:rPr>
          <w:color w:val="auto"/>
          <w:kern w:val="2"/>
          <w:sz w:val="21"/>
          <w:szCs w:val="21"/>
          <w:highlight w:val="none"/>
        </w:rPr>
      </w:pPr>
      <w:r>
        <w:rPr>
          <w:rFonts w:hint="eastAsia"/>
          <w:color w:val="auto"/>
          <w:kern w:val="2"/>
          <w:sz w:val="21"/>
          <w:szCs w:val="21"/>
          <w:highlight w:val="none"/>
          <w:lang w:bidi="ar"/>
        </w:rPr>
        <w:t>5、投标有效期为</w:t>
      </w:r>
      <w:r>
        <w:rPr>
          <w:rFonts w:hint="eastAsia"/>
          <w:color w:val="auto"/>
          <w:kern w:val="2"/>
          <w:sz w:val="21"/>
          <w:szCs w:val="21"/>
          <w:highlight w:val="none"/>
          <w:u w:val="single"/>
          <w:lang w:bidi="ar"/>
        </w:rPr>
        <w:t xml:space="preserve"> 90 </w:t>
      </w:r>
      <w:r>
        <w:rPr>
          <w:rFonts w:hint="eastAsia"/>
          <w:color w:val="auto"/>
          <w:kern w:val="2"/>
          <w:sz w:val="21"/>
          <w:szCs w:val="21"/>
          <w:highlight w:val="none"/>
          <w:lang w:bidi="ar"/>
        </w:rPr>
        <w:t>日历天（从投标文件递交截止之日算起）。</w:t>
      </w:r>
    </w:p>
    <w:p w14:paraId="26CCEA96">
      <w:pPr>
        <w:autoSpaceDE w:val="0"/>
        <w:spacing w:line="5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lang w:bidi="ar"/>
        </w:rPr>
        <w:t>6、我单位提供如下通讯地址：</w:t>
      </w:r>
      <w:r>
        <w:rPr>
          <w:rFonts w:hint="eastAsia" w:ascii="宋体" w:hAnsi="宋体" w:cs="宋体"/>
          <w:color w:val="auto"/>
          <w:szCs w:val="21"/>
          <w:highlight w:val="none"/>
          <w:u w:val="single"/>
          <w:lang w:bidi="ar"/>
        </w:rPr>
        <w:t xml:space="preserve">                 </w:t>
      </w:r>
      <w:r>
        <w:rPr>
          <w:rFonts w:hint="eastAsia" w:ascii="宋体" w:hAnsi="宋体" w:cs="宋体"/>
          <w:color w:val="auto"/>
          <w:szCs w:val="21"/>
          <w:highlight w:val="none"/>
          <w:lang w:bidi="ar"/>
        </w:rPr>
        <w:t>电子邮箱（地址），确认本项目相关法律文书均通过提供的以上地址送达，相关文书只要发送至以上电子邮箱（地址）即视为送达，投标人愿意承担一切法律后果。</w:t>
      </w:r>
    </w:p>
    <w:p w14:paraId="1E505283">
      <w:pPr>
        <w:spacing w:line="560" w:lineRule="exact"/>
        <w:rPr>
          <w:rFonts w:ascii="宋体" w:hAnsi="宋体" w:cs="宋体"/>
          <w:color w:val="auto"/>
          <w:szCs w:val="21"/>
          <w:highlight w:val="none"/>
        </w:rPr>
      </w:pPr>
      <w:r>
        <w:rPr>
          <w:rFonts w:hint="eastAsia" w:ascii="宋体" w:hAnsi="宋体" w:cs="宋体"/>
          <w:color w:val="auto"/>
          <w:szCs w:val="21"/>
          <w:highlight w:val="none"/>
          <w:lang w:bidi="ar"/>
        </w:rPr>
        <w:t xml:space="preserve"> </w:t>
      </w:r>
    </w:p>
    <w:p w14:paraId="0A7A3326">
      <w:pPr>
        <w:spacing w:line="560" w:lineRule="exact"/>
        <w:ind w:firstLine="1995" w:firstLineChars="950"/>
        <w:rPr>
          <w:rFonts w:ascii="宋体" w:hAnsi="宋体" w:cs="宋体"/>
          <w:color w:val="auto"/>
          <w:szCs w:val="21"/>
          <w:highlight w:val="none"/>
          <w:u w:val="single"/>
        </w:rPr>
      </w:pPr>
      <w:r>
        <w:rPr>
          <w:rFonts w:hint="eastAsia" w:ascii="宋体" w:hAnsi="宋体" w:cs="宋体"/>
          <w:color w:val="auto"/>
          <w:szCs w:val="21"/>
          <w:highlight w:val="none"/>
          <w:lang w:bidi="ar"/>
        </w:rPr>
        <w:t>投标人：</w:t>
      </w:r>
      <w:r>
        <w:rPr>
          <w:rFonts w:hint="eastAsia" w:ascii="宋体" w:hAnsi="宋体" w:cs="宋体"/>
          <w:color w:val="auto"/>
          <w:szCs w:val="21"/>
          <w:highlight w:val="none"/>
          <w:u w:val="single"/>
          <w:lang w:bidi="ar"/>
        </w:rPr>
        <w:t xml:space="preserve">                   （盖章） </w:t>
      </w:r>
    </w:p>
    <w:p w14:paraId="0D08FE31">
      <w:pPr>
        <w:spacing w:line="560" w:lineRule="exact"/>
        <w:ind w:left="1995" w:leftChars="950"/>
        <w:rPr>
          <w:rFonts w:ascii="宋体" w:hAnsi="宋体" w:cs="宋体"/>
          <w:color w:val="auto"/>
          <w:szCs w:val="21"/>
          <w:highlight w:val="none"/>
        </w:rPr>
      </w:pPr>
      <w:r>
        <w:rPr>
          <w:rFonts w:hint="eastAsia" w:ascii="宋体" w:hAnsi="宋体" w:cs="宋体"/>
          <w:color w:val="auto"/>
          <w:szCs w:val="21"/>
          <w:highlight w:val="none"/>
          <w:lang w:bidi="ar"/>
        </w:rPr>
        <w:t>法定代表人或其委托代理人：</w:t>
      </w:r>
      <w:r>
        <w:rPr>
          <w:rFonts w:hint="eastAsia" w:ascii="宋体" w:hAnsi="宋体" w:cs="宋体"/>
          <w:color w:val="auto"/>
          <w:szCs w:val="21"/>
          <w:highlight w:val="none"/>
          <w:u w:val="single"/>
          <w:lang w:bidi="ar"/>
        </w:rPr>
        <w:t xml:space="preserve">         （签字或盖章）</w:t>
      </w:r>
      <w:r>
        <w:rPr>
          <w:rFonts w:hint="eastAsia" w:ascii="宋体" w:hAnsi="宋体" w:cs="宋体"/>
          <w:color w:val="auto"/>
          <w:szCs w:val="21"/>
          <w:highlight w:val="none"/>
          <w:lang w:bidi="ar"/>
        </w:rPr>
        <w:t xml:space="preserve">         </w:t>
      </w:r>
    </w:p>
    <w:p w14:paraId="2D0C58EC">
      <w:pPr>
        <w:spacing w:line="560" w:lineRule="exact"/>
        <w:ind w:left="1995" w:leftChars="950"/>
        <w:rPr>
          <w:rFonts w:ascii="宋体" w:hAnsi="宋体" w:cs="宋体"/>
          <w:color w:val="auto"/>
          <w:szCs w:val="21"/>
          <w:highlight w:val="none"/>
          <w:u w:val="single"/>
        </w:rPr>
      </w:pPr>
      <w:r>
        <w:rPr>
          <w:rFonts w:hint="eastAsia" w:ascii="宋体" w:hAnsi="宋体" w:cs="宋体"/>
          <w:color w:val="auto"/>
          <w:szCs w:val="21"/>
          <w:highlight w:val="none"/>
          <w:lang w:bidi="ar"/>
        </w:rPr>
        <w:t>单位地址：</w:t>
      </w:r>
      <w:r>
        <w:rPr>
          <w:rFonts w:hint="eastAsia" w:ascii="宋体" w:hAnsi="宋体" w:cs="宋体"/>
          <w:color w:val="auto"/>
          <w:szCs w:val="21"/>
          <w:highlight w:val="none"/>
          <w:u w:val="single"/>
          <w:lang w:bidi="ar"/>
        </w:rPr>
        <w:t xml:space="preserve">                   </w:t>
      </w:r>
    </w:p>
    <w:p w14:paraId="4DBC1546">
      <w:pPr>
        <w:spacing w:line="560" w:lineRule="exact"/>
        <w:ind w:left="1995" w:leftChars="950"/>
        <w:rPr>
          <w:rFonts w:ascii="宋体" w:hAnsi="宋体" w:cs="宋体"/>
          <w:color w:val="auto"/>
          <w:szCs w:val="21"/>
          <w:highlight w:val="none"/>
          <w:u w:val="single"/>
        </w:rPr>
      </w:pPr>
      <w:r>
        <w:rPr>
          <w:rFonts w:hint="eastAsia" w:ascii="宋体" w:hAnsi="宋体" w:cs="宋体"/>
          <w:color w:val="auto"/>
          <w:szCs w:val="21"/>
          <w:highlight w:val="none"/>
          <w:lang w:bidi="ar"/>
        </w:rPr>
        <w:t>邮政编码：</w:t>
      </w:r>
      <w:r>
        <w:rPr>
          <w:rFonts w:hint="eastAsia" w:ascii="宋体" w:hAnsi="宋体" w:cs="宋体"/>
          <w:color w:val="auto"/>
          <w:szCs w:val="21"/>
          <w:highlight w:val="none"/>
          <w:u w:val="single"/>
          <w:lang w:bidi="ar"/>
        </w:rPr>
        <w:t xml:space="preserve">               </w:t>
      </w:r>
      <w:r>
        <w:rPr>
          <w:rFonts w:hint="eastAsia" w:ascii="宋体" w:hAnsi="宋体" w:cs="宋体"/>
          <w:color w:val="auto"/>
          <w:szCs w:val="21"/>
          <w:highlight w:val="none"/>
          <w:lang w:bidi="ar"/>
        </w:rPr>
        <w:t>电话</w:t>
      </w:r>
      <w:r>
        <w:rPr>
          <w:rFonts w:hint="eastAsia" w:ascii="宋体" w:hAnsi="宋体" w:cs="宋体"/>
          <w:color w:val="auto"/>
          <w:szCs w:val="21"/>
          <w:highlight w:val="none"/>
          <w:u w:val="single"/>
          <w:lang w:bidi="ar"/>
        </w:rPr>
        <w:t xml:space="preserve">                   </w:t>
      </w:r>
    </w:p>
    <w:p w14:paraId="4388F978">
      <w:pPr>
        <w:spacing w:line="560" w:lineRule="exact"/>
        <w:ind w:left="1995" w:leftChars="950"/>
        <w:rPr>
          <w:rFonts w:ascii="宋体" w:hAnsi="宋体" w:cs="宋体"/>
          <w:color w:val="auto"/>
          <w:szCs w:val="21"/>
          <w:highlight w:val="none"/>
          <w:u w:val="single"/>
        </w:rPr>
      </w:pPr>
      <w:r>
        <w:rPr>
          <w:rFonts w:hint="eastAsia" w:ascii="宋体" w:hAnsi="宋体" w:cs="宋体"/>
          <w:color w:val="auto"/>
          <w:szCs w:val="21"/>
          <w:highlight w:val="none"/>
          <w:lang w:bidi="ar"/>
        </w:rPr>
        <w:t>联系人：</w:t>
      </w:r>
      <w:r>
        <w:rPr>
          <w:rFonts w:hint="eastAsia" w:ascii="宋体" w:hAnsi="宋体" w:cs="宋体"/>
          <w:color w:val="auto"/>
          <w:szCs w:val="21"/>
          <w:highlight w:val="none"/>
          <w:u w:val="single"/>
          <w:lang w:bidi="ar"/>
        </w:rPr>
        <w:t xml:space="preserve">                 </w:t>
      </w:r>
      <w:r>
        <w:rPr>
          <w:rFonts w:hint="eastAsia" w:ascii="宋体" w:hAnsi="宋体" w:cs="宋体"/>
          <w:color w:val="auto"/>
          <w:szCs w:val="21"/>
          <w:highlight w:val="none"/>
          <w:lang w:bidi="ar"/>
        </w:rPr>
        <w:t>联系电话：</w:t>
      </w:r>
      <w:r>
        <w:rPr>
          <w:rFonts w:hint="eastAsia" w:ascii="宋体" w:hAnsi="宋体" w:cs="宋体"/>
          <w:color w:val="auto"/>
          <w:szCs w:val="21"/>
          <w:highlight w:val="none"/>
          <w:u w:val="single"/>
          <w:lang w:bidi="ar"/>
        </w:rPr>
        <w:t xml:space="preserve">             </w:t>
      </w:r>
    </w:p>
    <w:p w14:paraId="78D73EAA">
      <w:pPr>
        <w:spacing w:line="560" w:lineRule="exact"/>
        <w:ind w:left="1995" w:leftChars="950"/>
        <w:rPr>
          <w:rFonts w:ascii="宋体" w:hAnsi="宋体" w:cs="宋体"/>
          <w:color w:val="auto"/>
          <w:szCs w:val="21"/>
          <w:highlight w:val="none"/>
          <w:lang w:bidi="ar"/>
        </w:rPr>
      </w:pPr>
      <w:r>
        <w:rPr>
          <w:rFonts w:hint="eastAsia" w:ascii="宋体" w:hAnsi="宋体" w:cs="宋体"/>
          <w:color w:val="auto"/>
          <w:szCs w:val="21"/>
          <w:highlight w:val="none"/>
          <w:lang w:bidi="ar"/>
        </w:rPr>
        <w:t>日期：</w:t>
      </w:r>
      <w:r>
        <w:rPr>
          <w:rFonts w:hint="eastAsia" w:ascii="宋体" w:hAnsi="宋体" w:cs="宋体"/>
          <w:color w:val="auto"/>
          <w:szCs w:val="21"/>
          <w:highlight w:val="none"/>
          <w:u w:val="single"/>
          <w:lang w:bidi="ar"/>
        </w:rPr>
        <w:t xml:space="preserve">         </w:t>
      </w:r>
      <w:r>
        <w:rPr>
          <w:rFonts w:hint="eastAsia" w:ascii="宋体" w:hAnsi="宋体" w:cs="宋体"/>
          <w:color w:val="auto"/>
          <w:szCs w:val="21"/>
          <w:highlight w:val="none"/>
          <w:lang w:bidi="ar"/>
        </w:rPr>
        <w:t xml:space="preserve">年 </w:t>
      </w:r>
      <w:r>
        <w:rPr>
          <w:rFonts w:hint="eastAsia" w:ascii="宋体" w:hAnsi="宋体" w:cs="宋体"/>
          <w:color w:val="auto"/>
          <w:szCs w:val="21"/>
          <w:highlight w:val="none"/>
          <w:u w:val="single"/>
          <w:lang w:bidi="ar"/>
        </w:rPr>
        <w:t xml:space="preserve">          </w:t>
      </w:r>
      <w:r>
        <w:rPr>
          <w:rFonts w:hint="eastAsia" w:ascii="宋体" w:hAnsi="宋体" w:cs="宋体"/>
          <w:color w:val="auto"/>
          <w:szCs w:val="21"/>
          <w:highlight w:val="none"/>
          <w:lang w:bidi="ar"/>
        </w:rPr>
        <w:t xml:space="preserve">月 </w:t>
      </w:r>
      <w:r>
        <w:rPr>
          <w:rFonts w:hint="eastAsia" w:ascii="宋体" w:hAnsi="宋体" w:cs="宋体"/>
          <w:color w:val="auto"/>
          <w:szCs w:val="21"/>
          <w:highlight w:val="none"/>
          <w:u w:val="single"/>
          <w:lang w:bidi="ar"/>
        </w:rPr>
        <w:t xml:space="preserve">            </w:t>
      </w:r>
      <w:r>
        <w:rPr>
          <w:rFonts w:hint="eastAsia" w:ascii="宋体" w:hAnsi="宋体" w:cs="宋体"/>
          <w:color w:val="auto"/>
          <w:szCs w:val="21"/>
          <w:highlight w:val="none"/>
          <w:lang w:bidi="ar"/>
        </w:rPr>
        <w:t>日</w:t>
      </w:r>
    </w:p>
    <w:p w14:paraId="748C0A4C">
      <w:pPr>
        <w:spacing w:line="560" w:lineRule="exact"/>
        <w:ind w:left="1995" w:leftChars="950"/>
        <w:rPr>
          <w:rFonts w:ascii="宋体" w:hAnsi="宋体" w:cs="宋体"/>
          <w:color w:val="auto"/>
          <w:szCs w:val="21"/>
          <w:highlight w:val="none"/>
          <w:lang w:bidi="ar"/>
        </w:rPr>
      </w:pPr>
    </w:p>
    <w:p w14:paraId="3B740045">
      <w:pPr>
        <w:spacing w:line="560" w:lineRule="exact"/>
        <w:ind w:left="1995" w:leftChars="950"/>
        <w:rPr>
          <w:rFonts w:ascii="宋体" w:hAnsi="宋体" w:cs="宋体"/>
          <w:color w:val="auto"/>
          <w:szCs w:val="21"/>
          <w:highlight w:val="none"/>
          <w:lang w:bidi="ar"/>
        </w:rPr>
      </w:pPr>
    </w:p>
    <w:p w14:paraId="6C3B17E1">
      <w:pPr>
        <w:pStyle w:val="40"/>
        <w:widowControl w:val="0"/>
        <w:spacing w:before="100" w:beforeAutospacing="1" w:after="120"/>
        <w:ind w:left="420" w:leftChars="200" w:firstLine="420" w:firstLineChars="200"/>
        <w:jc w:val="both"/>
        <w:rPr>
          <w:color w:val="auto"/>
          <w:kern w:val="2"/>
          <w:sz w:val="21"/>
          <w:szCs w:val="21"/>
          <w:highlight w:val="none"/>
        </w:rPr>
      </w:pPr>
    </w:p>
    <w:p w14:paraId="320FF126">
      <w:pPr>
        <w:spacing w:line="360" w:lineRule="auto"/>
        <w:jc w:val="center"/>
        <w:rPr>
          <w:rFonts w:ascii="宋体" w:hAnsi="宋体" w:cs="宋体"/>
          <w:color w:val="auto"/>
          <w:szCs w:val="21"/>
          <w:highlight w:val="none"/>
          <w:lang w:bidi="ar"/>
        </w:rPr>
      </w:pPr>
    </w:p>
    <w:p w14:paraId="28A3138D">
      <w:pPr>
        <w:spacing w:line="360" w:lineRule="auto"/>
        <w:jc w:val="center"/>
        <w:rPr>
          <w:rFonts w:ascii="宋体" w:hAnsi="宋体" w:cs="宋体"/>
          <w:color w:val="auto"/>
          <w:szCs w:val="21"/>
          <w:highlight w:val="none"/>
          <w:lang w:bidi="ar"/>
        </w:rPr>
      </w:pPr>
    </w:p>
    <w:p w14:paraId="1331CC69">
      <w:pPr>
        <w:spacing w:line="360" w:lineRule="auto"/>
        <w:jc w:val="center"/>
        <w:rPr>
          <w:rFonts w:ascii="宋体" w:hAnsi="宋体" w:cs="宋体"/>
          <w:b/>
          <w:color w:val="auto"/>
          <w:sz w:val="44"/>
          <w:szCs w:val="44"/>
          <w:highlight w:val="none"/>
        </w:rPr>
      </w:pPr>
      <w:r>
        <w:rPr>
          <w:rFonts w:hint="eastAsia" w:ascii="宋体" w:hAnsi="宋体" w:cs="宋体"/>
          <w:color w:val="auto"/>
          <w:sz w:val="44"/>
          <w:szCs w:val="44"/>
          <w:highlight w:val="none"/>
          <w:lang w:bidi="ar"/>
        </w:rPr>
        <w:t>分项报价清单</w:t>
      </w:r>
    </w:p>
    <w:tbl>
      <w:tblPr>
        <w:tblStyle w:val="4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6"/>
        <w:gridCol w:w="1143"/>
        <w:gridCol w:w="943"/>
        <w:gridCol w:w="1955"/>
        <w:gridCol w:w="1213"/>
        <w:gridCol w:w="1418"/>
        <w:gridCol w:w="1948"/>
      </w:tblGrid>
      <w:tr w14:paraId="2D1871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666" w:type="dxa"/>
            <w:vAlign w:val="center"/>
          </w:tcPr>
          <w:p w14:paraId="787B96DB">
            <w:pPr>
              <w:jc w:val="center"/>
              <w:rPr>
                <w:rFonts w:ascii="仿宋_GB2312" w:eastAsia="仿宋_GB2312"/>
                <w:b/>
                <w:color w:val="auto"/>
                <w:szCs w:val="21"/>
                <w:highlight w:val="none"/>
              </w:rPr>
            </w:pPr>
            <w:r>
              <w:rPr>
                <w:rFonts w:hint="eastAsia" w:ascii="仿宋_GB2312" w:eastAsia="仿宋_GB2312"/>
                <w:b/>
                <w:color w:val="auto"/>
                <w:szCs w:val="21"/>
                <w:highlight w:val="none"/>
              </w:rPr>
              <w:t>序号</w:t>
            </w:r>
          </w:p>
        </w:tc>
        <w:tc>
          <w:tcPr>
            <w:tcW w:w="2086" w:type="dxa"/>
            <w:gridSpan w:val="2"/>
            <w:vAlign w:val="center"/>
          </w:tcPr>
          <w:p w14:paraId="38575109">
            <w:pPr>
              <w:jc w:val="center"/>
              <w:rPr>
                <w:rFonts w:ascii="仿宋_GB2312" w:eastAsia="仿宋_GB2312"/>
                <w:b/>
                <w:color w:val="auto"/>
                <w:szCs w:val="21"/>
                <w:highlight w:val="none"/>
              </w:rPr>
            </w:pPr>
            <w:r>
              <w:rPr>
                <w:rFonts w:hint="eastAsia" w:ascii="仿宋_GB2312" w:eastAsia="仿宋_GB2312"/>
                <w:b/>
                <w:color w:val="auto"/>
                <w:szCs w:val="21"/>
                <w:highlight w:val="none"/>
              </w:rPr>
              <w:t>项目内容</w:t>
            </w:r>
          </w:p>
        </w:tc>
        <w:tc>
          <w:tcPr>
            <w:tcW w:w="1955" w:type="dxa"/>
            <w:vAlign w:val="center"/>
          </w:tcPr>
          <w:p w14:paraId="08CC9B51">
            <w:pPr>
              <w:jc w:val="center"/>
              <w:rPr>
                <w:rFonts w:ascii="仿宋_GB2312" w:eastAsia="仿宋_GB2312"/>
                <w:b/>
                <w:color w:val="auto"/>
                <w:szCs w:val="21"/>
                <w:highlight w:val="none"/>
              </w:rPr>
            </w:pPr>
            <w:r>
              <w:rPr>
                <w:rFonts w:hint="eastAsia" w:ascii="仿宋_GB2312" w:eastAsia="仿宋_GB2312"/>
                <w:b/>
                <w:color w:val="auto"/>
                <w:szCs w:val="21"/>
                <w:highlight w:val="none"/>
              </w:rPr>
              <w:t>单价（元）</w:t>
            </w:r>
          </w:p>
        </w:tc>
        <w:tc>
          <w:tcPr>
            <w:tcW w:w="1213" w:type="dxa"/>
            <w:vAlign w:val="center"/>
          </w:tcPr>
          <w:p w14:paraId="2C6F2C1F">
            <w:pPr>
              <w:jc w:val="center"/>
              <w:rPr>
                <w:rFonts w:ascii="仿宋_GB2312" w:eastAsia="仿宋_GB2312"/>
                <w:b/>
                <w:color w:val="auto"/>
                <w:szCs w:val="21"/>
                <w:highlight w:val="none"/>
              </w:rPr>
            </w:pPr>
            <w:r>
              <w:rPr>
                <w:rFonts w:hint="eastAsia" w:ascii="仿宋_GB2312" w:eastAsia="仿宋_GB2312"/>
                <w:b/>
                <w:color w:val="auto"/>
                <w:szCs w:val="21"/>
                <w:highlight w:val="none"/>
                <w:lang w:val="en-US" w:eastAsia="zh-CN"/>
              </w:rPr>
              <w:t>预估</w:t>
            </w:r>
            <w:r>
              <w:rPr>
                <w:rFonts w:hint="eastAsia" w:ascii="仿宋_GB2312" w:eastAsia="仿宋_GB2312"/>
                <w:b/>
                <w:color w:val="auto"/>
                <w:szCs w:val="21"/>
                <w:highlight w:val="none"/>
              </w:rPr>
              <w:t>工作量</w:t>
            </w:r>
          </w:p>
        </w:tc>
        <w:tc>
          <w:tcPr>
            <w:tcW w:w="1418" w:type="dxa"/>
            <w:vAlign w:val="center"/>
          </w:tcPr>
          <w:p w14:paraId="3FFC75DB">
            <w:pPr>
              <w:jc w:val="center"/>
              <w:rPr>
                <w:rFonts w:ascii="仿宋_GB2312" w:eastAsia="仿宋_GB2312"/>
                <w:b/>
                <w:color w:val="auto"/>
                <w:szCs w:val="21"/>
                <w:highlight w:val="none"/>
              </w:rPr>
            </w:pPr>
            <w:r>
              <w:rPr>
                <w:rFonts w:hint="eastAsia" w:ascii="仿宋_GB2312" w:eastAsia="仿宋_GB2312"/>
                <w:b/>
                <w:color w:val="auto"/>
                <w:szCs w:val="21"/>
                <w:highlight w:val="none"/>
              </w:rPr>
              <w:t>费用（元）</w:t>
            </w:r>
          </w:p>
        </w:tc>
        <w:tc>
          <w:tcPr>
            <w:tcW w:w="1948" w:type="dxa"/>
            <w:vAlign w:val="center"/>
          </w:tcPr>
          <w:p w14:paraId="53422F2B">
            <w:pPr>
              <w:jc w:val="center"/>
              <w:rPr>
                <w:rFonts w:ascii="仿宋_GB2312" w:eastAsia="仿宋_GB2312"/>
                <w:b/>
                <w:color w:val="auto"/>
                <w:szCs w:val="21"/>
                <w:highlight w:val="none"/>
              </w:rPr>
            </w:pPr>
            <w:r>
              <w:rPr>
                <w:rFonts w:hint="eastAsia" w:ascii="仿宋_GB2312" w:eastAsia="仿宋_GB2312"/>
                <w:b/>
                <w:color w:val="auto"/>
                <w:szCs w:val="21"/>
                <w:highlight w:val="none"/>
              </w:rPr>
              <w:t>备注</w:t>
            </w:r>
          </w:p>
        </w:tc>
      </w:tr>
      <w:tr w14:paraId="2D72F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vAlign w:val="center"/>
          </w:tcPr>
          <w:p w14:paraId="1DD804EB">
            <w:pPr>
              <w:spacing w:line="400" w:lineRule="exact"/>
              <w:jc w:val="center"/>
              <w:rPr>
                <w:rFonts w:ascii="仿宋_GB2312" w:eastAsia="仿宋_GB2312"/>
                <w:color w:val="auto"/>
                <w:szCs w:val="21"/>
                <w:highlight w:val="none"/>
              </w:rPr>
            </w:pPr>
            <w:r>
              <w:rPr>
                <w:rFonts w:hint="eastAsia" w:ascii="仿宋_GB2312" w:eastAsia="仿宋_GB2312"/>
                <w:color w:val="auto"/>
                <w:szCs w:val="21"/>
                <w:highlight w:val="none"/>
              </w:rPr>
              <w:t>1</w:t>
            </w:r>
          </w:p>
        </w:tc>
        <w:tc>
          <w:tcPr>
            <w:tcW w:w="2086" w:type="dxa"/>
            <w:gridSpan w:val="2"/>
            <w:vAlign w:val="center"/>
          </w:tcPr>
          <w:p w14:paraId="03416119">
            <w:pPr>
              <w:spacing w:line="400" w:lineRule="exact"/>
              <w:jc w:val="left"/>
              <w:rPr>
                <w:rFonts w:ascii="仿宋_GB2312" w:eastAsia="仿宋_GB2312"/>
                <w:color w:val="auto"/>
                <w:szCs w:val="21"/>
                <w:highlight w:val="none"/>
              </w:rPr>
            </w:pPr>
            <w:r>
              <w:rPr>
                <w:rFonts w:hint="eastAsia" w:ascii="仿宋_GB2312" w:eastAsia="仿宋_GB2312"/>
                <w:color w:val="auto"/>
                <w:szCs w:val="21"/>
                <w:highlight w:val="none"/>
              </w:rPr>
              <w:t>用地规划许可省厅管制系统信息上传</w:t>
            </w:r>
          </w:p>
        </w:tc>
        <w:tc>
          <w:tcPr>
            <w:tcW w:w="1955" w:type="dxa"/>
            <w:vAlign w:val="center"/>
          </w:tcPr>
          <w:p w14:paraId="7E36B89F">
            <w:pPr>
              <w:spacing w:line="400" w:lineRule="exact"/>
              <w:jc w:val="left"/>
              <w:rPr>
                <w:rFonts w:ascii="仿宋_GB2312" w:eastAsia="仿宋_GB2312"/>
                <w:color w:val="auto"/>
                <w:szCs w:val="21"/>
                <w:highlight w:val="none"/>
              </w:rPr>
            </w:pPr>
          </w:p>
        </w:tc>
        <w:tc>
          <w:tcPr>
            <w:tcW w:w="1213" w:type="dxa"/>
            <w:vAlign w:val="center"/>
          </w:tcPr>
          <w:p w14:paraId="1455A2FA">
            <w:pPr>
              <w:spacing w:line="400" w:lineRule="exact"/>
              <w:jc w:val="left"/>
              <w:rPr>
                <w:rFonts w:ascii="仿宋_GB2312" w:eastAsia="仿宋_GB2312"/>
                <w:color w:val="auto"/>
                <w:szCs w:val="21"/>
                <w:highlight w:val="none"/>
              </w:rPr>
            </w:pPr>
            <w:r>
              <w:rPr>
                <w:rFonts w:hint="eastAsia" w:ascii="仿宋_GB2312" w:eastAsia="仿宋_GB2312"/>
                <w:color w:val="auto"/>
                <w:szCs w:val="21"/>
                <w:highlight w:val="none"/>
              </w:rPr>
              <w:t>1宗</w:t>
            </w:r>
          </w:p>
        </w:tc>
        <w:tc>
          <w:tcPr>
            <w:tcW w:w="1418" w:type="dxa"/>
            <w:vAlign w:val="center"/>
          </w:tcPr>
          <w:p w14:paraId="345A1AED">
            <w:pPr>
              <w:spacing w:line="400" w:lineRule="exact"/>
              <w:jc w:val="left"/>
              <w:rPr>
                <w:rFonts w:ascii="仿宋_GB2312" w:eastAsia="仿宋_GB2312"/>
                <w:color w:val="auto"/>
                <w:szCs w:val="21"/>
                <w:highlight w:val="none"/>
              </w:rPr>
            </w:pPr>
          </w:p>
        </w:tc>
        <w:tc>
          <w:tcPr>
            <w:tcW w:w="1948" w:type="dxa"/>
            <w:vAlign w:val="center"/>
          </w:tcPr>
          <w:p w14:paraId="7FC7C239">
            <w:pPr>
              <w:spacing w:line="400" w:lineRule="exact"/>
              <w:jc w:val="left"/>
              <w:rPr>
                <w:rFonts w:ascii="仿宋_GB2312" w:eastAsia="仿宋_GB2312"/>
                <w:color w:val="auto"/>
                <w:szCs w:val="21"/>
                <w:highlight w:val="none"/>
              </w:rPr>
            </w:pPr>
          </w:p>
        </w:tc>
      </w:tr>
      <w:tr w14:paraId="4D4665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vAlign w:val="center"/>
          </w:tcPr>
          <w:p w14:paraId="2DF54E65">
            <w:pPr>
              <w:spacing w:line="400" w:lineRule="exact"/>
              <w:jc w:val="center"/>
              <w:rPr>
                <w:rFonts w:ascii="仿宋_GB2312" w:eastAsia="仿宋_GB2312"/>
                <w:color w:val="auto"/>
                <w:szCs w:val="21"/>
                <w:highlight w:val="none"/>
              </w:rPr>
            </w:pPr>
            <w:r>
              <w:rPr>
                <w:rFonts w:hint="eastAsia" w:ascii="仿宋_GB2312" w:eastAsia="仿宋_GB2312"/>
                <w:color w:val="auto"/>
                <w:szCs w:val="21"/>
                <w:highlight w:val="none"/>
              </w:rPr>
              <w:t>2</w:t>
            </w:r>
          </w:p>
        </w:tc>
        <w:tc>
          <w:tcPr>
            <w:tcW w:w="2086" w:type="dxa"/>
            <w:gridSpan w:val="2"/>
            <w:vAlign w:val="center"/>
          </w:tcPr>
          <w:p w14:paraId="36CD560E">
            <w:pPr>
              <w:spacing w:line="400" w:lineRule="exact"/>
              <w:jc w:val="left"/>
              <w:rPr>
                <w:rFonts w:ascii="仿宋_GB2312" w:eastAsia="仿宋_GB2312"/>
                <w:color w:val="auto"/>
                <w:szCs w:val="21"/>
                <w:highlight w:val="none"/>
              </w:rPr>
            </w:pPr>
            <w:r>
              <w:rPr>
                <w:rFonts w:hint="eastAsia" w:ascii="仿宋_GB2312" w:eastAsia="仿宋_GB2312"/>
                <w:color w:val="auto"/>
                <w:szCs w:val="21"/>
                <w:highlight w:val="none"/>
              </w:rPr>
              <w:t>图根点放样</w:t>
            </w:r>
          </w:p>
        </w:tc>
        <w:tc>
          <w:tcPr>
            <w:tcW w:w="1955" w:type="dxa"/>
            <w:vAlign w:val="center"/>
          </w:tcPr>
          <w:p w14:paraId="7E6B16FF">
            <w:pPr>
              <w:spacing w:line="400" w:lineRule="exact"/>
              <w:jc w:val="left"/>
              <w:rPr>
                <w:rFonts w:ascii="仿宋_GB2312" w:eastAsia="仿宋_GB2312"/>
                <w:color w:val="auto"/>
                <w:szCs w:val="21"/>
                <w:highlight w:val="none"/>
              </w:rPr>
            </w:pPr>
          </w:p>
        </w:tc>
        <w:tc>
          <w:tcPr>
            <w:tcW w:w="1213" w:type="dxa"/>
            <w:vAlign w:val="center"/>
          </w:tcPr>
          <w:p w14:paraId="6D5E3284">
            <w:pPr>
              <w:spacing w:line="400" w:lineRule="exact"/>
              <w:jc w:val="left"/>
              <w:rPr>
                <w:rFonts w:ascii="仿宋_GB2312" w:eastAsia="仿宋_GB2312"/>
                <w:color w:val="auto"/>
                <w:szCs w:val="21"/>
                <w:highlight w:val="none"/>
              </w:rPr>
            </w:pPr>
            <w:r>
              <w:rPr>
                <w:rFonts w:hint="eastAsia" w:ascii="仿宋_GB2312" w:eastAsia="仿宋_GB2312"/>
                <w:color w:val="auto"/>
                <w:szCs w:val="21"/>
                <w:highlight w:val="none"/>
              </w:rPr>
              <w:t>1件</w:t>
            </w:r>
          </w:p>
        </w:tc>
        <w:tc>
          <w:tcPr>
            <w:tcW w:w="1418" w:type="dxa"/>
            <w:vAlign w:val="center"/>
          </w:tcPr>
          <w:p w14:paraId="51C4D1C9">
            <w:pPr>
              <w:spacing w:line="400" w:lineRule="exact"/>
              <w:jc w:val="left"/>
              <w:rPr>
                <w:rFonts w:ascii="仿宋_GB2312" w:eastAsia="仿宋_GB2312"/>
                <w:color w:val="auto"/>
                <w:szCs w:val="21"/>
                <w:highlight w:val="none"/>
              </w:rPr>
            </w:pPr>
          </w:p>
        </w:tc>
        <w:tc>
          <w:tcPr>
            <w:tcW w:w="1948" w:type="dxa"/>
            <w:vMerge w:val="restart"/>
            <w:vAlign w:val="center"/>
          </w:tcPr>
          <w:p w14:paraId="06B0F227">
            <w:pPr>
              <w:spacing w:line="400" w:lineRule="exact"/>
              <w:jc w:val="left"/>
              <w:rPr>
                <w:rFonts w:ascii="仿宋_GB2312" w:eastAsia="仿宋_GB2312"/>
                <w:color w:val="auto"/>
                <w:szCs w:val="21"/>
                <w:highlight w:val="none"/>
              </w:rPr>
            </w:pPr>
          </w:p>
        </w:tc>
      </w:tr>
      <w:tr w14:paraId="0E3F0A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vAlign w:val="center"/>
          </w:tcPr>
          <w:p w14:paraId="20AC48AE">
            <w:pPr>
              <w:spacing w:line="400" w:lineRule="exact"/>
              <w:jc w:val="center"/>
              <w:rPr>
                <w:rFonts w:ascii="仿宋_GB2312" w:eastAsia="仿宋_GB2312"/>
                <w:color w:val="auto"/>
                <w:szCs w:val="21"/>
                <w:highlight w:val="none"/>
              </w:rPr>
            </w:pPr>
            <w:r>
              <w:rPr>
                <w:rFonts w:ascii="仿宋_GB2312" w:eastAsia="仿宋_GB2312"/>
                <w:color w:val="auto"/>
                <w:szCs w:val="21"/>
                <w:highlight w:val="none"/>
              </w:rPr>
              <w:t>3</w:t>
            </w:r>
          </w:p>
        </w:tc>
        <w:tc>
          <w:tcPr>
            <w:tcW w:w="2086" w:type="dxa"/>
            <w:gridSpan w:val="2"/>
            <w:vAlign w:val="center"/>
          </w:tcPr>
          <w:p w14:paraId="0C6CFA27">
            <w:pPr>
              <w:spacing w:line="400" w:lineRule="exact"/>
              <w:jc w:val="left"/>
              <w:rPr>
                <w:rFonts w:ascii="仿宋_GB2312" w:eastAsia="仿宋_GB2312"/>
                <w:color w:val="auto"/>
                <w:szCs w:val="21"/>
                <w:highlight w:val="none"/>
              </w:rPr>
            </w:pPr>
            <w:r>
              <w:rPr>
                <w:rFonts w:hint="eastAsia" w:ascii="仿宋_GB2312" w:eastAsia="仿宋_GB2312"/>
                <w:color w:val="auto"/>
                <w:szCs w:val="21"/>
                <w:highlight w:val="none"/>
              </w:rPr>
              <w:t>拔地定桩（用地红线）</w:t>
            </w:r>
          </w:p>
        </w:tc>
        <w:tc>
          <w:tcPr>
            <w:tcW w:w="1955" w:type="dxa"/>
            <w:vAlign w:val="center"/>
          </w:tcPr>
          <w:p w14:paraId="4BC573D2">
            <w:pPr>
              <w:spacing w:line="400" w:lineRule="exact"/>
              <w:jc w:val="left"/>
              <w:rPr>
                <w:rFonts w:ascii="仿宋_GB2312" w:eastAsia="仿宋_GB2312"/>
                <w:color w:val="auto"/>
                <w:szCs w:val="21"/>
                <w:highlight w:val="none"/>
              </w:rPr>
            </w:pPr>
          </w:p>
        </w:tc>
        <w:tc>
          <w:tcPr>
            <w:tcW w:w="1213" w:type="dxa"/>
            <w:vAlign w:val="center"/>
          </w:tcPr>
          <w:p w14:paraId="70F92E55">
            <w:pPr>
              <w:spacing w:line="400" w:lineRule="exact"/>
              <w:jc w:val="left"/>
              <w:rPr>
                <w:rFonts w:ascii="仿宋_GB2312" w:eastAsia="仿宋_GB2312"/>
                <w:color w:val="auto"/>
                <w:szCs w:val="21"/>
                <w:highlight w:val="none"/>
              </w:rPr>
            </w:pPr>
            <w:r>
              <w:rPr>
                <w:rFonts w:hint="eastAsia" w:ascii="仿宋_GB2312" w:eastAsia="仿宋_GB2312"/>
                <w:color w:val="auto"/>
                <w:szCs w:val="21"/>
                <w:highlight w:val="none"/>
              </w:rPr>
              <w:t>2件</w:t>
            </w:r>
          </w:p>
        </w:tc>
        <w:tc>
          <w:tcPr>
            <w:tcW w:w="1418" w:type="dxa"/>
            <w:vAlign w:val="center"/>
          </w:tcPr>
          <w:p w14:paraId="22735410">
            <w:pPr>
              <w:spacing w:line="400" w:lineRule="exact"/>
              <w:jc w:val="left"/>
              <w:rPr>
                <w:rFonts w:ascii="仿宋_GB2312" w:eastAsia="仿宋_GB2312"/>
                <w:color w:val="auto"/>
                <w:szCs w:val="21"/>
                <w:highlight w:val="none"/>
              </w:rPr>
            </w:pPr>
          </w:p>
        </w:tc>
        <w:tc>
          <w:tcPr>
            <w:tcW w:w="1948" w:type="dxa"/>
            <w:vMerge w:val="continue"/>
            <w:vAlign w:val="center"/>
          </w:tcPr>
          <w:p w14:paraId="3D6CB3EB">
            <w:pPr>
              <w:spacing w:line="400" w:lineRule="exact"/>
              <w:jc w:val="left"/>
              <w:rPr>
                <w:rFonts w:ascii="仿宋_GB2312" w:eastAsia="仿宋_GB2312"/>
                <w:color w:val="auto"/>
                <w:szCs w:val="21"/>
                <w:highlight w:val="none"/>
              </w:rPr>
            </w:pPr>
          </w:p>
        </w:tc>
      </w:tr>
      <w:tr w14:paraId="166136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vAlign w:val="center"/>
          </w:tcPr>
          <w:p w14:paraId="238298F5">
            <w:pPr>
              <w:spacing w:line="400" w:lineRule="exact"/>
              <w:jc w:val="center"/>
              <w:rPr>
                <w:rFonts w:ascii="仿宋_GB2312" w:eastAsia="仿宋_GB2312"/>
                <w:color w:val="auto"/>
                <w:szCs w:val="21"/>
                <w:highlight w:val="none"/>
              </w:rPr>
            </w:pPr>
            <w:r>
              <w:rPr>
                <w:rFonts w:hint="eastAsia" w:ascii="仿宋_GB2312" w:eastAsia="仿宋_GB2312"/>
                <w:color w:val="auto"/>
                <w:szCs w:val="21"/>
                <w:highlight w:val="none"/>
              </w:rPr>
              <w:t>4</w:t>
            </w:r>
          </w:p>
        </w:tc>
        <w:tc>
          <w:tcPr>
            <w:tcW w:w="2086" w:type="dxa"/>
            <w:gridSpan w:val="2"/>
            <w:vAlign w:val="center"/>
          </w:tcPr>
          <w:p w14:paraId="6432BB47">
            <w:pPr>
              <w:spacing w:line="400" w:lineRule="exact"/>
              <w:jc w:val="left"/>
              <w:rPr>
                <w:rFonts w:ascii="仿宋_GB2312" w:eastAsia="仿宋_GB2312"/>
                <w:color w:val="auto"/>
                <w:szCs w:val="21"/>
                <w:highlight w:val="none"/>
              </w:rPr>
            </w:pPr>
            <w:r>
              <w:rPr>
                <w:rFonts w:hint="eastAsia" w:ascii="仿宋_GB2312" w:eastAsia="仿宋_GB2312"/>
                <w:color w:val="auto"/>
                <w:szCs w:val="21"/>
                <w:highlight w:val="none"/>
              </w:rPr>
              <w:t>规划许可省厅管制系统信息上传</w:t>
            </w:r>
          </w:p>
        </w:tc>
        <w:tc>
          <w:tcPr>
            <w:tcW w:w="1955" w:type="dxa"/>
            <w:vAlign w:val="center"/>
          </w:tcPr>
          <w:p w14:paraId="09478F8D">
            <w:pPr>
              <w:spacing w:line="400" w:lineRule="exact"/>
              <w:jc w:val="left"/>
              <w:rPr>
                <w:rFonts w:ascii="仿宋_GB2312" w:eastAsia="仿宋_GB2312"/>
                <w:color w:val="auto"/>
                <w:szCs w:val="21"/>
                <w:highlight w:val="none"/>
              </w:rPr>
            </w:pPr>
          </w:p>
        </w:tc>
        <w:tc>
          <w:tcPr>
            <w:tcW w:w="1213" w:type="dxa"/>
            <w:vAlign w:val="center"/>
          </w:tcPr>
          <w:p w14:paraId="195AD843">
            <w:pPr>
              <w:spacing w:line="400" w:lineRule="exact"/>
              <w:jc w:val="left"/>
              <w:rPr>
                <w:rFonts w:ascii="仿宋_GB2312" w:eastAsia="仿宋_GB2312"/>
                <w:color w:val="auto"/>
                <w:szCs w:val="21"/>
                <w:highlight w:val="none"/>
              </w:rPr>
            </w:pPr>
            <w:r>
              <w:rPr>
                <w:rFonts w:hint="eastAsia" w:ascii="仿宋_GB2312" w:eastAsia="仿宋_GB2312"/>
                <w:color w:val="auto"/>
                <w:szCs w:val="21"/>
                <w:highlight w:val="none"/>
              </w:rPr>
              <w:t>2</w:t>
            </w:r>
            <w:r>
              <w:rPr>
                <w:rFonts w:ascii="仿宋_GB2312" w:eastAsia="仿宋_GB2312"/>
                <w:color w:val="auto"/>
                <w:szCs w:val="21"/>
                <w:highlight w:val="none"/>
              </w:rPr>
              <w:t>2</w:t>
            </w:r>
            <w:r>
              <w:rPr>
                <w:rFonts w:hint="eastAsia" w:ascii="仿宋_GB2312" w:eastAsia="仿宋_GB2312"/>
                <w:color w:val="auto"/>
                <w:szCs w:val="21"/>
                <w:highlight w:val="none"/>
              </w:rPr>
              <w:t>幢</w:t>
            </w:r>
          </w:p>
        </w:tc>
        <w:tc>
          <w:tcPr>
            <w:tcW w:w="1418" w:type="dxa"/>
            <w:vAlign w:val="center"/>
          </w:tcPr>
          <w:p w14:paraId="4D27331E">
            <w:pPr>
              <w:spacing w:line="400" w:lineRule="exact"/>
              <w:jc w:val="left"/>
              <w:rPr>
                <w:rFonts w:ascii="仿宋_GB2312" w:eastAsia="仿宋_GB2312"/>
                <w:color w:val="auto"/>
                <w:szCs w:val="21"/>
                <w:highlight w:val="none"/>
              </w:rPr>
            </w:pPr>
          </w:p>
        </w:tc>
        <w:tc>
          <w:tcPr>
            <w:tcW w:w="1948" w:type="dxa"/>
            <w:vAlign w:val="center"/>
          </w:tcPr>
          <w:p w14:paraId="73E0E940">
            <w:pPr>
              <w:spacing w:line="400" w:lineRule="exact"/>
              <w:jc w:val="left"/>
              <w:rPr>
                <w:rFonts w:ascii="仿宋_GB2312" w:eastAsia="仿宋_GB2312"/>
                <w:color w:val="auto"/>
                <w:szCs w:val="21"/>
                <w:highlight w:val="none"/>
              </w:rPr>
            </w:pPr>
          </w:p>
        </w:tc>
      </w:tr>
      <w:tr w14:paraId="24AB86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vAlign w:val="center"/>
          </w:tcPr>
          <w:p w14:paraId="2A844976">
            <w:pPr>
              <w:spacing w:line="400" w:lineRule="exact"/>
              <w:jc w:val="center"/>
              <w:rPr>
                <w:rFonts w:ascii="仿宋_GB2312" w:eastAsia="仿宋_GB2312"/>
                <w:color w:val="auto"/>
                <w:szCs w:val="21"/>
                <w:highlight w:val="none"/>
              </w:rPr>
            </w:pPr>
            <w:r>
              <w:rPr>
                <w:rFonts w:ascii="仿宋_GB2312" w:eastAsia="仿宋_GB2312"/>
                <w:color w:val="auto"/>
                <w:szCs w:val="21"/>
                <w:highlight w:val="none"/>
              </w:rPr>
              <w:t>5</w:t>
            </w:r>
          </w:p>
        </w:tc>
        <w:tc>
          <w:tcPr>
            <w:tcW w:w="2086" w:type="dxa"/>
            <w:gridSpan w:val="2"/>
            <w:vAlign w:val="center"/>
          </w:tcPr>
          <w:p w14:paraId="3002EBEA">
            <w:pPr>
              <w:spacing w:line="400" w:lineRule="exact"/>
              <w:jc w:val="left"/>
              <w:rPr>
                <w:rFonts w:ascii="仿宋_GB2312" w:eastAsia="仿宋_GB2312"/>
                <w:color w:val="auto"/>
                <w:szCs w:val="21"/>
                <w:highlight w:val="none"/>
              </w:rPr>
            </w:pPr>
            <w:r>
              <w:rPr>
                <w:rFonts w:hint="eastAsia" w:ascii="仿宋_GB2312" w:eastAsia="仿宋_GB2312"/>
                <w:color w:val="auto"/>
                <w:szCs w:val="21"/>
                <w:highlight w:val="none"/>
              </w:rPr>
              <w:t>建筑物放（验）线</w:t>
            </w:r>
          </w:p>
        </w:tc>
        <w:tc>
          <w:tcPr>
            <w:tcW w:w="1955" w:type="dxa"/>
            <w:vAlign w:val="center"/>
          </w:tcPr>
          <w:p w14:paraId="7B2144C0">
            <w:pPr>
              <w:spacing w:line="400" w:lineRule="exact"/>
              <w:jc w:val="left"/>
              <w:rPr>
                <w:rFonts w:ascii="仿宋_GB2312" w:eastAsia="仿宋_GB2312"/>
                <w:color w:val="auto"/>
                <w:szCs w:val="21"/>
                <w:highlight w:val="none"/>
              </w:rPr>
            </w:pPr>
          </w:p>
        </w:tc>
        <w:tc>
          <w:tcPr>
            <w:tcW w:w="1213" w:type="dxa"/>
            <w:vAlign w:val="center"/>
          </w:tcPr>
          <w:p w14:paraId="4657644C">
            <w:pPr>
              <w:spacing w:line="400" w:lineRule="exact"/>
              <w:jc w:val="left"/>
              <w:rPr>
                <w:rFonts w:ascii="仿宋_GB2312" w:eastAsia="仿宋_GB2312"/>
                <w:color w:val="auto"/>
                <w:szCs w:val="21"/>
                <w:highlight w:val="none"/>
              </w:rPr>
            </w:pPr>
            <w:r>
              <w:rPr>
                <w:rFonts w:hint="eastAsia" w:ascii="仿宋_GB2312" w:eastAsia="仿宋_GB2312"/>
                <w:color w:val="auto"/>
                <w:szCs w:val="21"/>
                <w:highlight w:val="none"/>
              </w:rPr>
              <w:t>2</w:t>
            </w:r>
            <w:r>
              <w:rPr>
                <w:rFonts w:ascii="仿宋_GB2312" w:eastAsia="仿宋_GB2312"/>
                <w:color w:val="auto"/>
                <w:szCs w:val="21"/>
                <w:highlight w:val="none"/>
              </w:rPr>
              <w:t>2</w:t>
            </w:r>
            <w:r>
              <w:rPr>
                <w:rFonts w:hint="eastAsia" w:ascii="仿宋_GB2312" w:eastAsia="仿宋_GB2312"/>
                <w:color w:val="auto"/>
                <w:szCs w:val="21"/>
                <w:highlight w:val="none"/>
              </w:rPr>
              <w:t>件</w:t>
            </w:r>
          </w:p>
        </w:tc>
        <w:tc>
          <w:tcPr>
            <w:tcW w:w="1418" w:type="dxa"/>
            <w:vAlign w:val="center"/>
          </w:tcPr>
          <w:p w14:paraId="21AF9CD7">
            <w:pPr>
              <w:spacing w:line="400" w:lineRule="exact"/>
              <w:jc w:val="left"/>
              <w:rPr>
                <w:rFonts w:ascii="仿宋_GB2312" w:eastAsia="仿宋_GB2312"/>
                <w:color w:val="auto"/>
                <w:szCs w:val="21"/>
                <w:highlight w:val="none"/>
              </w:rPr>
            </w:pPr>
          </w:p>
        </w:tc>
        <w:tc>
          <w:tcPr>
            <w:tcW w:w="1948" w:type="dxa"/>
            <w:vAlign w:val="center"/>
          </w:tcPr>
          <w:p w14:paraId="6920A6CA">
            <w:pPr>
              <w:spacing w:line="400" w:lineRule="exact"/>
              <w:jc w:val="left"/>
              <w:rPr>
                <w:rFonts w:ascii="仿宋_GB2312" w:eastAsia="仿宋_GB2312"/>
                <w:color w:val="auto"/>
                <w:szCs w:val="21"/>
                <w:highlight w:val="none"/>
              </w:rPr>
            </w:pPr>
          </w:p>
        </w:tc>
      </w:tr>
      <w:tr w14:paraId="1AE70A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vAlign w:val="center"/>
          </w:tcPr>
          <w:p w14:paraId="635589AA">
            <w:pPr>
              <w:spacing w:line="400" w:lineRule="exact"/>
              <w:jc w:val="center"/>
              <w:rPr>
                <w:rFonts w:ascii="仿宋_GB2312" w:eastAsia="仿宋_GB2312"/>
                <w:color w:val="auto"/>
                <w:szCs w:val="21"/>
                <w:highlight w:val="none"/>
              </w:rPr>
            </w:pPr>
            <w:r>
              <w:rPr>
                <w:rFonts w:ascii="仿宋_GB2312" w:eastAsia="仿宋_GB2312"/>
                <w:color w:val="auto"/>
                <w:szCs w:val="21"/>
                <w:highlight w:val="none"/>
              </w:rPr>
              <w:t>6</w:t>
            </w:r>
          </w:p>
        </w:tc>
        <w:tc>
          <w:tcPr>
            <w:tcW w:w="2086" w:type="dxa"/>
            <w:gridSpan w:val="2"/>
            <w:vAlign w:val="center"/>
          </w:tcPr>
          <w:p w14:paraId="638F32AC">
            <w:pPr>
              <w:spacing w:line="400" w:lineRule="exact"/>
              <w:jc w:val="left"/>
              <w:rPr>
                <w:rFonts w:ascii="仿宋_GB2312" w:eastAsia="仿宋_GB2312"/>
                <w:color w:val="auto"/>
                <w:szCs w:val="21"/>
                <w:highlight w:val="none"/>
              </w:rPr>
            </w:pPr>
            <w:r>
              <w:rPr>
                <w:rFonts w:hint="eastAsia" w:ascii="仿宋_GB2312" w:eastAsia="仿宋_GB2312"/>
                <w:color w:val="auto"/>
                <w:szCs w:val="21"/>
                <w:highlight w:val="none"/>
              </w:rPr>
              <w:t>土方测绘</w:t>
            </w:r>
          </w:p>
        </w:tc>
        <w:tc>
          <w:tcPr>
            <w:tcW w:w="1955" w:type="dxa"/>
            <w:vAlign w:val="center"/>
          </w:tcPr>
          <w:p w14:paraId="0797CA41">
            <w:pPr>
              <w:spacing w:line="400" w:lineRule="exact"/>
              <w:jc w:val="left"/>
              <w:rPr>
                <w:rFonts w:ascii="仿宋_GB2312" w:eastAsia="仿宋_GB2312"/>
                <w:color w:val="auto"/>
                <w:szCs w:val="21"/>
                <w:highlight w:val="none"/>
              </w:rPr>
            </w:pPr>
          </w:p>
        </w:tc>
        <w:tc>
          <w:tcPr>
            <w:tcW w:w="1213" w:type="dxa"/>
            <w:vAlign w:val="center"/>
          </w:tcPr>
          <w:p w14:paraId="6536C3F4">
            <w:pPr>
              <w:spacing w:line="400" w:lineRule="exact"/>
              <w:jc w:val="left"/>
              <w:rPr>
                <w:rFonts w:ascii="仿宋_GB2312" w:eastAsia="仿宋_GB2312"/>
                <w:color w:val="auto"/>
                <w:szCs w:val="21"/>
                <w:highlight w:val="none"/>
              </w:rPr>
            </w:pPr>
            <w:r>
              <w:rPr>
                <w:rFonts w:ascii="仿宋_GB2312" w:eastAsia="仿宋_GB2312"/>
                <w:color w:val="auto"/>
                <w:szCs w:val="21"/>
                <w:highlight w:val="none"/>
              </w:rPr>
              <w:t>291749</w:t>
            </w:r>
            <w:r>
              <w:rPr>
                <w:rFonts w:hint="eastAsia" w:ascii="仿宋_GB2312" w:eastAsia="仿宋_GB2312"/>
                <w:color w:val="auto"/>
                <w:szCs w:val="21"/>
                <w:highlight w:val="none"/>
              </w:rPr>
              <w:t>㎡</w:t>
            </w:r>
          </w:p>
        </w:tc>
        <w:tc>
          <w:tcPr>
            <w:tcW w:w="1418" w:type="dxa"/>
            <w:vAlign w:val="center"/>
          </w:tcPr>
          <w:p w14:paraId="01084528">
            <w:pPr>
              <w:spacing w:line="400" w:lineRule="exact"/>
              <w:jc w:val="left"/>
              <w:rPr>
                <w:rFonts w:ascii="仿宋_GB2312" w:eastAsia="仿宋_GB2312"/>
                <w:color w:val="auto"/>
                <w:szCs w:val="21"/>
                <w:highlight w:val="none"/>
              </w:rPr>
            </w:pPr>
          </w:p>
        </w:tc>
        <w:tc>
          <w:tcPr>
            <w:tcW w:w="1948" w:type="dxa"/>
            <w:vAlign w:val="center"/>
          </w:tcPr>
          <w:p w14:paraId="3551B705">
            <w:pPr>
              <w:spacing w:line="400" w:lineRule="exact"/>
              <w:jc w:val="left"/>
              <w:rPr>
                <w:rFonts w:ascii="仿宋_GB2312" w:eastAsia="仿宋_GB2312"/>
                <w:color w:val="auto"/>
                <w:szCs w:val="21"/>
                <w:highlight w:val="none"/>
              </w:rPr>
            </w:pPr>
          </w:p>
        </w:tc>
      </w:tr>
      <w:tr w14:paraId="0F9520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vAlign w:val="center"/>
          </w:tcPr>
          <w:p w14:paraId="2C7B0071">
            <w:pPr>
              <w:spacing w:line="400" w:lineRule="exact"/>
              <w:jc w:val="center"/>
              <w:rPr>
                <w:rFonts w:ascii="仿宋_GB2312" w:eastAsia="仿宋_GB2312"/>
                <w:color w:val="auto"/>
                <w:szCs w:val="21"/>
                <w:highlight w:val="none"/>
              </w:rPr>
            </w:pPr>
            <w:r>
              <w:rPr>
                <w:rFonts w:ascii="仿宋_GB2312" w:eastAsia="仿宋_GB2312"/>
                <w:color w:val="auto"/>
                <w:szCs w:val="21"/>
                <w:highlight w:val="none"/>
              </w:rPr>
              <w:t>7</w:t>
            </w:r>
          </w:p>
        </w:tc>
        <w:tc>
          <w:tcPr>
            <w:tcW w:w="2086" w:type="dxa"/>
            <w:gridSpan w:val="2"/>
            <w:vAlign w:val="center"/>
          </w:tcPr>
          <w:p w14:paraId="05CCB659">
            <w:pPr>
              <w:spacing w:line="400" w:lineRule="exact"/>
              <w:jc w:val="left"/>
              <w:rPr>
                <w:rFonts w:ascii="仿宋_GB2312" w:eastAsia="仿宋_GB2312"/>
                <w:color w:val="auto"/>
                <w:szCs w:val="21"/>
                <w:highlight w:val="none"/>
              </w:rPr>
            </w:pPr>
            <w:r>
              <w:rPr>
                <w:rFonts w:hint="eastAsia" w:ascii="仿宋_GB2312" w:eastAsia="仿宋_GB2312"/>
                <w:color w:val="auto"/>
                <w:szCs w:val="21"/>
                <w:highlight w:val="none"/>
              </w:rPr>
              <w:t>规划经济指标核实</w:t>
            </w:r>
          </w:p>
        </w:tc>
        <w:tc>
          <w:tcPr>
            <w:tcW w:w="1955" w:type="dxa"/>
            <w:vAlign w:val="center"/>
          </w:tcPr>
          <w:p w14:paraId="197C3483">
            <w:pPr>
              <w:spacing w:line="400" w:lineRule="exact"/>
              <w:jc w:val="left"/>
              <w:rPr>
                <w:rFonts w:ascii="仿宋_GB2312" w:eastAsia="仿宋_GB2312"/>
                <w:color w:val="auto"/>
                <w:szCs w:val="21"/>
                <w:highlight w:val="none"/>
              </w:rPr>
            </w:pPr>
          </w:p>
        </w:tc>
        <w:tc>
          <w:tcPr>
            <w:tcW w:w="1213" w:type="dxa"/>
            <w:vAlign w:val="center"/>
          </w:tcPr>
          <w:p w14:paraId="4CF73BF3">
            <w:pPr>
              <w:spacing w:line="400" w:lineRule="exact"/>
              <w:jc w:val="left"/>
              <w:rPr>
                <w:rFonts w:ascii="仿宋_GB2312" w:eastAsia="仿宋_GB2312"/>
                <w:color w:val="auto"/>
                <w:szCs w:val="21"/>
                <w:highlight w:val="none"/>
              </w:rPr>
            </w:pPr>
            <w:r>
              <w:rPr>
                <w:rFonts w:hint="eastAsia" w:ascii="仿宋_GB2312" w:eastAsia="仿宋_GB2312"/>
                <w:color w:val="auto"/>
                <w:szCs w:val="21"/>
                <w:highlight w:val="none"/>
              </w:rPr>
              <w:t>247926.63㎡</w:t>
            </w:r>
          </w:p>
        </w:tc>
        <w:tc>
          <w:tcPr>
            <w:tcW w:w="1418" w:type="dxa"/>
            <w:vAlign w:val="center"/>
          </w:tcPr>
          <w:p w14:paraId="43C3BDDE">
            <w:pPr>
              <w:spacing w:line="400" w:lineRule="exact"/>
              <w:jc w:val="left"/>
              <w:rPr>
                <w:rFonts w:ascii="仿宋_GB2312" w:eastAsia="仿宋_GB2312"/>
                <w:color w:val="auto"/>
                <w:szCs w:val="21"/>
                <w:highlight w:val="none"/>
              </w:rPr>
            </w:pPr>
          </w:p>
        </w:tc>
        <w:tc>
          <w:tcPr>
            <w:tcW w:w="1948" w:type="dxa"/>
            <w:vAlign w:val="center"/>
          </w:tcPr>
          <w:p w14:paraId="4757D50D">
            <w:pPr>
              <w:spacing w:line="400" w:lineRule="exact"/>
              <w:jc w:val="left"/>
              <w:rPr>
                <w:rFonts w:ascii="仿宋_GB2312" w:eastAsia="仿宋_GB2312"/>
                <w:color w:val="auto"/>
                <w:szCs w:val="21"/>
                <w:highlight w:val="none"/>
              </w:rPr>
            </w:pPr>
          </w:p>
        </w:tc>
      </w:tr>
      <w:tr w14:paraId="13B42B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vAlign w:val="center"/>
          </w:tcPr>
          <w:p w14:paraId="6713553A">
            <w:pPr>
              <w:spacing w:line="400" w:lineRule="exact"/>
              <w:jc w:val="center"/>
              <w:rPr>
                <w:rFonts w:ascii="仿宋_GB2312" w:eastAsia="仿宋_GB2312"/>
                <w:color w:val="auto"/>
                <w:szCs w:val="21"/>
                <w:highlight w:val="none"/>
              </w:rPr>
            </w:pPr>
            <w:r>
              <w:rPr>
                <w:rFonts w:ascii="仿宋_GB2312" w:eastAsia="仿宋_GB2312"/>
                <w:color w:val="auto"/>
                <w:szCs w:val="21"/>
                <w:highlight w:val="none"/>
              </w:rPr>
              <w:t>8</w:t>
            </w:r>
          </w:p>
        </w:tc>
        <w:tc>
          <w:tcPr>
            <w:tcW w:w="2086" w:type="dxa"/>
            <w:gridSpan w:val="2"/>
            <w:vAlign w:val="center"/>
          </w:tcPr>
          <w:p w14:paraId="6BB97DBD">
            <w:pPr>
              <w:spacing w:line="400" w:lineRule="exact"/>
              <w:jc w:val="left"/>
              <w:rPr>
                <w:rFonts w:ascii="仿宋_GB2312" w:eastAsia="仿宋_GB2312"/>
                <w:color w:val="auto"/>
                <w:szCs w:val="21"/>
                <w:highlight w:val="none"/>
              </w:rPr>
            </w:pPr>
            <w:r>
              <w:rPr>
                <w:rFonts w:hint="eastAsia" w:ascii="仿宋_GB2312" w:eastAsia="仿宋_GB2312"/>
                <w:color w:val="auto"/>
                <w:szCs w:val="21"/>
                <w:highlight w:val="none"/>
              </w:rPr>
              <w:t>竣工总平面测绘</w:t>
            </w:r>
          </w:p>
        </w:tc>
        <w:tc>
          <w:tcPr>
            <w:tcW w:w="1955" w:type="dxa"/>
            <w:vAlign w:val="center"/>
          </w:tcPr>
          <w:p w14:paraId="4619BC89">
            <w:pPr>
              <w:spacing w:line="400" w:lineRule="exact"/>
              <w:jc w:val="left"/>
              <w:rPr>
                <w:rFonts w:ascii="仿宋_GB2312" w:eastAsia="仿宋_GB2312"/>
                <w:color w:val="auto"/>
                <w:szCs w:val="21"/>
                <w:highlight w:val="none"/>
              </w:rPr>
            </w:pPr>
          </w:p>
        </w:tc>
        <w:tc>
          <w:tcPr>
            <w:tcW w:w="1213" w:type="dxa"/>
            <w:vAlign w:val="center"/>
          </w:tcPr>
          <w:p w14:paraId="6462BDCB">
            <w:pPr>
              <w:spacing w:line="400" w:lineRule="exact"/>
              <w:jc w:val="left"/>
              <w:rPr>
                <w:rFonts w:ascii="仿宋_GB2312" w:eastAsia="仿宋_GB2312"/>
                <w:color w:val="auto"/>
                <w:szCs w:val="21"/>
                <w:highlight w:val="none"/>
              </w:rPr>
            </w:pPr>
            <w:r>
              <w:rPr>
                <w:rFonts w:ascii="仿宋_GB2312" w:eastAsia="仿宋_GB2312"/>
                <w:color w:val="auto"/>
                <w:szCs w:val="21"/>
                <w:highlight w:val="none"/>
              </w:rPr>
              <w:t>291749</w:t>
            </w:r>
            <w:r>
              <w:rPr>
                <w:rFonts w:hint="eastAsia" w:ascii="仿宋_GB2312" w:eastAsia="仿宋_GB2312"/>
                <w:color w:val="auto"/>
                <w:szCs w:val="21"/>
                <w:highlight w:val="none"/>
              </w:rPr>
              <w:t>㎡</w:t>
            </w:r>
          </w:p>
        </w:tc>
        <w:tc>
          <w:tcPr>
            <w:tcW w:w="1418" w:type="dxa"/>
            <w:vAlign w:val="center"/>
          </w:tcPr>
          <w:p w14:paraId="3B17EF69">
            <w:pPr>
              <w:spacing w:line="400" w:lineRule="exact"/>
              <w:jc w:val="left"/>
              <w:rPr>
                <w:rFonts w:ascii="仿宋_GB2312" w:eastAsia="仿宋_GB2312"/>
                <w:color w:val="auto"/>
                <w:szCs w:val="21"/>
                <w:highlight w:val="none"/>
              </w:rPr>
            </w:pPr>
          </w:p>
        </w:tc>
        <w:tc>
          <w:tcPr>
            <w:tcW w:w="1948" w:type="dxa"/>
            <w:vAlign w:val="center"/>
          </w:tcPr>
          <w:p w14:paraId="204860BE">
            <w:pPr>
              <w:spacing w:line="400" w:lineRule="exact"/>
              <w:jc w:val="left"/>
              <w:rPr>
                <w:rFonts w:ascii="仿宋_GB2312" w:eastAsia="仿宋_GB2312"/>
                <w:color w:val="auto"/>
                <w:szCs w:val="21"/>
                <w:highlight w:val="none"/>
              </w:rPr>
            </w:pPr>
          </w:p>
        </w:tc>
      </w:tr>
      <w:tr w14:paraId="57D153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vAlign w:val="center"/>
          </w:tcPr>
          <w:p w14:paraId="01F386C4">
            <w:pPr>
              <w:spacing w:line="400" w:lineRule="exact"/>
              <w:jc w:val="center"/>
              <w:rPr>
                <w:rFonts w:ascii="仿宋_GB2312" w:eastAsia="仿宋_GB2312"/>
                <w:color w:val="auto"/>
                <w:szCs w:val="21"/>
                <w:highlight w:val="none"/>
              </w:rPr>
            </w:pPr>
            <w:r>
              <w:rPr>
                <w:rFonts w:ascii="仿宋_GB2312" w:eastAsia="仿宋_GB2312"/>
                <w:color w:val="auto"/>
                <w:szCs w:val="21"/>
                <w:highlight w:val="none"/>
              </w:rPr>
              <w:t>9</w:t>
            </w:r>
          </w:p>
        </w:tc>
        <w:tc>
          <w:tcPr>
            <w:tcW w:w="2086" w:type="dxa"/>
            <w:gridSpan w:val="2"/>
            <w:vAlign w:val="center"/>
          </w:tcPr>
          <w:p w14:paraId="7685B237">
            <w:pPr>
              <w:spacing w:line="400" w:lineRule="exact"/>
              <w:jc w:val="left"/>
              <w:rPr>
                <w:rFonts w:ascii="仿宋_GB2312" w:eastAsia="仿宋_GB2312"/>
                <w:color w:val="auto"/>
                <w:szCs w:val="21"/>
                <w:highlight w:val="none"/>
              </w:rPr>
            </w:pPr>
            <w:r>
              <w:rPr>
                <w:rFonts w:hint="eastAsia" w:ascii="仿宋_GB2312" w:eastAsia="仿宋_GB2312"/>
                <w:color w:val="auto"/>
                <w:szCs w:val="21"/>
                <w:highlight w:val="none"/>
              </w:rPr>
              <w:t>地籍测绘</w:t>
            </w:r>
          </w:p>
        </w:tc>
        <w:tc>
          <w:tcPr>
            <w:tcW w:w="1955" w:type="dxa"/>
            <w:vAlign w:val="center"/>
          </w:tcPr>
          <w:p w14:paraId="0212DDD9">
            <w:pPr>
              <w:spacing w:line="400" w:lineRule="exact"/>
              <w:jc w:val="left"/>
              <w:rPr>
                <w:rFonts w:ascii="仿宋_GB2312" w:eastAsia="仿宋_GB2312"/>
                <w:color w:val="auto"/>
                <w:szCs w:val="21"/>
                <w:highlight w:val="none"/>
              </w:rPr>
            </w:pPr>
          </w:p>
        </w:tc>
        <w:tc>
          <w:tcPr>
            <w:tcW w:w="1213" w:type="dxa"/>
            <w:vAlign w:val="center"/>
          </w:tcPr>
          <w:p w14:paraId="28D58D99">
            <w:pPr>
              <w:spacing w:line="400" w:lineRule="exact"/>
              <w:jc w:val="left"/>
              <w:rPr>
                <w:rFonts w:ascii="仿宋_GB2312" w:eastAsia="仿宋_GB2312"/>
                <w:color w:val="auto"/>
                <w:szCs w:val="21"/>
                <w:highlight w:val="none"/>
              </w:rPr>
            </w:pPr>
            <w:r>
              <w:rPr>
                <w:rFonts w:ascii="仿宋_GB2312" w:eastAsia="仿宋_GB2312"/>
                <w:color w:val="auto"/>
                <w:szCs w:val="21"/>
                <w:highlight w:val="none"/>
              </w:rPr>
              <w:t>291749</w:t>
            </w:r>
            <w:r>
              <w:rPr>
                <w:rFonts w:hint="eastAsia" w:ascii="仿宋_GB2312" w:eastAsia="仿宋_GB2312"/>
                <w:color w:val="auto"/>
                <w:szCs w:val="21"/>
                <w:highlight w:val="none"/>
              </w:rPr>
              <w:t>㎡</w:t>
            </w:r>
          </w:p>
        </w:tc>
        <w:tc>
          <w:tcPr>
            <w:tcW w:w="1418" w:type="dxa"/>
            <w:vAlign w:val="center"/>
          </w:tcPr>
          <w:p w14:paraId="23A5F02A">
            <w:pPr>
              <w:spacing w:line="400" w:lineRule="exact"/>
              <w:jc w:val="left"/>
              <w:rPr>
                <w:rFonts w:ascii="仿宋_GB2312" w:eastAsia="仿宋_GB2312"/>
                <w:color w:val="auto"/>
                <w:szCs w:val="21"/>
                <w:highlight w:val="none"/>
              </w:rPr>
            </w:pPr>
          </w:p>
        </w:tc>
        <w:tc>
          <w:tcPr>
            <w:tcW w:w="1948" w:type="dxa"/>
            <w:vAlign w:val="center"/>
          </w:tcPr>
          <w:p w14:paraId="2FFB53F9">
            <w:pPr>
              <w:spacing w:line="400" w:lineRule="exact"/>
              <w:jc w:val="left"/>
              <w:rPr>
                <w:rFonts w:ascii="仿宋_GB2312" w:eastAsia="仿宋_GB2312"/>
                <w:color w:val="auto"/>
                <w:szCs w:val="21"/>
                <w:highlight w:val="none"/>
              </w:rPr>
            </w:pPr>
          </w:p>
        </w:tc>
      </w:tr>
      <w:tr w14:paraId="48529E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666" w:type="dxa"/>
            <w:vMerge w:val="restart"/>
            <w:vAlign w:val="center"/>
          </w:tcPr>
          <w:p w14:paraId="14849E25">
            <w:pPr>
              <w:spacing w:line="400" w:lineRule="exact"/>
              <w:jc w:val="center"/>
              <w:rPr>
                <w:rFonts w:ascii="仿宋_GB2312" w:eastAsia="仿宋_GB2312"/>
                <w:color w:val="auto"/>
                <w:szCs w:val="21"/>
                <w:highlight w:val="none"/>
              </w:rPr>
            </w:pPr>
            <w:r>
              <w:rPr>
                <w:rFonts w:ascii="仿宋_GB2312" w:eastAsia="仿宋_GB2312"/>
                <w:color w:val="auto"/>
                <w:szCs w:val="21"/>
                <w:highlight w:val="none"/>
              </w:rPr>
              <w:t>10</w:t>
            </w:r>
          </w:p>
        </w:tc>
        <w:tc>
          <w:tcPr>
            <w:tcW w:w="1143" w:type="dxa"/>
            <w:vMerge w:val="restart"/>
            <w:vAlign w:val="center"/>
          </w:tcPr>
          <w:p w14:paraId="3EB3BA0C">
            <w:pPr>
              <w:spacing w:line="400" w:lineRule="exact"/>
              <w:jc w:val="left"/>
              <w:rPr>
                <w:rFonts w:ascii="仿宋_GB2312" w:eastAsia="仿宋_GB2312"/>
                <w:color w:val="auto"/>
                <w:szCs w:val="21"/>
                <w:highlight w:val="none"/>
              </w:rPr>
            </w:pPr>
            <w:r>
              <w:rPr>
                <w:rFonts w:hint="eastAsia" w:ascii="仿宋_GB2312" w:eastAsia="仿宋_GB2312"/>
                <w:color w:val="auto"/>
                <w:szCs w:val="21"/>
                <w:highlight w:val="none"/>
              </w:rPr>
              <w:t>房产测绘</w:t>
            </w:r>
          </w:p>
        </w:tc>
        <w:tc>
          <w:tcPr>
            <w:tcW w:w="943" w:type="dxa"/>
            <w:vAlign w:val="center"/>
          </w:tcPr>
          <w:p w14:paraId="0FF53894">
            <w:pPr>
              <w:spacing w:line="400" w:lineRule="exact"/>
              <w:jc w:val="left"/>
              <w:rPr>
                <w:rFonts w:ascii="仿宋_GB2312" w:eastAsia="仿宋_GB2312"/>
                <w:color w:val="auto"/>
                <w:szCs w:val="21"/>
                <w:highlight w:val="none"/>
              </w:rPr>
            </w:pPr>
            <w:r>
              <w:rPr>
                <w:rFonts w:hint="eastAsia" w:ascii="仿宋_GB2312" w:eastAsia="仿宋_GB2312"/>
                <w:color w:val="auto"/>
                <w:szCs w:val="21"/>
                <w:highlight w:val="none"/>
              </w:rPr>
              <w:t>住宅</w:t>
            </w:r>
          </w:p>
        </w:tc>
        <w:tc>
          <w:tcPr>
            <w:tcW w:w="1955" w:type="dxa"/>
            <w:vAlign w:val="center"/>
          </w:tcPr>
          <w:p w14:paraId="4D882D8D">
            <w:pPr>
              <w:spacing w:line="400" w:lineRule="exact"/>
              <w:jc w:val="left"/>
              <w:rPr>
                <w:rFonts w:ascii="仿宋_GB2312" w:eastAsia="仿宋_GB2312"/>
                <w:color w:val="auto"/>
                <w:szCs w:val="21"/>
                <w:highlight w:val="none"/>
              </w:rPr>
            </w:pPr>
          </w:p>
        </w:tc>
        <w:tc>
          <w:tcPr>
            <w:tcW w:w="1213" w:type="dxa"/>
            <w:vAlign w:val="center"/>
          </w:tcPr>
          <w:p w14:paraId="7C48655E">
            <w:pPr>
              <w:spacing w:line="400" w:lineRule="exact"/>
              <w:jc w:val="left"/>
              <w:rPr>
                <w:rFonts w:ascii="仿宋_GB2312" w:eastAsia="仿宋_GB2312"/>
                <w:color w:val="auto"/>
                <w:szCs w:val="21"/>
                <w:highlight w:val="none"/>
              </w:rPr>
            </w:pPr>
            <w:r>
              <w:rPr>
                <w:rFonts w:hint="eastAsia" w:ascii="仿宋_GB2312" w:eastAsia="仿宋_GB2312"/>
                <w:color w:val="auto"/>
                <w:szCs w:val="21"/>
                <w:highlight w:val="none"/>
              </w:rPr>
              <w:t xml:space="preserve">0.00 </w:t>
            </w:r>
          </w:p>
        </w:tc>
        <w:tc>
          <w:tcPr>
            <w:tcW w:w="1418" w:type="dxa"/>
            <w:vAlign w:val="center"/>
          </w:tcPr>
          <w:p w14:paraId="0065BD9D">
            <w:pPr>
              <w:spacing w:line="400" w:lineRule="exact"/>
              <w:jc w:val="left"/>
              <w:rPr>
                <w:rFonts w:ascii="仿宋_GB2312" w:eastAsia="仿宋_GB2312"/>
                <w:color w:val="auto"/>
                <w:szCs w:val="21"/>
                <w:highlight w:val="none"/>
              </w:rPr>
            </w:pPr>
          </w:p>
        </w:tc>
        <w:tc>
          <w:tcPr>
            <w:tcW w:w="1948" w:type="dxa"/>
            <w:vMerge w:val="restart"/>
            <w:vAlign w:val="center"/>
          </w:tcPr>
          <w:p w14:paraId="5A27EA41">
            <w:pPr>
              <w:spacing w:line="400" w:lineRule="exact"/>
              <w:jc w:val="left"/>
              <w:rPr>
                <w:rFonts w:ascii="仿宋_GB2312" w:eastAsia="仿宋_GB2312"/>
                <w:color w:val="auto"/>
                <w:szCs w:val="21"/>
                <w:highlight w:val="none"/>
              </w:rPr>
            </w:pPr>
          </w:p>
        </w:tc>
      </w:tr>
      <w:tr w14:paraId="4BDD31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66" w:type="dxa"/>
            <w:vMerge w:val="continue"/>
            <w:vAlign w:val="center"/>
          </w:tcPr>
          <w:p w14:paraId="249C2E47">
            <w:pPr>
              <w:spacing w:line="400" w:lineRule="exact"/>
              <w:ind w:left="142"/>
              <w:jc w:val="center"/>
              <w:rPr>
                <w:rFonts w:ascii="仿宋_GB2312" w:eastAsia="仿宋_GB2312"/>
                <w:color w:val="auto"/>
                <w:szCs w:val="21"/>
                <w:highlight w:val="none"/>
              </w:rPr>
            </w:pPr>
          </w:p>
        </w:tc>
        <w:tc>
          <w:tcPr>
            <w:tcW w:w="1143" w:type="dxa"/>
            <w:vMerge w:val="continue"/>
            <w:vAlign w:val="center"/>
          </w:tcPr>
          <w:p w14:paraId="16A81E94">
            <w:pPr>
              <w:spacing w:line="400" w:lineRule="exact"/>
              <w:jc w:val="left"/>
              <w:rPr>
                <w:rFonts w:ascii="仿宋_GB2312" w:eastAsia="仿宋_GB2312"/>
                <w:color w:val="auto"/>
                <w:szCs w:val="21"/>
                <w:highlight w:val="none"/>
              </w:rPr>
            </w:pPr>
          </w:p>
        </w:tc>
        <w:tc>
          <w:tcPr>
            <w:tcW w:w="943" w:type="dxa"/>
            <w:vAlign w:val="center"/>
          </w:tcPr>
          <w:p w14:paraId="4AA9E3DD">
            <w:pPr>
              <w:spacing w:line="400" w:lineRule="exact"/>
              <w:jc w:val="left"/>
              <w:rPr>
                <w:rFonts w:ascii="仿宋_GB2312" w:eastAsia="仿宋_GB2312"/>
                <w:color w:val="auto"/>
                <w:szCs w:val="21"/>
                <w:highlight w:val="none"/>
              </w:rPr>
            </w:pPr>
            <w:r>
              <w:rPr>
                <w:rFonts w:hint="eastAsia" w:ascii="仿宋_GB2312" w:eastAsia="仿宋_GB2312"/>
                <w:color w:val="auto"/>
                <w:szCs w:val="21"/>
                <w:highlight w:val="none"/>
              </w:rPr>
              <w:t>非住宅</w:t>
            </w:r>
          </w:p>
        </w:tc>
        <w:tc>
          <w:tcPr>
            <w:tcW w:w="1955" w:type="dxa"/>
            <w:vAlign w:val="center"/>
          </w:tcPr>
          <w:p w14:paraId="729775CA">
            <w:pPr>
              <w:spacing w:line="400" w:lineRule="exact"/>
              <w:jc w:val="left"/>
              <w:rPr>
                <w:rFonts w:ascii="仿宋_GB2312" w:eastAsia="仿宋_GB2312"/>
                <w:color w:val="auto"/>
                <w:szCs w:val="21"/>
                <w:highlight w:val="none"/>
              </w:rPr>
            </w:pPr>
          </w:p>
        </w:tc>
        <w:tc>
          <w:tcPr>
            <w:tcW w:w="1213" w:type="dxa"/>
            <w:vAlign w:val="center"/>
          </w:tcPr>
          <w:p w14:paraId="378EC4CA">
            <w:pPr>
              <w:spacing w:line="400" w:lineRule="exact"/>
              <w:jc w:val="left"/>
              <w:rPr>
                <w:rFonts w:ascii="仿宋_GB2312" w:eastAsia="仿宋_GB2312"/>
                <w:color w:val="auto"/>
                <w:szCs w:val="21"/>
                <w:highlight w:val="none"/>
              </w:rPr>
            </w:pPr>
            <w:r>
              <w:rPr>
                <w:rFonts w:hint="eastAsia" w:ascii="仿宋_GB2312" w:eastAsia="仿宋_GB2312"/>
                <w:color w:val="auto"/>
                <w:szCs w:val="21"/>
                <w:highlight w:val="none"/>
              </w:rPr>
              <w:t xml:space="preserve">247926.63㎡ </w:t>
            </w:r>
          </w:p>
        </w:tc>
        <w:tc>
          <w:tcPr>
            <w:tcW w:w="1418" w:type="dxa"/>
            <w:vAlign w:val="center"/>
          </w:tcPr>
          <w:p w14:paraId="7B203D57">
            <w:pPr>
              <w:spacing w:line="400" w:lineRule="exact"/>
              <w:jc w:val="left"/>
              <w:rPr>
                <w:rFonts w:ascii="仿宋_GB2312" w:eastAsia="仿宋_GB2312"/>
                <w:color w:val="auto"/>
                <w:szCs w:val="21"/>
                <w:highlight w:val="none"/>
              </w:rPr>
            </w:pPr>
          </w:p>
        </w:tc>
        <w:tc>
          <w:tcPr>
            <w:tcW w:w="1948" w:type="dxa"/>
            <w:vMerge w:val="continue"/>
            <w:vAlign w:val="center"/>
          </w:tcPr>
          <w:p w14:paraId="1EDE2925">
            <w:pPr>
              <w:spacing w:line="400" w:lineRule="exact"/>
              <w:jc w:val="left"/>
              <w:rPr>
                <w:rFonts w:ascii="仿宋_GB2312" w:eastAsia="仿宋_GB2312"/>
                <w:color w:val="auto"/>
                <w:szCs w:val="21"/>
                <w:highlight w:val="none"/>
              </w:rPr>
            </w:pPr>
          </w:p>
        </w:tc>
      </w:tr>
      <w:tr w14:paraId="638EC5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vAlign w:val="center"/>
          </w:tcPr>
          <w:p w14:paraId="7FC8A83E">
            <w:pPr>
              <w:spacing w:line="400" w:lineRule="exact"/>
              <w:jc w:val="center"/>
              <w:rPr>
                <w:rFonts w:ascii="仿宋_GB2312" w:eastAsia="仿宋_GB2312"/>
                <w:color w:val="auto"/>
                <w:szCs w:val="21"/>
                <w:highlight w:val="none"/>
              </w:rPr>
            </w:pPr>
            <w:r>
              <w:rPr>
                <w:rFonts w:ascii="仿宋_GB2312" w:eastAsia="仿宋_GB2312"/>
                <w:color w:val="auto"/>
                <w:szCs w:val="21"/>
                <w:highlight w:val="none"/>
              </w:rPr>
              <w:t>11</w:t>
            </w:r>
          </w:p>
        </w:tc>
        <w:tc>
          <w:tcPr>
            <w:tcW w:w="2086" w:type="dxa"/>
            <w:gridSpan w:val="2"/>
            <w:vAlign w:val="center"/>
          </w:tcPr>
          <w:p w14:paraId="4FEB5B44">
            <w:pPr>
              <w:spacing w:line="400" w:lineRule="exact"/>
              <w:jc w:val="left"/>
              <w:rPr>
                <w:rFonts w:ascii="仿宋_GB2312" w:eastAsia="仿宋_GB2312"/>
                <w:color w:val="auto"/>
                <w:szCs w:val="21"/>
                <w:highlight w:val="none"/>
              </w:rPr>
            </w:pPr>
            <w:r>
              <w:rPr>
                <w:rFonts w:hint="eastAsia" w:ascii="仿宋_GB2312" w:eastAsia="仿宋_GB2312"/>
                <w:color w:val="auto"/>
                <w:szCs w:val="21"/>
                <w:highlight w:val="none"/>
              </w:rPr>
              <w:t>规划核实省厅管制系统信息上传</w:t>
            </w:r>
          </w:p>
        </w:tc>
        <w:tc>
          <w:tcPr>
            <w:tcW w:w="1955" w:type="dxa"/>
            <w:vAlign w:val="center"/>
          </w:tcPr>
          <w:p w14:paraId="13192C94">
            <w:pPr>
              <w:spacing w:line="400" w:lineRule="exact"/>
              <w:jc w:val="left"/>
              <w:rPr>
                <w:rFonts w:ascii="仿宋_GB2312" w:eastAsia="仿宋_GB2312"/>
                <w:color w:val="auto"/>
                <w:szCs w:val="21"/>
                <w:highlight w:val="none"/>
              </w:rPr>
            </w:pPr>
          </w:p>
        </w:tc>
        <w:tc>
          <w:tcPr>
            <w:tcW w:w="1213" w:type="dxa"/>
            <w:vAlign w:val="center"/>
          </w:tcPr>
          <w:p w14:paraId="47CFDA52">
            <w:pPr>
              <w:spacing w:line="400" w:lineRule="exact"/>
              <w:jc w:val="left"/>
              <w:rPr>
                <w:rFonts w:ascii="仿宋_GB2312" w:eastAsia="仿宋_GB2312"/>
                <w:color w:val="auto"/>
                <w:szCs w:val="21"/>
                <w:highlight w:val="none"/>
              </w:rPr>
            </w:pPr>
            <w:r>
              <w:rPr>
                <w:rFonts w:hint="eastAsia" w:ascii="仿宋_GB2312" w:eastAsia="仿宋_GB2312"/>
                <w:color w:val="auto"/>
                <w:szCs w:val="21"/>
                <w:highlight w:val="none"/>
              </w:rPr>
              <w:t>22幢</w:t>
            </w:r>
          </w:p>
        </w:tc>
        <w:tc>
          <w:tcPr>
            <w:tcW w:w="1418" w:type="dxa"/>
            <w:vAlign w:val="center"/>
          </w:tcPr>
          <w:p w14:paraId="0BF74A3E">
            <w:pPr>
              <w:spacing w:line="400" w:lineRule="exact"/>
              <w:jc w:val="left"/>
              <w:rPr>
                <w:rFonts w:ascii="仿宋_GB2312" w:eastAsia="仿宋_GB2312"/>
                <w:color w:val="auto"/>
                <w:szCs w:val="21"/>
                <w:highlight w:val="none"/>
              </w:rPr>
            </w:pPr>
          </w:p>
        </w:tc>
        <w:tc>
          <w:tcPr>
            <w:tcW w:w="1948" w:type="dxa"/>
            <w:vAlign w:val="center"/>
          </w:tcPr>
          <w:p w14:paraId="28E7E6D2">
            <w:pPr>
              <w:spacing w:line="400" w:lineRule="exact"/>
              <w:jc w:val="left"/>
              <w:rPr>
                <w:rFonts w:ascii="仿宋_GB2312" w:eastAsia="仿宋_GB2312"/>
                <w:color w:val="auto"/>
                <w:szCs w:val="21"/>
                <w:highlight w:val="none"/>
              </w:rPr>
            </w:pPr>
          </w:p>
        </w:tc>
      </w:tr>
      <w:tr w14:paraId="1BD0A2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vAlign w:val="center"/>
          </w:tcPr>
          <w:p w14:paraId="37DA5A8D">
            <w:pPr>
              <w:spacing w:line="400" w:lineRule="exact"/>
              <w:jc w:val="center"/>
              <w:rPr>
                <w:rFonts w:hint="default" w:ascii="仿宋_GB2312" w:eastAsia="仿宋_GB2312"/>
                <w:color w:val="auto"/>
                <w:szCs w:val="21"/>
                <w:highlight w:val="none"/>
                <w:lang w:val="en-US" w:eastAsia="zh-CN"/>
              </w:rPr>
            </w:pPr>
            <w:r>
              <w:rPr>
                <w:rFonts w:hint="eastAsia" w:ascii="仿宋_GB2312" w:eastAsia="仿宋_GB2312"/>
                <w:color w:val="auto"/>
                <w:szCs w:val="21"/>
                <w:highlight w:val="none"/>
                <w:lang w:val="en-US" w:eastAsia="zh-CN"/>
              </w:rPr>
              <w:t>12</w:t>
            </w:r>
          </w:p>
        </w:tc>
        <w:tc>
          <w:tcPr>
            <w:tcW w:w="2086" w:type="dxa"/>
            <w:gridSpan w:val="2"/>
            <w:vAlign w:val="center"/>
          </w:tcPr>
          <w:p w14:paraId="69B166A4">
            <w:pPr>
              <w:spacing w:line="400" w:lineRule="exact"/>
              <w:jc w:val="left"/>
              <w:rPr>
                <w:rFonts w:hint="default" w:ascii="仿宋_GB2312" w:eastAsia="仿宋_GB2312"/>
                <w:color w:val="auto"/>
                <w:szCs w:val="21"/>
                <w:highlight w:val="none"/>
                <w:lang w:val="en-US" w:eastAsia="zh-CN"/>
              </w:rPr>
            </w:pPr>
            <w:r>
              <w:rPr>
                <w:rFonts w:hint="eastAsia" w:ascii="仿宋_GB2312" w:eastAsia="仿宋_GB2312"/>
                <w:color w:val="auto"/>
                <w:szCs w:val="21"/>
                <w:highlight w:val="none"/>
                <w:lang w:val="en-US" w:eastAsia="zh-CN"/>
              </w:rPr>
              <w:t>空间规划</w:t>
            </w:r>
          </w:p>
        </w:tc>
        <w:tc>
          <w:tcPr>
            <w:tcW w:w="1955" w:type="dxa"/>
            <w:vAlign w:val="center"/>
          </w:tcPr>
          <w:p w14:paraId="20D1EEA7">
            <w:pPr>
              <w:spacing w:line="400" w:lineRule="exact"/>
              <w:jc w:val="left"/>
              <w:rPr>
                <w:rFonts w:ascii="仿宋_GB2312" w:eastAsia="仿宋_GB2312"/>
                <w:color w:val="auto"/>
                <w:szCs w:val="21"/>
                <w:highlight w:val="none"/>
              </w:rPr>
            </w:pPr>
          </w:p>
        </w:tc>
        <w:tc>
          <w:tcPr>
            <w:tcW w:w="1213" w:type="dxa"/>
            <w:vAlign w:val="center"/>
          </w:tcPr>
          <w:p w14:paraId="21152D04">
            <w:pPr>
              <w:spacing w:line="400" w:lineRule="exact"/>
              <w:jc w:val="left"/>
              <w:rPr>
                <w:rFonts w:hint="default" w:ascii="仿宋_GB2312" w:eastAsia="仿宋_GB2312"/>
                <w:color w:val="auto"/>
                <w:szCs w:val="21"/>
                <w:highlight w:val="none"/>
                <w:lang w:val="en-US" w:eastAsia="zh-CN"/>
              </w:rPr>
            </w:pPr>
            <w:r>
              <w:rPr>
                <w:rFonts w:hint="eastAsia" w:ascii="仿宋_GB2312" w:eastAsia="仿宋_GB2312"/>
                <w:color w:val="auto"/>
                <w:szCs w:val="21"/>
                <w:highlight w:val="none"/>
                <w:lang w:val="en-US" w:eastAsia="zh-CN"/>
              </w:rPr>
              <w:t>1项</w:t>
            </w:r>
          </w:p>
        </w:tc>
        <w:tc>
          <w:tcPr>
            <w:tcW w:w="1418" w:type="dxa"/>
            <w:vAlign w:val="center"/>
          </w:tcPr>
          <w:p w14:paraId="11681FC1">
            <w:pPr>
              <w:spacing w:line="400" w:lineRule="exact"/>
              <w:jc w:val="left"/>
              <w:rPr>
                <w:rFonts w:ascii="仿宋_GB2312" w:eastAsia="仿宋_GB2312"/>
                <w:color w:val="auto"/>
                <w:szCs w:val="21"/>
                <w:highlight w:val="none"/>
              </w:rPr>
            </w:pPr>
          </w:p>
        </w:tc>
        <w:tc>
          <w:tcPr>
            <w:tcW w:w="1948" w:type="dxa"/>
            <w:vAlign w:val="center"/>
          </w:tcPr>
          <w:p w14:paraId="1781C170">
            <w:pPr>
              <w:spacing w:line="400" w:lineRule="exact"/>
              <w:jc w:val="left"/>
              <w:rPr>
                <w:rFonts w:ascii="仿宋_GB2312" w:eastAsia="仿宋_GB2312"/>
                <w:color w:val="auto"/>
                <w:szCs w:val="21"/>
                <w:highlight w:val="none"/>
              </w:rPr>
            </w:pPr>
          </w:p>
        </w:tc>
      </w:tr>
      <w:tr w14:paraId="15D51E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9286" w:type="dxa"/>
            <w:gridSpan w:val="7"/>
            <w:vAlign w:val="center"/>
          </w:tcPr>
          <w:p w14:paraId="774B10EC">
            <w:pPr>
              <w:spacing w:line="400" w:lineRule="exact"/>
              <w:jc w:val="left"/>
              <w:rPr>
                <w:rFonts w:ascii="宋体" w:hAnsi="宋体"/>
                <w:color w:val="auto"/>
                <w:szCs w:val="21"/>
                <w:highlight w:val="none"/>
              </w:rPr>
            </w:pPr>
            <w:r>
              <w:rPr>
                <w:rFonts w:hint="eastAsia" w:ascii="宋体" w:hAnsi="宋体"/>
                <w:b/>
                <w:bCs/>
                <w:color w:val="auto"/>
                <w:szCs w:val="21"/>
                <w:highlight w:val="none"/>
              </w:rPr>
              <w:t>总计测绘费用合计：</w:t>
            </w:r>
          </w:p>
        </w:tc>
      </w:tr>
    </w:tbl>
    <w:p w14:paraId="2BEEBD5A">
      <w:pPr>
        <w:spacing w:line="400" w:lineRule="exact"/>
        <w:jc w:val="left"/>
        <w:rPr>
          <w:rFonts w:hint="eastAsia" w:ascii="宋体" w:hAnsi="宋体" w:eastAsia="宋体" w:cs="Times New Roman"/>
          <w:b/>
          <w:bCs/>
          <w:color w:val="auto"/>
          <w:szCs w:val="21"/>
          <w:highlight w:val="none"/>
        </w:rPr>
      </w:pPr>
      <w:r>
        <w:rPr>
          <w:rFonts w:hint="eastAsia" w:ascii="宋体" w:hAnsi="宋体" w:eastAsia="宋体" w:cs="Times New Roman"/>
          <w:b/>
          <w:bCs/>
          <w:color w:val="auto"/>
          <w:szCs w:val="21"/>
          <w:highlight w:val="none"/>
        </w:rPr>
        <w:t>以上报价为含税价，其中增值税专票</w:t>
      </w:r>
      <w:r>
        <w:rPr>
          <w:rFonts w:hint="eastAsia" w:ascii="宋体" w:hAnsi="宋体" w:eastAsia="宋体" w:cs="Times New Roman"/>
          <w:b/>
          <w:bCs/>
          <w:color w:val="auto"/>
          <w:szCs w:val="21"/>
          <w:highlight w:val="none"/>
          <w:u w:val="single"/>
        </w:rPr>
        <w:t xml:space="preserve">   </w:t>
      </w:r>
      <w:r>
        <w:rPr>
          <w:rFonts w:hint="eastAsia" w:ascii="宋体" w:hAnsi="宋体" w:eastAsia="宋体" w:cs="Times New Roman"/>
          <w:b/>
          <w:bCs/>
          <w:color w:val="auto"/>
          <w:szCs w:val="21"/>
          <w:highlight w:val="none"/>
        </w:rPr>
        <w:t>%</w:t>
      </w:r>
    </w:p>
    <w:p w14:paraId="00E2FD5E">
      <w:pPr>
        <w:spacing w:line="360" w:lineRule="auto"/>
        <w:jc w:val="center"/>
        <w:rPr>
          <w:rFonts w:ascii="宋体" w:hAnsi="宋体" w:cs="宋体"/>
          <w:b/>
          <w:color w:val="auto"/>
          <w:sz w:val="28"/>
          <w:szCs w:val="28"/>
          <w:highlight w:val="none"/>
        </w:rPr>
      </w:pPr>
    </w:p>
    <w:p w14:paraId="1F1EA032">
      <w:pPr>
        <w:spacing w:line="560" w:lineRule="exact"/>
        <w:ind w:firstLine="1995" w:firstLineChars="950"/>
        <w:rPr>
          <w:rFonts w:ascii="宋体" w:hAnsi="宋体" w:cs="宋体"/>
          <w:color w:val="auto"/>
          <w:szCs w:val="21"/>
          <w:highlight w:val="none"/>
          <w:u w:val="single"/>
        </w:rPr>
      </w:pPr>
      <w:bookmarkStart w:id="745" w:name="_Toc12613"/>
      <w:r>
        <w:rPr>
          <w:rFonts w:hint="eastAsia" w:ascii="宋体" w:hAnsi="宋体" w:cs="宋体"/>
          <w:color w:val="auto"/>
          <w:szCs w:val="21"/>
          <w:highlight w:val="none"/>
          <w:lang w:bidi="ar"/>
        </w:rPr>
        <w:t>投标人：</w:t>
      </w:r>
      <w:r>
        <w:rPr>
          <w:rFonts w:hint="eastAsia" w:ascii="宋体" w:hAnsi="宋体" w:cs="宋体"/>
          <w:color w:val="auto"/>
          <w:szCs w:val="21"/>
          <w:highlight w:val="none"/>
          <w:u w:val="single"/>
          <w:lang w:bidi="ar"/>
        </w:rPr>
        <w:t xml:space="preserve">                   （盖章） </w:t>
      </w:r>
    </w:p>
    <w:p w14:paraId="74F4559C">
      <w:pPr>
        <w:spacing w:line="560" w:lineRule="exact"/>
        <w:ind w:left="1995" w:leftChars="950"/>
        <w:rPr>
          <w:rFonts w:ascii="宋体" w:hAnsi="宋体" w:cs="宋体"/>
          <w:color w:val="auto"/>
          <w:szCs w:val="21"/>
          <w:highlight w:val="none"/>
        </w:rPr>
      </w:pPr>
      <w:r>
        <w:rPr>
          <w:rFonts w:hint="eastAsia" w:ascii="宋体" w:hAnsi="宋体" w:cs="宋体"/>
          <w:color w:val="auto"/>
          <w:szCs w:val="21"/>
          <w:highlight w:val="none"/>
          <w:lang w:bidi="ar"/>
        </w:rPr>
        <w:t>法定代表人或其委托代理人：</w:t>
      </w:r>
      <w:r>
        <w:rPr>
          <w:rFonts w:hint="eastAsia" w:ascii="宋体" w:hAnsi="宋体" w:cs="宋体"/>
          <w:color w:val="auto"/>
          <w:szCs w:val="21"/>
          <w:highlight w:val="none"/>
          <w:u w:val="single"/>
          <w:lang w:bidi="ar"/>
        </w:rPr>
        <w:t xml:space="preserve">         （签字或盖章）</w:t>
      </w:r>
      <w:r>
        <w:rPr>
          <w:rFonts w:hint="eastAsia" w:ascii="宋体" w:hAnsi="宋体" w:cs="宋体"/>
          <w:color w:val="auto"/>
          <w:szCs w:val="21"/>
          <w:highlight w:val="none"/>
          <w:lang w:bidi="ar"/>
        </w:rPr>
        <w:t xml:space="preserve"> </w:t>
      </w:r>
    </w:p>
    <w:p w14:paraId="5C8536E5">
      <w:pPr>
        <w:spacing w:line="560" w:lineRule="exact"/>
        <w:ind w:left="1995" w:leftChars="950"/>
        <w:rPr>
          <w:rFonts w:ascii="宋体" w:hAnsi="宋体" w:cs="宋体"/>
          <w:color w:val="auto"/>
          <w:szCs w:val="21"/>
          <w:highlight w:val="none"/>
          <w:lang w:bidi="ar"/>
        </w:rPr>
      </w:pPr>
      <w:r>
        <w:rPr>
          <w:rFonts w:hint="eastAsia" w:ascii="宋体" w:hAnsi="宋体" w:cs="宋体"/>
          <w:color w:val="auto"/>
          <w:szCs w:val="21"/>
          <w:highlight w:val="none"/>
          <w:lang w:bidi="ar"/>
        </w:rPr>
        <w:t>日期：</w:t>
      </w:r>
      <w:r>
        <w:rPr>
          <w:rFonts w:hint="eastAsia" w:ascii="宋体" w:hAnsi="宋体" w:cs="宋体"/>
          <w:color w:val="auto"/>
          <w:szCs w:val="21"/>
          <w:highlight w:val="none"/>
          <w:u w:val="single"/>
          <w:lang w:bidi="ar"/>
        </w:rPr>
        <w:t xml:space="preserve">         </w:t>
      </w:r>
      <w:r>
        <w:rPr>
          <w:rFonts w:hint="eastAsia" w:ascii="宋体" w:hAnsi="宋体" w:cs="宋体"/>
          <w:color w:val="auto"/>
          <w:szCs w:val="21"/>
          <w:highlight w:val="none"/>
          <w:lang w:bidi="ar"/>
        </w:rPr>
        <w:t xml:space="preserve">年 </w:t>
      </w:r>
      <w:r>
        <w:rPr>
          <w:rFonts w:hint="eastAsia" w:ascii="宋体" w:hAnsi="宋体" w:cs="宋体"/>
          <w:color w:val="auto"/>
          <w:szCs w:val="21"/>
          <w:highlight w:val="none"/>
          <w:u w:val="single"/>
          <w:lang w:bidi="ar"/>
        </w:rPr>
        <w:t xml:space="preserve">          </w:t>
      </w:r>
      <w:r>
        <w:rPr>
          <w:rFonts w:hint="eastAsia" w:ascii="宋体" w:hAnsi="宋体" w:cs="宋体"/>
          <w:color w:val="auto"/>
          <w:szCs w:val="21"/>
          <w:highlight w:val="none"/>
          <w:lang w:bidi="ar"/>
        </w:rPr>
        <w:t xml:space="preserve">月 </w:t>
      </w:r>
      <w:r>
        <w:rPr>
          <w:rFonts w:hint="eastAsia" w:ascii="宋体" w:hAnsi="宋体" w:cs="宋体"/>
          <w:color w:val="auto"/>
          <w:szCs w:val="21"/>
          <w:highlight w:val="none"/>
          <w:u w:val="single"/>
          <w:lang w:bidi="ar"/>
        </w:rPr>
        <w:t xml:space="preserve">            </w:t>
      </w:r>
      <w:r>
        <w:rPr>
          <w:rFonts w:hint="eastAsia" w:ascii="宋体" w:hAnsi="宋体" w:cs="宋体"/>
          <w:color w:val="auto"/>
          <w:szCs w:val="21"/>
          <w:highlight w:val="none"/>
          <w:lang w:bidi="ar"/>
        </w:rPr>
        <w:t>日</w:t>
      </w:r>
    </w:p>
    <w:p w14:paraId="7D97E31A">
      <w:pPr>
        <w:pStyle w:val="2"/>
        <w:rPr>
          <w:rFonts w:ascii="宋体" w:hAnsi="宋体" w:cs="宋体"/>
          <w:color w:val="auto"/>
          <w:sz w:val="30"/>
          <w:szCs w:val="30"/>
          <w:highlight w:val="none"/>
        </w:rPr>
      </w:pPr>
      <w:r>
        <w:rPr>
          <w:rFonts w:hint="eastAsia" w:ascii="宋体" w:hAnsi="宋体" w:cs="宋体"/>
          <w:color w:val="auto"/>
          <w:sz w:val="30"/>
          <w:szCs w:val="30"/>
          <w:highlight w:val="none"/>
        </w:rPr>
        <w:br w:type="page"/>
      </w:r>
      <w:bookmarkStart w:id="746" w:name="_Toc11563"/>
      <w:r>
        <w:rPr>
          <w:rFonts w:hint="eastAsia" w:ascii="宋体" w:hAnsi="宋体" w:cs="宋体"/>
          <w:color w:val="auto"/>
          <w:sz w:val="30"/>
          <w:szCs w:val="30"/>
          <w:highlight w:val="none"/>
        </w:rPr>
        <w:t>第七章  招标单位、代理机构对本招标文件的确认</w:t>
      </w:r>
      <w:bookmarkEnd w:id="741"/>
      <w:bookmarkEnd w:id="742"/>
      <w:bookmarkEnd w:id="743"/>
      <w:bookmarkEnd w:id="744"/>
      <w:bookmarkEnd w:id="745"/>
      <w:bookmarkEnd w:id="746"/>
    </w:p>
    <w:tbl>
      <w:tblPr>
        <w:tblStyle w:val="4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37"/>
      </w:tblGrid>
      <w:tr w14:paraId="30C6B4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9" w:hRule="atLeast"/>
          <w:jc w:val="center"/>
        </w:trPr>
        <w:tc>
          <w:tcPr>
            <w:tcW w:w="8837" w:type="dxa"/>
          </w:tcPr>
          <w:p w14:paraId="46F05C93">
            <w:pPr>
              <w:adjustRightInd w:val="0"/>
              <w:snapToGrid w:val="0"/>
              <w:spacing w:line="560" w:lineRule="exact"/>
              <w:rPr>
                <w:rFonts w:ascii="宋体" w:hAnsi="宋体" w:cs="宋体"/>
                <w:color w:val="auto"/>
                <w:sz w:val="30"/>
                <w:highlight w:val="none"/>
              </w:rPr>
            </w:pPr>
          </w:p>
          <w:p w14:paraId="0E1C3E42">
            <w:pPr>
              <w:widowControl/>
              <w:spacing w:line="360" w:lineRule="auto"/>
              <w:ind w:firstLine="600"/>
              <w:jc w:val="left"/>
              <w:rPr>
                <w:rFonts w:ascii="宋体" w:hAnsi="宋体" w:cs="宋体"/>
                <w:color w:val="auto"/>
                <w:sz w:val="28"/>
                <w:szCs w:val="28"/>
                <w:highlight w:val="none"/>
              </w:rPr>
            </w:pPr>
            <w:r>
              <w:rPr>
                <w:rFonts w:hint="eastAsia" w:ascii="宋体" w:hAnsi="宋体" w:cs="宋体"/>
                <w:color w:val="auto"/>
                <w:sz w:val="28"/>
                <w:szCs w:val="28"/>
                <w:highlight w:val="none"/>
              </w:rPr>
              <w:t>我单位对</w:t>
            </w:r>
            <w:r>
              <w:rPr>
                <w:rFonts w:hint="eastAsia" w:ascii="宋体" w:hAnsi="宋体" w:cs="宋体"/>
                <w:color w:val="auto"/>
                <w:sz w:val="28"/>
                <w:szCs w:val="28"/>
                <w:highlight w:val="none"/>
                <w:u w:val="single"/>
              </w:rPr>
              <w:t xml:space="preserve"> 滁州工投经开区光储制造基地测绘业务服务项目 </w:t>
            </w:r>
            <w:r>
              <w:rPr>
                <w:rFonts w:hint="eastAsia" w:ascii="宋体" w:hAnsi="宋体" w:cs="宋体"/>
                <w:color w:val="auto"/>
                <w:sz w:val="28"/>
                <w:szCs w:val="28"/>
                <w:highlight w:val="none"/>
              </w:rPr>
              <w:t>的招标文件进行确认。</w:t>
            </w:r>
          </w:p>
          <w:p w14:paraId="6C8D2F0F">
            <w:pPr>
              <w:spacing w:line="560" w:lineRule="exact"/>
              <w:ind w:firstLine="560" w:firstLineChars="200"/>
              <w:rPr>
                <w:rFonts w:ascii="宋体" w:hAnsi="宋体" w:cs="宋体"/>
                <w:color w:val="auto"/>
                <w:sz w:val="28"/>
                <w:highlight w:val="none"/>
              </w:rPr>
            </w:pPr>
            <w:r>
              <w:rPr>
                <w:rFonts w:hint="eastAsia" w:ascii="宋体" w:hAnsi="宋体" w:cs="宋体"/>
                <w:color w:val="auto"/>
                <w:sz w:val="28"/>
                <w:highlight w:val="none"/>
              </w:rPr>
              <w:t>招标单位：滁州工投创新科技产业园有限公司</w:t>
            </w:r>
          </w:p>
          <w:p w14:paraId="7F533E6B">
            <w:pPr>
              <w:spacing w:line="560" w:lineRule="exact"/>
              <w:ind w:firstLine="560" w:firstLineChars="200"/>
              <w:rPr>
                <w:rFonts w:ascii="宋体" w:hAnsi="宋体" w:cs="宋体"/>
                <w:color w:val="auto"/>
                <w:sz w:val="28"/>
                <w:highlight w:val="none"/>
              </w:rPr>
            </w:pPr>
            <w:r>
              <w:rPr>
                <w:rFonts w:hint="eastAsia" w:ascii="宋体" w:hAnsi="宋体" w:cs="宋体"/>
                <w:color w:val="auto"/>
                <w:sz w:val="28"/>
                <w:highlight w:val="none"/>
              </w:rPr>
              <w:t xml:space="preserve">联系人：刘工 </w:t>
            </w:r>
          </w:p>
          <w:p w14:paraId="378E8555">
            <w:pPr>
              <w:spacing w:line="560" w:lineRule="exact"/>
              <w:ind w:firstLine="560" w:firstLineChars="200"/>
              <w:rPr>
                <w:rFonts w:ascii="宋体" w:hAnsi="宋体" w:cs="宋体"/>
                <w:color w:val="auto"/>
                <w:sz w:val="28"/>
                <w:highlight w:val="none"/>
              </w:rPr>
            </w:pPr>
            <w:r>
              <w:rPr>
                <w:rFonts w:hint="eastAsia" w:ascii="宋体" w:hAnsi="宋体" w:cs="宋体"/>
                <w:color w:val="auto"/>
                <w:sz w:val="28"/>
                <w:highlight w:val="none"/>
              </w:rPr>
              <w:t xml:space="preserve">联系电话：19355030932                   </w:t>
            </w:r>
          </w:p>
          <w:p w14:paraId="719DEE75">
            <w:pPr>
              <w:spacing w:line="560" w:lineRule="exact"/>
              <w:ind w:firstLine="560" w:firstLineChars="200"/>
              <w:rPr>
                <w:rFonts w:ascii="宋体" w:hAnsi="宋体" w:cs="宋体"/>
                <w:color w:val="auto"/>
                <w:sz w:val="30"/>
                <w:highlight w:val="none"/>
              </w:rPr>
            </w:pPr>
            <w:r>
              <w:rPr>
                <w:rFonts w:hint="eastAsia" w:ascii="宋体" w:hAnsi="宋体" w:cs="宋体"/>
                <w:color w:val="auto"/>
                <w:sz w:val="28"/>
                <w:highlight w:val="none"/>
              </w:rPr>
              <w:t xml:space="preserve">           </w:t>
            </w:r>
            <w:r>
              <w:rPr>
                <w:rFonts w:hint="eastAsia" w:ascii="宋体" w:hAnsi="宋体" w:cs="宋体"/>
                <w:color w:val="auto"/>
                <w:sz w:val="30"/>
                <w:highlight w:val="none"/>
              </w:rPr>
              <w:t xml:space="preserve">                                        </w:t>
            </w:r>
          </w:p>
          <w:p w14:paraId="52D203E0">
            <w:pPr>
              <w:spacing w:line="560" w:lineRule="exact"/>
              <w:ind w:firstLine="6150" w:firstLineChars="2050"/>
              <w:rPr>
                <w:rFonts w:ascii="宋体" w:hAnsi="宋体" w:cs="宋体"/>
                <w:color w:val="auto"/>
                <w:sz w:val="30"/>
                <w:highlight w:val="none"/>
              </w:rPr>
            </w:pPr>
            <w:r>
              <w:rPr>
                <w:rFonts w:hint="eastAsia" w:ascii="宋体" w:hAnsi="宋体" w:cs="宋体"/>
                <w:color w:val="auto"/>
                <w:sz w:val="30"/>
                <w:highlight w:val="none"/>
              </w:rPr>
              <w:t>（单位盖章）</w:t>
            </w:r>
          </w:p>
          <w:p w14:paraId="5DEB8E80">
            <w:pPr>
              <w:spacing w:line="560" w:lineRule="exact"/>
              <w:ind w:firstLine="5400" w:firstLineChars="1800"/>
              <w:rPr>
                <w:rFonts w:ascii="宋体" w:hAnsi="宋体" w:cs="宋体"/>
                <w:color w:val="auto"/>
                <w:sz w:val="24"/>
                <w:highlight w:val="none"/>
              </w:rPr>
            </w:pPr>
            <w:r>
              <w:rPr>
                <w:rFonts w:hint="eastAsia" w:ascii="宋体" w:hAnsi="宋体" w:cs="宋体"/>
                <w:color w:val="auto"/>
                <w:sz w:val="30"/>
                <w:highlight w:val="none"/>
              </w:rPr>
              <w:t xml:space="preserve">     2026年4月</w:t>
            </w:r>
          </w:p>
        </w:tc>
      </w:tr>
      <w:tr w14:paraId="25DB2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1" w:hRule="atLeast"/>
          <w:jc w:val="center"/>
        </w:trPr>
        <w:tc>
          <w:tcPr>
            <w:tcW w:w="8837" w:type="dxa"/>
          </w:tcPr>
          <w:p w14:paraId="52053B20">
            <w:pPr>
              <w:spacing w:line="560" w:lineRule="exact"/>
              <w:ind w:firstLine="600" w:firstLineChars="200"/>
              <w:rPr>
                <w:rFonts w:ascii="宋体" w:hAnsi="宋体" w:cs="宋体"/>
                <w:color w:val="auto"/>
                <w:sz w:val="30"/>
                <w:highlight w:val="none"/>
              </w:rPr>
            </w:pPr>
          </w:p>
          <w:p w14:paraId="2DBA1FEE">
            <w:pPr>
              <w:spacing w:line="560" w:lineRule="exact"/>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招标代理机构：滁州市城投工程咨询管理有限公司</w:t>
            </w:r>
            <w:r>
              <w:rPr>
                <w:rFonts w:hint="eastAsia" w:ascii="宋体" w:hAnsi="宋体" w:cs="宋体"/>
                <w:color w:val="auto"/>
                <w:sz w:val="30"/>
                <w:highlight w:val="none"/>
              </w:rPr>
              <w:t xml:space="preserve">   </w:t>
            </w:r>
          </w:p>
          <w:p w14:paraId="5867B71D">
            <w:pPr>
              <w:spacing w:line="560" w:lineRule="exact"/>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联系人：曹思敏</w:t>
            </w:r>
          </w:p>
          <w:p w14:paraId="1DE8C295">
            <w:pPr>
              <w:spacing w:line="560" w:lineRule="exact"/>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联系电话：0550-3519516、18712012204</w:t>
            </w:r>
          </w:p>
          <w:p w14:paraId="057D88F4">
            <w:pPr>
              <w:spacing w:line="560" w:lineRule="exact"/>
              <w:ind w:firstLine="280" w:firstLineChars="100"/>
              <w:rPr>
                <w:rFonts w:ascii="宋体" w:hAnsi="宋体" w:cs="宋体"/>
                <w:color w:val="auto"/>
                <w:sz w:val="28"/>
                <w:szCs w:val="28"/>
                <w:highlight w:val="none"/>
              </w:rPr>
            </w:pPr>
            <w:r>
              <w:rPr>
                <w:rFonts w:hint="eastAsia" w:ascii="宋体" w:hAnsi="宋体" w:cs="宋体"/>
                <w:color w:val="auto"/>
                <w:sz w:val="28"/>
                <w:szCs w:val="28"/>
                <w:highlight w:val="none"/>
              </w:rPr>
              <w:t xml:space="preserve">                                  </w:t>
            </w:r>
          </w:p>
          <w:p w14:paraId="3BFB9C4F">
            <w:pPr>
              <w:spacing w:line="560" w:lineRule="exact"/>
              <w:ind w:firstLine="280" w:firstLineChars="100"/>
              <w:rPr>
                <w:rFonts w:ascii="宋体" w:hAnsi="宋体" w:cs="宋体"/>
                <w:color w:val="auto"/>
                <w:sz w:val="28"/>
                <w:szCs w:val="28"/>
                <w:highlight w:val="none"/>
              </w:rPr>
            </w:pPr>
          </w:p>
          <w:p w14:paraId="3EA847DC">
            <w:pPr>
              <w:spacing w:line="560" w:lineRule="exact"/>
              <w:ind w:firstLine="280" w:firstLineChars="100"/>
              <w:rPr>
                <w:rFonts w:ascii="宋体" w:hAnsi="宋体" w:cs="宋体"/>
                <w:color w:val="auto"/>
                <w:sz w:val="28"/>
                <w:szCs w:val="28"/>
                <w:highlight w:val="none"/>
              </w:rPr>
            </w:pPr>
          </w:p>
          <w:p w14:paraId="58D98F7F">
            <w:pPr>
              <w:spacing w:line="560" w:lineRule="exact"/>
              <w:ind w:firstLine="280" w:firstLineChars="100"/>
              <w:rPr>
                <w:rFonts w:ascii="宋体" w:hAnsi="宋体" w:cs="宋体"/>
                <w:color w:val="auto"/>
                <w:sz w:val="28"/>
                <w:szCs w:val="28"/>
                <w:highlight w:val="none"/>
              </w:rPr>
            </w:pPr>
          </w:p>
          <w:p w14:paraId="2D62ED67">
            <w:pPr>
              <w:spacing w:line="560" w:lineRule="exact"/>
              <w:ind w:firstLine="280" w:firstLineChars="100"/>
              <w:jc w:val="center"/>
              <w:rPr>
                <w:rFonts w:ascii="宋体" w:hAnsi="宋体" w:cs="宋体"/>
                <w:color w:val="auto"/>
                <w:sz w:val="28"/>
                <w:szCs w:val="28"/>
                <w:highlight w:val="none"/>
              </w:rPr>
            </w:pPr>
            <w:r>
              <w:rPr>
                <w:rFonts w:hint="eastAsia" w:ascii="宋体" w:hAnsi="宋体" w:cs="宋体"/>
                <w:color w:val="auto"/>
                <w:sz w:val="28"/>
                <w:szCs w:val="28"/>
                <w:highlight w:val="none"/>
              </w:rPr>
              <w:t xml:space="preserve">                                     （单位盖章）</w:t>
            </w:r>
          </w:p>
          <w:p w14:paraId="473A6255">
            <w:pPr>
              <w:spacing w:line="560" w:lineRule="exact"/>
              <w:ind w:firstLine="6300" w:firstLineChars="2100"/>
              <w:rPr>
                <w:rFonts w:ascii="宋体" w:hAnsi="宋体" w:cs="宋体"/>
                <w:color w:val="auto"/>
                <w:sz w:val="30"/>
                <w:szCs w:val="30"/>
                <w:highlight w:val="none"/>
              </w:rPr>
            </w:pPr>
            <w:r>
              <w:rPr>
                <w:rFonts w:hint="eastAsia" w:ascii="宋体" w:hAnsi="宋体" w:cs="宋体"/>
                <w:color w:val="auto"/>
                <w:sz w:val="30"/>
                <w:highlight w:val="none"/>
              </w:rPr>
              <w:t>2026年4月</w:t>
            </w:r>
          </w:p>
        </w:tc>
      </w:tr>
    </w:tbl>
    <w:p w14:paraId="64BAD695">
      <w:pPr>
        <w:jc w:val="left"/>
        <w:rPr>
          <w:rFonts w:ascii="宋体" w:hAnsi="宋体" w:cs="宋体"/>
          <w:color w:val="auto"/>
          <w:szCs w:val="21"/>
          <w:highlight w:val="none"/>
        </w:rPr>
      </w:pPr>
    </w:p>
    <w:p w14:paraId="6EC70717">
      <w:pPr>
        <w:pStyle w:val="43"/>
        <w:rPr>
          <w:rFonts w:ascii="宋体" w:hAnsi="宋体" w:cs="宋体"/>
          <w:color w:val="auto"/>
          <w:szCs w:val="21"/>
          <w:highlight w:val="none"/>
        </w:rPr>
      </w:pPr>
    </w:p>
    <w:p w14:paraId="6467EBF3">
      <w:pPr>
        <w:adjustRightInd w:val="0"/>
        <w:snapToGrid w:val="0"/>
        <w:spacing w:line="560" w:lineRule="exact"/>
        <w:jc w:val="left"/>
        <w:rPr>
          <w:rFonts w:ascii="宋体" w:hAnsi="宋体" w:cs="宋体"/>
          <w:b/>
          <w:color w:val="auto"/>
          <w:sz w:val="32"/>
          <w:szCs w:val="32"/>
          <w:highlight w:val="none"/>
        </w:rPr>
      </w:pPr>
    </w:p>
    <w:p w14:paraId="01D3A704">
      <w:pPr>
        <w:adjustRightInd w:val="0"/>
        <w:snapToGrid w:val="0"/>
        <w:spacing w:line="560" w:lineRule="exact"/>
        <w:jc w:val="left"/>
        <w:rPr>
          <w:rFonts w:ascii="宋体" w:hAnsi="宋体" w:cs="宋体"/>
          <w:b/>
          <w:color w:val="auto"/>
          <w:sz w:val="32"/>
          <w:szCs w:val="32"/>
          <w:highlight w:val="none"/>
        </w:rPr>
      </w:pPr>
    </w:p>
    <w:p w14:paraId="2FBB00D9">
      <w:pPr>
        <w:pStyle w:val="43"/>
        <w:spacing w:after="0"/>
        <w:ind w:left="0" w:leftChars="0"/>
        <w:rPr>
          <w:rFonts w:ascii="宋体" w:hAnsi="宋体" w:cs="宋体"/>
          <w:color w:val="auto"/>
          <w:highlight w:val="none"/>
        </w:rPr>
      </w:pPr>
    </w:p>
    <w:sectPr>
      <w:footerReference r:id="rId9" w:type="first"/>
      <w:headerReference r:id="rId7" w:type="default"/>
      <w:footerReference r:id="rId8" w:type="default"/>
      <w:pgSz w:w="11906" w:h="16838"/>
      <w:pgMar w:top="1134" w:right="1361" w:bottom="1077" w:left="1361" w:header="680" w:footer="68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panose1 w:val="02010600030101010101"/>
    <w:charset w:val="1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Verdana">
    <w:panose1 w:val="020B0604030504040204"/>
    <w:charset w:val="00"/>
    <w:family w:val="swiss"/>
    <w:pitch w:val="default"/>
    <w:sig w:usb0="A00006FF" w:usb1="4000205B" w:usb2="00000010" w:usb3="00000000" w:csb0="2000019F" w:csb1="00000000"/>
  </w:font>
  <w:font w:name="华文细黑">
    <w:panose1 w:val="02010600040101010101"/>
    <w:charset w:val="86"/>
    <w:family w:val="auto"/>
    <w:pitch w:val="default"/>
    <w:sig w:usb0="00000287" w:usb1="080F0000" w:usb2="00000000" w:usb3="00000000" w:csb0="0004009F" w:csb1="DFD7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Times">
    <w:altName w:val="Times New Roman"/>
    <w:panose1 w:val="02020603050405020304"/>
    <w:charset w:val="00"/>
    <w:family w:val="roman"/>
    <w:pitch w:val="default"/>
    <w:sig w:usb0="00000000" w:usb1="00000000" w:usb2="00000009" w:usb3="00000000" w:csb0="000001F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793574">
    <w:pPr>
      <w:pStyle w:val="27"/>
      <w:tabs>
        <w:tab w:val="center" w:pos="4536"/>
        <w:tab w:val="clear" w:pos="4153"/>
      </w:tabs>
      <w:rPr>
        <w:rStyle w:val="48"/>
      </w:rPr>
    </w:pPr>
    <w:r>
      <w:rPr>
        <w:rStyle w:val="48"/>
        <w:rFonts w:hint="eastAsia"/>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C6C1E5">
    <w:pPr>
      <w:pStyle w:val="27"/>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8F0967">
    <w:pPr>
      <w:pStyle w:val="27"/>
      <w:ind w:right="360"/>
      <w:rPr>
        <w:kern w:val="0"/>
        <w:szCs w:val="21"/>
      </w:rP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305FEBB">
                          <w:pPr>
                            <w:pStyle w:val="27"/>
                          </w:pPr>
                          <w:r>
                            <w:fldChar w:fldCharType="begin"/>
                          </w:r>
                          <w:r>
                            <w:instrText xml:space="preserve"> PAGE  \* MERGEFORMAT </w:instrText>
                          </w:r>
                          <w:r>
                            <w:fldChar w:fldCharType="separate"/>
                          </w:r>
                          <w:r>
                            <w:t>3</w:t>
                          </w:r>
                          <w:r>
                            <w:fldChar w:fldCharType="end"/>
                          </w:r>
                        </w:p>
                      </w:txbxContent>
                    </wps:txbx>
                    <wps:bodyPr wrap="none" lIns="0" tIns="0" rIns="0" bIns="0">
                      <a:spAutoFit/>
                    </wps:bodyPr>
                  </wps:wsp>
                </a:graphicData>
              </a:graphic>
            </wp:anchor>
          </w:drawing>
        </mc:Choice>
        <mc:Fallback>
          <w:pict>
            <v:shape id="文本框 21"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hL0T8IBAACOAwAADgAAAGRycy9lMm9Eb2MueG1srVPNjtMwEL4j8Q6W&#10;79Rpk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pt6GtKHLc48Mv3b5cfvy4/v5LV&#10;MuvTB6gx7SFgYhru/IBbM/sBnZn2oKLNXyREMI7qnq/qyiERkR+tV+t1hSGBsfmC+OzxeYiQ3kpv&#10;STYaGnF8RVV+eg9pTJ1TcjXn77UxZYTG/eVAzOxhufexx2ylYT9MhPa+PSOfHiffUIeLTol551DY&#10;vCSzEWdjPxm5BoTbY8LCpZ+MOkJNxXBMhdG0UnkP/ryXrMffaPs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4S9E/CAQAAjgMAAA4AAAAAAAAAAQAgAAAAHgEAAGRycy9lMm9Eb2MueG1sUEsF&#10;BgAAAAAGAAYAWQEAAFIFAAAAAA==&#10;">
              <v:fill on="f" focussize="0,0"/>
              <v:stroke on="f"/>
              <v:imagedata o:title=""/>
              <o:lock v:ext="edit" aspectratio="f"/>
              <v:textbox inset="0mm,0mm,0mm,0mm" style="mso-fit-shape-to-text:t;">
                <w:txbxContent>
                  <w:p w14:paraId="3305FEBB">
                    <w:pPr>
                      <w:pStyle w:val="27"/>
                    </w:pPr>
                    <w:r>
                      <w:fldChar w:fldCharType="begin"/>
                    </w:r>
                    <w:r>
                      <w:instrText xml:space="preserve"> PAGE  \* MERGEFORMAT </w:instrText>
                    </w:r>
                    <w:r>
                      <w:fldChar w:fldCharType="separate"/>
                    </w:r>
                    <w:r>
                      <w:t>3</w:t>
                    </w:r>
                    <w: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8385007"/>
                      </w:txbxContent>
                    </wps:txbx>
                    <wps:bodyPr wrap="none" lIns="0" tIns="0" rIns="0" bIns="0">
                      <a:spAutoFit/>
                    </wps:bodyPr>
                  </wps:wsp>
                </a:graphicData>
              </a:graphic>
            </wp:anchor>
          </w:drawing>
        </mc:Choice>
        <mc:Fallback>
          <w:pict>
            <v:shape id="文本框 1038"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OqXm5zwAAAAUBAAAPAAAAAAAAAAEAIAAAACIAAABkcnMvZG93bnJldi54bWxQSwEC&#10;FAAUAAAACACHTuJAwFbyEsQBAACQAwAADgAAAAAAAAABACAAAAAeAQAAZHJzL2Uyb0RvYy54bWxQ&#10;SwUGAAAAAAYABgBZAQAAVAUAAAAA&#10;">
              <v:fill on="f" focussize="0,0"/>
              <v:stroke on="f"/>
              <v:imagedata o:title=""/>
              <o:lock v:ext="edit" aspectratio="f"/>
              <v:textbox inset="0mm,0mm,0mm,0mm" style="mso-fit-shape-to-text:t;">
                <w:txbxContent>
                  <w:p w14:paraId="08385007"/>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40D886">
    <w:pPr>
      <w:pStyle w:val="27"/>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3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6924705">
                          <w:pPr>
                            <w:pStyle w:val="27"/>
                          </w:pPr>
                          <w:r>
                            <w:fldChar w:fldCharType="begin"/>
                          </w:r>
                          <w:r>
                            <w:instrText xml:space="preserve"> PAGE  \* MERGEFORMAT </w:instrText>
                          </w:r>
                          <w:r>
                            <w:fldChar w:fldCharType="separate"/>
                          </w:r>
                          <w:r>
                            <w:t>- 139 -</w:t>
                          </w:r>
                          <w:r>
                            <w:fldChar w:fldCharType="end"/>
                          </w:r>
                        </w:p>
                      </w:txbxContent>
                    </wps:txbx>
                    <wps:bodyPr wrap="none" lIns="0" tIns="0" rIns="0" bIns="0">
                      <a:spAutoFit/>
                    </wps:bodyPr>
                  </wps:wsp>
                </a:graphicData>
              </a:graphic>
            </wp:anchor>
          </w:drawing>
        </mc:Choice>
        <mc:Fallback>
          <w:pict>
            <v:shape id="文本框 1039"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OqXm5zwAAAAUBAAAPAAAAAAAAAAEAIAAAACIAAABkcnMvZG93bnJldi54bWxQSwEC&#10;FAAUAAAACACHTuJAecucvsQBAACQAwAADgAAAAAAAAABACAAAAAeAQAAZHJzL2Uyb0RvYy54bWxQ&#10;SwUGAAAAAAYABgBZAQAAVAUAAAAA&#10;">
              <v:fill on="f" focussize="0,0"/>
              <v:stroke on="f"/>
              <v:imagedata o:title=""/>
              <o:lock v:ext="edit" aspectratio="f"/>
              <v:textbox inset="0mm,0mm,0mm,0mm" style="mso-fit-shape-to-text:t;">
                <w:txbxContent>
                  <w:p w14:paraId="26924705">
                    <w:pPr>
                      <w:pStyle w:val="27"/>
                    </w:pPr>
                    <w:r>
                      <w:fldChar w:fldCharType="begin"/>
                    </w:r>
                    <w:r>
                      <w:instrText xml:space="preserve"> PAGE  \* MERGEFORMAT </w:instrText>
                    </w:r>
                    <w:r>
                      <w:fldChar w:fldCharType="separate"/>
                    </w:r>
                    <w:r>
                      <w:t>- 139 -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511FDA">
    <w:pPr>
      <w:pStyle w:val="28"/>
      <w:pBdr>
        <w:bottom w:val="none" w:color="auto" w:sz="0" w:space="0"/>
      </w:pBdr>
      <w:jc w:val="right"/>
      <w:rPr>
        <w:b/>
        <w:bC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159A15">
    <w:pPr>
      <w:pStyle w:val="28"/>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FD3721">
    <w:pPr>
      <w:pStyle w:val="2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BD96013"/>
    <w:multiLevelType w:val="multilevel"/>
    <w:tmpl w:val="7BD96013"/>
    <w:lvl w:ilvl="0" w:tentative="0">
      <w:start w:val="1"/>
      <w:numFmt w:val="decimal"/>
      <w:suff w:val="nothing"/>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A3NWE0YzU4ZDlhYjQwNDAyODFmMjA2NmNjMjQ0ODUifQ=="/>
  </w:docVars>
  <w:rsids>
    <w:rsidRoot w:val="00172A27"/>
    <w:rsid w:val="00000F03"/>
    <w:rsid w:val="0000102C"/>
    <w:rsid w:val="00002296"/>
    <w:rsid w:val="00003341"/>
    <w:rsid w:val="00006820"/>
    <w:rsid w:val="0000765B"/>
    <w:rsid w:val="000133FD"/>
    <w:rsid w:val="00013CDB"/>
    <w:rsid w:val="000149CE"/>
    <w:rsid w:val="00014BE3"/>
    <w:rsid w:val="000152EF"/>
    <w:rsid w:val="00015909"/>
    <w:rsid w:val="00015E33"/>
    <w:rsid w:val="000163F2"/>
    <w:rsid w:val="0002000D"/>
    <w:rsid w:val="000210A3"/>
    <w:rsid w:val="00021731"/>
    <w:rsid w:val="00022F4F"/>
    <w:rsid w:val="0002303F"/>
    <w:rsid w:val="00025652"/>
    <w:rsid w:val="00027350"/>
    <w:rsid w:val="000275A3"/>
    <w:rsid w:val="00027B66"/>
    <w:rsid w:val="000301A2"/>
    <w:rsid w:val="0003022F"/>
    <w:rsid w:val="00030431"/>
    <w:rsid w:val="00031287"/>
    <w:rsid w:val="000346D8"/>
    <w:rsid w:val="00034D00"/>
    <w:rsid w:val="000369B9"/>
    <w:rsid w:val="00036E1B"/>
    <w:rsid w:val="00037222"/>
    <w:rsid w:val="00041DC0"/>
    <w:rsid w:val="00043152"/>
    <w:rsid w:val="000455A4"/>
    <w:rsid w:val="00045A6A"/>
    <w:rsid w:val="000466F8"/>
    <w:rsid w:val="0004671B"/>
    <w:rsid w:val="00047776"/>
    <w:rsid w:val="000520E9"/>
    <w:rsid w:val="000534C0"/>
    <w:rsid w:val="0005658A"/>
    <w:rsid w:val="00056830"/>
    <w:rsid w:val="00056A2D"/>
    <w:rsid w:val="00056E3D"/>
    <w:rsid w:val="00061677"/>
    <w:rsid w:val="00063BED"/>
    <w:rsid w:val="00063C44"/>
    <w:rsid w:val="0006566F"/>
    <w:rsid w:val="0006584B"/>
    <w:rsid w:val="00065940"/>
    <w:rsid w:val="00065AAB"/>
    <w:rsid w:val="00070B50"/>
    <w:rsid w:val="00071845"/>
    <w:rsid w:val="000738CE"/>
    <w:rsid w:val="00077AAD"/>
    <w:rsid w:val="00080440"/>
    <w:rsid w:val="00080971"/>
    <w:rsid w:val="000818D5"/>
    <w:rsid w:val="000826E7"/>
    <w:rsid w:val="0008469B"/>
    <w:rsid w:val="0008521D"/>
    <w:rsid w:val="00085D26"/>
    <w:rsid w:val="00086AF9"/>
    <w:rsid w:val="00087577"/>
    <w:rsid w:val="00090F13"/>
    <w:rsid w:val="0009199E"/>
    <w:rsid w:val="00091D2B"/>
    <w:rsid w:val="0009306E"/>
    <w:rsid w:val="000944D8"/>
    <w:rsid w:val="00094759"/>
    <w:rsid w:val="00096398"/>
    <w:rsid w:val="00096946"/>
    <w:rsid w:val="000A0086"/>
    <w:rsid w:val="000A1B93"/>
    <w:rsid w:val="000A2A89"/>
    <w:rsid w:val="000A3A88"/>
    <w:rsid w:val="000A3B67"/>
    <w:rsid w:val="000A4579"/>
    <w:rsid w:val="000A48D0"/>
    <w:rsid w:val="000A7358"/>
    <w:rsid w:val="000A77AA"/>
    <w:rsid w:val="000B026F"/>
    <w:rsid w:val="000B02B3"/>
    <w:rsid w:val="000B41C7"/>
    <w:rsid w:val="000B4E0B"/>
    <w:rsid w:val="000B5789"/>
    <w:rsid w:val="000B5D69"/>
    <w:rsid w:val="000B609D"/>
    <w:rsid w:val="000B734D"/>
    <w:rsid w:val="000B767F"/>
    <w:rsid w:val="000B7BFB"/>
    <w:rsid w:val="000B7C36"/>
    <w:rsid w:val="000C2ACE"/>
    <w:rsid w:val="000C3844"/>
    <w:rsid w:val="000C423F"/>
    <w:rsid w:val="000C4FA9"/>
    <w:rsid w:val="000C5DC5"/>
    <w:rsid w:val="000C7A2C"/>
    <w:rsid w:val="000D069B"/>
    <w:rsid w:val="000D15D2"/>
    <w:rsid w:val="000D18C0"/>
    <w:rsid w:val="000D1BC7"/>
    <w:rsid w:val="000D2370"/>
    <w:rsid w:val="000D2998"/>
    <w:rsid w:val="000D2DEB"/>
    <w:rsid w:val="000D4F76"/>
    <w:rsid w:val="000D5B18"/>
    <w:rsid w:val="000E1E50"/>
    <w:rsid w:val="000E47C8"/>
    <w:rsid w:val="000E521D"/>
    <w:rsid w:val="000E61FC"/>
    <w:rsid w:val="000E6FF8"/>
    <w:rsid w:val="000F0270"/>
    <w:rsid w:val="000F0469"/>
    <w:rsid w:val="000F069A"/>
    <w:rsid w:val="000F0C54"/>
    <w:rsid w:val="000F1705"/>
    <w:rsid w:val="000F195C"/>
    <w:rsid w:val="000F1B02"/>
    <w:rsid w:val="000F294F"/>
    <w:rsid w:val="000F2FFA"/>
    <w:rsid w:val="000F309A"/>
    <w:rsid w:val="000F3685"/>
    <w:rsid w:val="000F36ED"/>
    <w:rsid w:val="000F3D46"/>
    <w:rsid w:val="000F5817"/>
    <w:rsid w:val="000F6B36"/>
    <w:rsid w:val="000F6D52"/>
    <w:rsid w:val="0010017C"/>
    <w:rsid w:val="00102075"/>
    <w:rsid w:val="00102231"/>
    <w:rsid w:val="00102B71"/>
    <w:rsid w:val="0010493B"/>
    <w:rsid w:val="00104F30"/>
    <w:rsid w:val="0010777D"/>
    <w:rsid w:val="001106F4"/>
    <w:rsid w:val="00113041"/>
    <w:rsid w:val="0011328D"/>
    <w:rsid w:val="0011593A"/>
    <w:rsid w:val="00116B46"/>
    <w:rsid w:val="00117639"/>
    <w:rsid w:val="001204FF"/>
    <w:rsid w:val="001205BC"/>
    <w:rsid w:val="00120BCE"/>
    <w:rsid w:val="00121F96"/>
    <w:rsid w:val="00124902"/>
    <w:rsid w:val="00124A35"/>
    <w:rsid w:val="001262D5"/>
    <w:rsid w:val="00126B13"/>
    <w:rsid w:val="00132AAF"/>
    <w:rsid w:val="0013331F"/>
    <w:rsid w:val="0013358F"/>
    <w:rsid w:val="001335D9"/>
    <w:rsid w:val="00133BE1"/>
    <w:rsid w:val="001347A9"/>
    <w:rsid w:val="00136C6C"/>
    <w:rsid w:val="001377FE"/>
    <w:rsid w:val="00140703"/>
    <w:rsid w:val="0014118D"/>
    <w:rsid w:val="001423BD"/>
    <w:rsid w:val="00144999"/>
    <w:rsid w:val="0014526A"/>
    <w:rsid w:val="00146FE8"/>
    <w:rsid w:val="00147D4A"/>
    <w:rsid w:val="00152C59"/>
    <w:rsid w:val="00153023"/>
    <w:rsid w:val="00153877"/>
    <w:rsid w:val="00153D68"/>
    <w:rsid w:val="00154767"/>
    <w:rsid w:val="00155483"/>
    <w:rsid w:val="0015793D"/>
    <w:rsid w:val="00161FAA"/>
    <w:rsid w:val="00164B9C"/>
    <w:rsid w:val="001653B4"/>
    <w:rsid w:val="0016544A"/>
    <w:rsid w:val="001669A2"/>
    <w:rsid w:val="00166E69"/>
    <w:rsid w:val="00167272"/>
    <w:rsid w:val="00167E01"/>
    <w:rsid w:val="00167FF5"/>
    <w:rsid w:val="00170CC2"/>
    <w:rsid w:val="0017116A"/>
    <w:rsid w:val="00171479"/>
    <w:rsid w:val="00171A33"/>
    <w:rsid w:val="00172644"/>
    <w:rsid w:val="00172A27"/>
    <w:rsid w:val="00175067"/>
    <w:rsid w:val="00176EEA"/>
    <w:rsid w:val="00177929"/>
    <w:rsid w:val="00177A7A"/>
    <w:rsid w:val="00177B8F"/>
    <w:rsid w:val="00182E57"/>
    <w:rsid w:val="00184289"/>
    <w:rsid w:val="00184ABA"/>
    <w:rsid w:val="001858BE"/>
    <w:rsid w:val="00185A56"/>
    <w:rsid w:val="001864BC"/>
    <w:rsid w:val="00187590"/>
    <w:rsid w:val="00190C31"/>
    <w:rsid w:val="00191140"/>
    <w:rsid w:val="0019139D"/>
    <w:rsid w:val="001918E9"/>
    <w:rsid w:val="00192BDE"/>
    <w:rsid w:val="00193CE6"/>
    <w:rsid w:val="00194B8E"/>
    <w:rsid w:val="00195E66"/>
    <w:rsid w:val="001961BA"/>
    <w:rsid w:val="001975C9"/>
    <w:rsid w:val="001A0716"/>
    <w:rsid w:val="001A343D"/>
    <w:rsid w:val="001A435B"/>
    <w:rsid w:val="001A4465"/>
    <w:rsid w:val="001A5FB8"/>
    <w:rsid w:val="001A6F91"/>
    <w:rsid w:val="001B1526"/>
    <w:rsid w:val="001B1BD2"/>
    <w:rsid w:val="001B3012"/>
    <w:rsid w:val="001B520E"/>
    <w:rsid w:val="001B5BEF"/>
    <w:rsid w:val="001B6816"/>
    <w:rsid w:val="001B7766"/>
    <w:rsid w:val="001C5534"/>
    <w:rsid w:val="001C6CAF"/>
    <w:rsid w:val="001C7C71"/>
    <w:rsid w:val="001D06AD"/>
    <w:rsid w:val="001D11D0"/>
    <w:rsid w:val="001D2114"/>
    <w:rsid w:val="001D318D"/>
    <w:rsid w:val="001D693B"/>
    <w:rsid w:val="001D70EE"/>
    <w:rsid w:val="001D7320"/>
    <w:rsid w:val="001D73C1"/>
    <w:rsid w:val="001D7424"/>
    <w:rsid w:val="001D750D"/>
    <w:rsid w:val="001E00E0"/>
    <w:rsid w:val="001E0EF7"/>
    <w:rsid w:val="001E191A"/>
    <w:rsid w:val="001E33F3"/>
    <w:rsid w:val="001E3C44"/>
    <w:rsid w:val="001E3DE5"/>
    <w:rsid w:val="001E452F"/>
    <w:rsid w:val="001E4B4F"/>
    <w:rsid w:val="001E535B"/>
    <w:rsid w:val="001E56A2"/>
    <w:rsid w:val="001E6B1C"/>
    <w:rsid w:val="001E6CD4"/>
    <w:rsid w:val="001E6FE6"/>
    <w:rsid w:val="001E6FFF"/>
    <w:rsid w:val="001F0084"/>
    <w:rsid w:val="001F064B"/>
    <w:rsid w:val="001F1335"/>
    <w:rsid w:val="001F16F3"/>
    <w:rsid w:val="001F1743"/>
    <w:rsid w:val="001F1CE0"/>
    <w:rsid w:val="001F2980"/>
    <w:rsid w:val="001F3B7C"/>
    <w:rsid w:val="001F403F"/>
    <w:rsid w:val="001F4495"/>
    <w:rsid w:val="001F471C"/>
    <w:rsid w:val="001F5059"/>
    <w:rsid w:val="001F50BB"/>
    <w:rsid w:val="001F5971"/>
    <w:rsid w:val="001F7A46"/>
    <w:rsid w:val="0020030D"/>
    <w:rsid w:val="00202078"/>
    <w:rsid w:val="00202131"/>
    <w:rsid w:val="0020229E"/>
    <w:rsid w:val="002026A6"/>
    <w:rsid w:val="00203622"/>
    <w:rsid w:val="00203E74"/>
    <w:rsid w:val="002069FA"/>
    <w:rsid w:val="00207055"/>
    <w:rsid w:val="002075D4"/>
    <w:rsid w:val="00207958"/>
    <w:rsid w:val="002103CB"/>
    <w:rsid w:val="00210CEC"/>
    <w:rsid w:val="00211704"/>
    <w:rsid w:val="002125CB"/>
    <w:rsid w:val="0021262F"/>
    <w:rsid w:val="00217547"/>
    <w:rsid w:val="00220B91"/>
    <w:rsid w:val="002217F8"/>
    <w:rsid w:val="00225D3C"/>
    <w:rsid w:val="00227089"/>
    <w:rsid w:val="00227F2D"/>
    <w:rsid w:val="002306F3"/>
    <w:rsid w:val="00230AE3"/>
    <w:rsid w:val="00230C04"/>
    <w:rsid w:val="002314D2"/>
    <w:rsid w:val="0023165F"/>
    <w:rsid w:val="0023272C"/>
    <w:rsid w:val="00233E6F"/>
    <w:rsid w:val="00234A29"/>
    <w:rsid w:val="002361C8"/>
    <w:rsid w:val="002364B7"/>
    <w:rsid w:val="0023659C"/>
    <w:rsid w:val="00237147"/>
    <w:rsid w:val="00237352"/>
    <w:rsid w:val="002374BB"/>
    <w:rsid w:val="00237506"/>
    <w:rsid w:val="00240600"/>
    <w:rsid w:val="002417C1"/>
    <w:rsid w:val="00242BA3"/>
    <w:rsid w:val="00243C2B"/>
    <w:rsid w:val="00244312"/>
    <w:rsid w:val="00247A47"/>
    <w:rsid w:val="00247C5C"/>
    <w:rsid w:val="00250167"/>
    <w:rsid w:val="00251029"/>
    <w:rsid w:val="0025449E"/>
    <w:rsid w:val="0025467B"/>
    <w:rsid w:val="002551F6"/>
    <w:rsid w:val="002554CE"/>
    <w:rsid w:val="00255771"/>
    <w:rsid w:val="00255A95"/>
    <w:rsid w:val="002572D8"/>
    <w:rsid w:val="00260EB0"/>
    <w:rsid w:val="00262F82"/>
    <w:rsid w:val="00264BBB"/>
    <w:rsid w:val="002667A5"/>
    <w:rsid w:val="00266FC3"/>
    <w:rsid w:val="002676DA"/>
    <w:rsid w:val="00270D00"/>
    <w:rsid w:val="00271288"/>
    <w:rsid w:val="00272A64"/>
    <w:rsid w:val="002731BD"/>
    <w:rsid w:val="0027387D"/>
    <w:rsid w:val="0027549B"/>
    <w:rsid w:val="00276C5E"/>
    <w:rsid w:val="00277233"/>
    <w:rsid w:val="002776CD"/>
    <w:rsid w:val="002803FA"/>
    <w:rsid w:val="00281D13"/>
    <w:rsid w:val="002827C7"/>
    <w:rsid w:val="00283A63"/>
    <w:rsid w:val="0028592E"/>
    <w:rsid w:val="002859F8"/>
    <w:rsid w:val="0028605D"/>
    <w:rsid w:val="00286788"/>
    <w:rsid w:val="0028772F"/>
    <w:rsid w:val="002905A9"/>
    <w:rsid w:val="00291316"/>
    <w:rsid w:val="002929A8"/>
    <w:rsid w:val="00293124"/>
    <w:rsid w:val="002937C4"/>
    <w:rsid w:val="00293E15"/>
    <w:rsid w:val="00295785"/>
    <w:rsid w:val="00295C9B"/>
    <w:rsid w:val="00297553"/>
    <w:rsid w:val="00297DCF"/>
    <w:rsid w:val="002A0361"/>
    <w:rsid w:val="002A046B"/>
    <w:rsid w:val="002A3922"/>
    <w:rsid w:val="002A4679"/>
    <w:rsid w:val="002A47B5"/>
    <w:rsid w:val="002A47BA"/>
    <w:rsid w:val="002A65E6"/>
    <w:rsid w:val="002A7F0C"/>
    <w:rsid w:val="002B1205"/>
    <w:rsid w:val="002B16F4"/>
    <w:rsid w:val="002B1B17"/>
    <w:rsid w:val="002B3094"/>
    <w:rsid w:val="002B4D0B"/>
    <w:rsid w:val="002B651F"/>
    <w:rsid w:val="002C40AB"/>
    <w:rsid w:val="002C5707"/>
    <w:rsid w:val="002C6355"/>
    <w:rsid w:val="002D0466"/>
    <w:rsid w:val="002D21A0"/>
    <w:rsid w:val="002D3B50"/>
    <w:rsid w:val="002D500A"/>
    <w:rsid w:val="002D619C"/>
    <w:rsid w:val="002D7D16"/>
    <w:rsid w:val="002E0AA9"/>
    <w:rsid w:val="002E2295"/>
    <w:rsid w:val="002E2F1F"/>
    <w:rsid w:val="002E31E3"/>
    <w:rsid w:val="002E349E"/>
    <w:rsid w:val="002E5DF0"/>
    <w:rsid w:val="002E6A21"/>
    <w:rsid w:val="002E6C2C"/>
    <w:rsid w:val="002E6EA9"/>
    <w:rsid w:val="002E74CD"/>
    <w:rsid w:val="002F04F4"/>
    <w:rsid w:val="002F0F7B"/>
    <w:rsid w:val="002F1AD0"/>
    <w:rsid w:val="002F1B12"/>
    <w:rsid w:val="002F2ADD"/>
    <w:rsid w:val="002F3CA0"/>
    <w:rsid w:val="002F4C7B"/>
    <w:rsid w:val="002F5F35"/>
    <w:rsid w:val="0030036D"/>
    <w:rsid w:val="003014B4"/>
    <w:rsid w:val="00301E56"/>
    <w:rsid w:val="00302DA4"/>
    <w:rsid w:val="00303C49"/>
    <w:rsid w:val="003043D3"/>
    <w:rsid w:val="00304853"/>
    <w:rsid w:val="00305612"/>
    <w:rsid w:val="00306E36"/>
    <w:rsid w:val="00310228"/>
    <w:rsid w:val="00310232"/>
    <w:rsid w:val="00311D50"/>
    <w:rsid w:val="003138BA"/>
    <w:rsid w:val="003141E9"/>
    <w:rsid w:val="003158DD"/>
    <w:rsid w:val="003169B1"/>
    <w:rsid w:val="0031701A"/>
    <w:rsid w:val="0031777C"/>
    <w:rsid w:val="00320EB5"/>
    <w:rsid w:val="00321760"/>
    <w:rsid w:val="00321CF0"/>
    <w:rsid w:val="003222D9"/>
    <w:rsid w:val="00323DA3"/>
    <w:rsid w:val="00323F93"/>
    <w:rsid w:val="00324A98"/>
    <w:rsid w:val="00324C0D"/>
    <w:rsid w:val="00324D18"/>
    <w:rsid w:val="0032587D"/>
    <w:rsid w:val="00326B4A"/>
    <w:rsid w:val="003302B5"/>
    <w:rsid w:val="003302C4"/>
    <w:rsid w:val="0033132E"/>
    <w:rsid w:val="0033158A"/>
    <w:rsid w:val="00331F03"/>
    <w:rsid w:val="003342B7"/>
    <w:rsid w:val="00335113"/>
    <w:rsid w:val="00335FAD"/>
    <w:rsid w:val="0033662A"/>
    <w:rsid w:val="00337E67"/>
    <w:rsid w:val="003401B5"/>
    <w:rsid w:val="00342330"/>
    <w:rsid w:val="00342CBE"/>
    <w:rsid w:val="00344118"/>
    <w:rsid w:val="003443AF"/>
    <w:rsid w:val="0034546A"/>
    <w:rsid w:val="00346627"/>
    <w:rsid w:val="00346C50"/>
    <w:rsid w:val="00346EA4"/>
    <w:rsid w:val="003475EF"/>
    <w:rsid w:val="00347664"/>
    <w:rsid w:val="003511A6"/>
    <w:rsid w:val="00351636"/>
    <w:rsid w:val="003524FA"/>
    <w:rsid w:val="003536AA"/>
    <w:rsid w:val="00355A17"/>
    <w:rsid w:val="0035744E"/>
    <w:rsid w:val="00360343"/>
    <w:rsid w:val="00364C68"/>
    <w:rsid w:val="00364E31"/>
    <w:rsid w:val="00365426"/>
    <w:rsid w:val="003663FF"/>
    <w:rsid w:val="0036743A"/>
    <w:rsid w:val="00371602"/>
    <w:rsid w:val="00371A69"/>
    <w:rsid w:val="00371DCC"/>
    <w:rsid w:val="00372DA3"/>
    <w:rsid w:val="00372FCD"/>
    <w:rsid w:val="0037516A"/>
    <w:rsid w:val="00375399"/>
    <w:rsid w:val="003761A0"/>
    <w:rsid w:val="003761C3"/>
    <w:rsid w:val="0037637D"/>
    <w:rsid w:val="00376403"/>
    <w:rsid w:val="0038095F"/>
    <w:rsid w:val="00382134"/>
    <w:rsid w:val="00383809"/>
    <w:rsid w:val="0038572D"/>
    <w:rsid w:val="00390F55"/>
    <w:rsid w:val="003937D5"/>
    <w:rsid w:val="003943F6"/>
    <w:rsid w:val="00395BBA"/>
    <w:rsid w:val="0039655F"/>
    <w:rsid w:val="00397438"/>
    <w:rsid w:val="003975C9"/>
    <w:rsid w:val="003A0B6C"/>
    <w:rsid w:val="003A0C50"/>
    <w:rsid w:val="003A1E88"/>
    <w:rsid w:val="003A20C8"/>
    <w:rsid w:val="003A262E"/>
    <w:rsid w:val="003A2D98"/>
    <w:rsid w:val="003A3492"/>
    <w:rsid w:val="003A644A"/>
    <w:rsid w:val="003A7366"/>
    <w:rsid w:val="003B0EB7"/>
    <w:rsid w:val="003B2002"/>
    <w:rsid w:val="003B2911"/>
    <w:rsid w:val="003B4EC7"/>
    <w:rsid w:val="003B4EF8"/>
    <w:rsid w:val="003B5149"/>
    <w:rsid w:val="003C03B5"/>
    <w:rsid w:val="003C22A2"/>
    <w:rsid w:val="003C2A63"/>
    <w:rsid w:val="003C5296"/>
    <w:rsid w:val="003C59FB"/>
    <w:rsid w:val="003C5D63"/>
    <w:rsid w:val="003D17A0"/>
    <w:rsid w:val="003D26E9"/>
    <w:rsid w:val="003D4696"/>
    <w:rsid w:val="003D7DB9"/>
    <w:rsid w:val="003E2E02"/>
    <w:rsid w:val="003E2FF1"/>
    <w:rsid w:val="003E373D"/>
    <w:rsid w:val="003E68BB"/>
    <w:rsid w:val="003E6AC9"/>
    <w:rsid w:val="003E6F9D"/>
    <w:rsid w:val="003E74A0"/>
    <w:rsid w:val="003F0472"/>
    <w:rsid w:val="003F09CD"/>
    <w:rsid w:val="003F0FFD"/>
    <w:rsid w:val="003F17A7"/>
    <w:rsid w:val="003F20F4"/>
    <w:rsid w:val="003F41C1"/>
    <w:rsid w:val="003F79A3"/>
    <w:rsid w:val="0040223B"/>
    <w:rsid w:val="004031CE"/>
    <w:rsid w:val="00403273"/>
    <w:rsid w:val="00403850"/>
    <w:rsid w:val="004041B9"/>
    <w:rsid w:val="00405D43"/>
    <w:rsid w:val="00406D2A"/>
    <w:rsid w:val="00407710"/>
    <w:rsid w:val="00410283"/>
    <w:rsid w:val="004105DD"/>
    <w:rsid w:val="00411467"/>
    <w:rsid w:val="0041233E"/>
    <w:rsid w:val="00412398"/>
    <w:rsid w:val="0041327B"/>
    <w:rsid w:val="00414D10"/>
    <w:rsid w:val="004157B9"/>
    <w:rsid w:val="00415B46"/>
    <w:rsid w:val="00416ABA"/>
    <w:rsid w:val="0041712A"/>
    <w:rsid w:val="00420B93"/>
    <w:rsid w:val="00420C62"/>
    <w:rsid w:val="00421651"/>
    <w:rsid w:val="004225D0"/>
    <w:rsid w:val="00424D5D"/>
    <w:rsid w:val="004253E4"/>
    <w:rsid w:val="00426BDD"/>
    <w:rsid w:val="00427693"/>
    <w:rsid w:val="00427A07"/>
    <w:rsid w:val="004302AF"/>
    <w:rsid w:val="00430BDB"/>
    <w:rsid w:val="00432ABD"/>
    <w:rsid w:val="0043366A"/>
    <w:rsid w:val="0043376F"/>
    <w:rsid w:val="00434C3D"/>
    <w:rsid w:val="00435256"/>
    <w:rsid w:val="004353DC"/>
    <w:rsid w:val="00435B05"/>
    <w:rsid w:val="0043732A"/>
    <w:rsid w:val="004400DA"/>
    <w:rsid w:val="0044073A"/>
    <w:rsid w:val="004416C1"/>
    <w:rsid w:val="00444AD0"/>
    <w:rsid w:val="00446296"/>
    <w:rsid w:val="004468C6"/>
    <w:rsid w:val="004468CB"/>
    <w:rsid w:val="00447841"/>
    <w:rsid w:val="00447AAA"/>
    <w:rsid w:val="0045023F"/>
    <w:rsid w:val="0045025A"/>
    <w:rsid w:val="0045110F"/>
    <w:rsid w:val="00455DDC"/>
    <w:rsid w:val="004600E6"/>
    <w:rsid w:val="004603B0"/>
    <w:rsid w:val="0046040E"/>
    <w:rsid w:val="0046061F"/>
    <w:rsid w:val="00460DDB"/>
    <w:rsid w:val="00461843"/>
    <w:rsid w:val="00461BA1"/>
    <w:rsid w:val="004627AC"/>
    <w:rsid w:val="00464B9D"/>
    <w:rsid w:val="004656AF"/>
    <w:rsid w:val="0046571A"/>
    <w:rsid w:val="00465895"/>
    <w:rsid w:val="0046617E"/>
    <w:rsid w:val="00466BBB"/>
    <w:rsid w:val="0047080E"/>
    <w:rsid w:val="004713DB"/>
    <w:rsid w:val="0047228F"/>
    <w:rsid w:val="00472BAD"/>
    <w:rsid w:val="004736CC"/>
    <w:rsid w:val="00474761"/>
    <w:rsid w:val="00476C92"/>
    <w:rsid w:val="00476DDE"/>
    <w:rsid w:val="00480FD2"/>
    <w:rsid w:val="004855C6"/>
    <w:rsid w:val="0048589A"/>
    <w:rsid w:val="00487CA1"/>
    <w:rsid w:val="004901BC"/>
    <w:rsid w:val="00490C17"/>
    <w:rsid w:val="00496A03"/>
    <w:rsid w:val="00496EA9"/>
    <w:rsid w:val="0049719D"/>
    <w:rsid w:val="004975BD"/>
    <w:rsid w:val="004977AC"/>
    <w:rsid w:val="00497D2A"/>
    <w:rsid w:val="004A0266"/>
    <w:rsid w:val="004A107E"/>
    <w:rsid w:val="004A14BB"/>
    <w:rsid w:val="004A19A5"/>
    <w:rsid w:val="004A2C79"/>
    <w:rsid w:val="004A4A83"/>
    <w:rsid w:val="004A59B8"/>
    <w:rsid w:val="004A6F04"/>
    <w:rsid w:val="004A701E"/>
    <w:rsid w:val="004A7435"/>
    <w:rsid w:val="004B08FF"/>
    <w:rsid w:val="004B0D22"/>
    <w:rsid w:val="004B2353"/>
    <w:rsid w:val="004B275B"/>
    <w:rsid w:val="004B3355"/>
    <w:rsid w:val="004B5590"/>
    <w:rsid w:val="004B5FC4"/>
    <w:rsid w:val="004B7C6E"/>
    <w:rsid w:val="004C09BE"/>
    <w:rsid w:val="004C10CE"/>
    <w:rsid w:val="004C1222"/>
    <w:rsid w:val="004C22BD"/>
    <w:rsid w:val="004C244A"/>
    <w:rsid w:val="004C2E4C"/>
    <w:rsid w:val="004C37DC"/>
    <w:rsid w:val="004C4475"/>
    <w:rsid w:val="004C4B61"/>
    <w:rsid w:val="004C507C"/>
    <w:rsid w:val="004C5142"/>
    <w:rsid w:val="004D08FC"/>
    <w:rsid w:val="004D1A10"/>
    <w:rsid w:val="004D2711"/>
    <w:rsid w:val="004D3DC9"/>
    <w:rsid w:val="004D404C"/>
    <w:rsid w:val="004D42D2"/>
    <w:rsid w:val="004D4592"/>
    <w:rsid w:val="004D4B74"/>
    <w:rsid w:val="004D64ED"/>
    <w:rsid w:val="004D77BA"/>
    <w:rsid w:val="004E2450"/>
    <w:rsid w:val="004E28A4"/>
    <w:rsid w:val="004E4F3A"/>
    <w:rsid w:val="004E62B4"/>
    <w:rsid w:val="004E6950"/>
    <w:rsid w:val="004F1398"/>
    <w:rsid w:val="004F18A1"/>
    <w:rsid w:val="004F37DA"/>
    <w:rsid w:val="004F4318"/>
    <w:rsid w:val="004F449E"/>
    <w:rsid w:val="004F5D47"/>
    <w:rsid w:val="004F623E"/>
    <w:rsid w:val="004F642B"/>
    <w:rsid w:val="004F6987"/>
    <w:rsid w:val="004F6A86"/>
    <w:rsid w:val="004F7068"/>
    <w:rsid w:val="004F7369"/>
    <w:rsid w:val="004F7AC3"/>
    <w:rsid w:val="004F7E98"/>
    <w:rsid w:val="00500C1C"/>
    <w:rsid w:val="00502495"/>
    <w:rsid w:val="00502A52"/>
    <w:rsid w:val="005032B2"/>
    <w:rsid w:val="00503834"/>
    <w:rsid w:val="00503E36"/>
    <w:rsid w:val="00504163"/>
    <w:rsid w:val="005072D6"/>
    <w:rsid w:val="00510889"/>
    <w:rsid w:val="00510D92"/>
    <w:rsid w:val="005135C5"/>
    <w:rsid w:val="005150CB"/>
    <w:rsid w:val="005151EE"/>
    <w:rsid w:val="00515BB3"/>
    <w:rsid w:val="00516B05"/>
    <w:rsid w:val="00517F92"/>
    <w:rsid w:val="0052099E"/>
    <w:rsid w:val="00521401"/>
    <w:rsid w:val="005239B8"/>
    <w:rsid w:val="005242A3"/>
    <w:rsid w:val="00525A4E"/>
    <w:rsid w:val="00525F54"/>
    <w:rsid w:val="005301F8"/>
    <w:rsid w:val="005309C6"/>
    <w:rsid w:val="00530D02"/>
    <w:rsid w:val="00531AF8"/>
    <w:rsid w:val="00531D68"/>
    <w:rsid w:val="00535CD7"/>
    <w:rsid w:val="00535D1E"/>
    <w:rsid w:val="00536151"/>
    <w:rsid w:val="0053624F"/>
    <w:rsid w:val="00537E97"/>
    <w:rsid w:val="00541866"/>
    <w:rsid w:val="0054274E"/>
    <w:rsid w:val="005430D1"/>
    <w:rsid w:val="0054452A"/>
    <w:rsid w:val="00545C7C"/>
    <w:rsid w:val="00546D32"/>
    <w:rsid w:val="00547C0D"/>
    <w:rsid w:val="005509E2"/>
    <w:rsid w:val="00551EEF"/>
    <w:rsid w:val="00552084"/>
    <w:rsid w:val="00552781"/>
    <w:rsid w:val="00552AC0"/>
    <w:rsid w:val="0055306C"/>
    <w:rsid w:val="00553DAD"/>
    <w:rsid w:val="00554E3C"/>
    <w:rsid w:val="005552E6"/>
    <w:rsid w:val="0055588D"/>
    <w:rsid w:val="005565B5"/>
    <w:rsid w:val="00557CFD"/>
    <w:rsid w:val="00557E1B"/>
    <w:rsid w:val="00561D45"/>
    <w:rsid w:val="00562961"/>
    <w:rsid w:val="00562AA3"/>
    <w:rsid w:val="00564171"/>
    <w:rsid w:val="00564373"/>
    <w:rsid w:val="0056463A"/>
    <w:rsid w:val="00566D7A"/>
    <w:rsid w:val="0056759A"/>
    <w:rsid w:val="00567DAC"/>
    <w:rsid w:val="005708B7"/>
    <w:rsid w:val="00571B93"/>
    <w:rsid w:val="00571E2A"/>
    <w:rsid w:val="00572BEE"/>
    <w:rsid w:val="00574020"/>
    <w:rsid w:val="005741F7"/>
    <w:rsid w:val="005744A3"/>
    <w:rsid w:val="005749B6"/>
    <w:rsid w:val="0057517D"/>
    <w:rsid w:val="00575403"/>
    <w:rsid w:val="00577AA3"/>
    <w:rsid w:val="00581688"/>
    <w:rsid w:val="0058258E"/>
    <w:rsid w:val="0058263E"/>
    <w:rsid w:val="00583264"/>
    <w:rsid w:val="00583B5A"/>
    <w:rsid w:val="00584D4C"/>
    <w:rsid w:val="00584F8C"/>
    <w:rsid w:val="0058512E"/>
    <w:rsid w:val="00585A64"/>
    <w:rsid w:val="00585CA5"/>
    <w:rsid w:val="00586A21"/>
    <w:rsid w:val="00587C36"/>
    <w:rsid w:val="00591589"/>
    <w:rsid w:val="00593083"/>
    <w:rsid w:val="00597F8B"/>
    <w:rsid w:val="005A00B3"/>
    <w:rsid w:val="005A12A2"/>
    <w:rsid w:val="005A1DAD"/>
    <w:rsid w:val="005A29EF"/>
    <w:rsid w:val="005A2FE4"/>
    <w:rsid w:val="005A3BBC"/>
    <w:rsid w:val="005A46D0"/>
    <w:rsid w:val="005A5510"/>
    <w:rsid w:val="005A6DD8"/>
    <w:rsid w:val="005A756A"/>
    <w:rsid w:val="005A769F"/>
    <w:rsid w:val="005A796D"/>
    <w:rsid w:val="005B0436"/>
    <w:rsid w:val="005B18CB"/>
    <w:rsid w:val="005B29BA"/>
    <w:rsid w:val="005B376A"/>
    <w:rsid w:val="005B38AF"/>
    <w:rsid w:val="005B5E46"/>
    <w:rsid w:val="005B6E96"/>
    <w:rsid w:val="005B7245"/>
    <w:rsid w:val="005C0379"/>
    <w:rsid w:val="005C0BA9"/>
    <w:rsid w:val="005C0CEA"/>
    <w:rsid w:val="005C12B1"/>
    <w:rsid w:val="005C191F"/>
    <w:rsid w:val="005C35BD"/>
    <w:rsid w:val="005C3ECE"/>
    <w:rsid w:val="005C73E4"/>
    <w:rsid w:val="005D2D33"/>
    <w:rsid w:val="005D3A6E"/>
    <w:rsid w:val="005D47B3"/>
    <w:rsid w:val="005D4810"/>
    <w:rsid w:val="005D4EC1"/>
    <w:rsid w:val="005D5680"/>
    <w:rsid w:val="005D6AAD"/>
    <w:rsid w:val="005E0439"/>
    <w:rsid w:val="005E15BA"/>
    <w:rsid w:val="005E21F1"/>
    <w:rsid w:val="005E2E7D"/>
    <w:rsid w:val="005E3F07"/>
    <w:rsid w:val="005E548C"/>
    <w:rsid w:val="005E7AEA"/>
    <w:rsid w:val="005E7B30"/>
    <w:rsid w:val="005F0F4B"/>
    <w:rsid w:val="005F5D7E"/>
    <w:rsid w:val="005F66CB"/>
    <w:rsid w:val="00600161"/>
    <w:rsid w:val="00601BDC"/>
    <w:rsid w:val="00601E1B"/>
    <w:rsid w:val="00602ADB"/>
    <w:rsid w:val="00603E5B"/>
    <w:rsid w:val="006042BB"/>
    <w:rsid w:val="00604878"/>
    <w:rsid w:val="006057D0"/>
    <w:rsid w:val="006072F8"/>
    <w:rsid w:val="0060732C"/>
    <w:rsid w:val="00612246"/>
    <w:rsid w:val="006152B5"/>
    <w:rsid w:val="00615703"/>
    <w:rsid w:val="00615BCD"/>
    <w:rsid w:val="00617513"/>
    <w:rsid w:val="00620484"/>
    <w:rsid w:val="00622E88"/>
    <w:rsid w:val="00623183"/>
    <w:rsid w:val="0062395D"/>
    <w:rsid w:val="00624573"/>
    <w:rsid w:val="006268A1"/>
    <w:rsid w:val="00626ADD"/>
    <w:rsid w:val="00626DE0"/>
    <w:rsid w:val="00626F74"/>
    <w:rsid w:val="00630A6B"/>
    <w:rsid w:val="00634896"/>
    <w:rsid w:val="00634D10"/>
    <w:rsid w:val="00637ADC"/>
    <w:rsid w:val="0064323F"/>
    <w:rsid w:val="006436C9"/>
    <w:rsid w:val="006453A0"/>
    <w:rsid w:val="00645845"/>
    <w:rsid w:val="006464E3"/>
    <w:rsid w:val="006468BE"/>
    <w:rsid w:val="006532AF"/>
    <w:rsid w:val="00654C94"/>
    <w:rsid w:val="00656435"/>
    <w:rsid w:val="0065645F"/>
    <w:rsid w:val="00656C0D"/>
    <w:rsid w:val="00656C74"/>
    <w:rsid w:val="00657718"/>
    <w:rsid w:val="00660BBB"/>
    <w:rsid w:val="006615E0"/>
    <w:rsid w:val="006634B6"/>
    <w:rsid w:val="00664644"/>
    <w:rsid w:val="00664836"/>
    <w:rsid w:val="006651EA"/>
    <w:rsid w:val="0067051E"/>
    <w:rsid w:val="00670558"/>
    <w:rsid w:val="00671228"/>
    <w:rsid w:val="00671FDF"/>
    <w:rsid w:val="00673439"/>
    <w:rsid w:val="00673900"/>
    <w:rsid w:val="006749F3"/>
    <w:rsid w:val="00674EFD"/>
    <w:rsid w:val="0067543E"/>
    <w:rsid w:val="006757BA"/>
    <w:rsid w:val="00675E3C"/>
    <w:rsid w:val="00677085"/>
    <w:rsid w:val="00680234"/>
    <w:rsid w:val="006807DE"/>
    <w:rsid w:val="00680AD3"/>
    <w:rsid w:val="00680FFC"/>
    <w:rsid w:val="006812B6"/>
    <w:rsid w:val="00681ED3"/>
    <w:rsid w:val="006846D8"/>
    <w:rsid w:val="0068518B"/>
    <w:rsid w:val="00685705"/>
    <w:rsid w:val="00685A38"/>
    <w:rsid w:val="0068633D"/>
    <w:rsid w:val="00694297"/>
    <w:rsid w:val="006953DF"/>
    <w:rsid w:val="0069570F"/>
    <w:rsid w:val="00697625"/>
    <w:rsid w:val="00697A1E"/>
    <w:rsid w:val="00697A7A"/>
    <w:rsid w:val="006A0EDC"/>
    <w:rsid w:val="006A135B"/>
    <w:rsid w:val="006A19BE"/>
    <w:rsid w:val="006A1D37"/>
    <w:rsid w:val="006A2999"/>
    <w:rsid w:val="006A3699"/>
    <w:rsid w:val="006A520E"/>
    <w:rsid w:val="006A5DC3"/>
    <w:rsid w:val="006A621D"/>
    <w:rsid w:val="006A6696"/>
    <w:rsid w:val="006A6905"/>
    <w:rsid w:val="006A7072"/>
    <w:rsid w:val="006A768A"/>
    <w:rsid w:val="006A7898"/>
    <w:rsid w:val="006B1F6A"/>
    <w:rsid w:val="006B2CDB"/>
    <w:rsid w:val="006B2D22"/>
    <w:rsid w:val="006B5C9D"/>
    <w:rsid w:val="006B5F07"/>
    <w:rsid w:val="006B611B"/>
    <w:rsid w:val="006B79ED"/>
    <w:rsid w:val="006C095F"/>
    <w:rsid w:val="006C1D99"/>
    <w:rsid w:val="006C1E14"/>
    <w:rsid w:val="006C1F48"/>
    <w:rsid w:val="006C2335"/>
    <w:rsid w:val="006C2D83"/>
    <w:rsid w:val="006C40BB"/>
    <w:rsid w:val="006C40D2"/>
    <w:rsid w:val="006C41C4"/>
    <w:rsid w:val="006C465B"/>
    <w:rsid w:val="006C5436"/>
    <w:rsid w:val="006C5A59"/>
    <w:rsid w:val="006C7CE3"/>
    <w:rsid w:val="006D0E50"/>
    <w:rsid w:val="006D30AB"/>
    <w:rsid w:val="006D6654"/>
    <w:rsid w:val="006D6DEC"/>
    <w:rsid w:val="006E0E73"/>
    <w:rsid w:val="006E3A98"/>
    <w:rsid w:val="006E465D"/>
    <w:rsid w:val="006E504F"/>
    <w:rsid w:val="006E59DA"/>
    <w:rsid w:val="006E76C8"/>
    <w:rsid w:val="006F2FE8"/>
    <w:rsid w:val="006F3628"/>
    <w:rsid w:val="006F3D66"/>
    <w:rsid w:val="006F45F4"/>
    <w:rsid w:val="006F4F0D"/>
    <w:rsid w:val="006F580F"/>
    <w:rsid w:val="006F74C9"/>
    <w:rsid w:val="007001C2"/>
    <w:rsid w:val="00700664"/>
    <w:rsid w:val="00700D62"/>
    <w:rsid w:val="00701808"/>
    <w:rsid w:val="00701D18"/>
    <w:rsid w:val="007070E8"/>
    <w:rsid w:val="00710D04"/>
    <w:rsid w:val="00711BDE"/>
    <w:rsid w:val="0071205D"/>
    <w:rsid w:val="00714616"/>
    <w:rsid w:val="007153D8"/>
    <w:rsid w:val="00717703"/>
    <w:rsid w:val="00717AC6"/>
    <w:rsid w:val="00717C59"/>
    <w:rsid w:val="00717E25"/>
    <w:rsid w:val="007200A1"/>
    <w:rsid w:val="00720EE1"/>
    <w:rsid w:val="00721824"/>
    <w:rsid w:val="00721D94"/>
    <w:rsid w:val="0072291C"/>
    <w:rsid w:val="00723AC9"/>
    <w:rsid w:val="00724184"/>
    <w:rsid w:val="00724FC3"/>
    <w:rsid w:val="0072542E"/>
    <w:rsid w:val="00725A14"/>
    <w:rsid w:val="00725BA1"/>
    <w:rsid w:val="00725C03"/>
    <w:rsid w:val="007266A4"/>
    <w:rsid w:val="007268AE"/>
    <w:rsid w:val="00727733"/>
    <w:rsid w:val="00731E06"/>
    <w:rsid w:val="00733098"/>
    <w:rsid w:val="00733A8D"/>
    <w:rsid w:val="00735067"/>
    <w:rsid w:val="00735690"/>
    <w:rsid w:val="007405BD"/>
    <w:rsid w:val="0074065A"/>
    <w:rsid w:val="007418BD"/>
    <w:rsid w:val="007418DD"/>
    <w:rsid w:val="00742073"/>
    <w:rsid w:val="007438BB"/>
    <w:rsid w:val="007439CB"/>
    <w:rsid w:val="0074472C"/>
    <w:rsid w:val="007457FD"/>
    <w:rsid w:val="007461C9"/>
    <w:rsid w:val="0074662A"/>
    <w:rsid w:val="0074673E"/>
    <w:rsid w:val="00746A2E"/>
    <w:rsid w:val="00746B88"/>
    <w:rsid w:val="00751074"/>
    <w:rsid w:val="0075204F"/>
    <w:rsid w:val="00753614"/>
    <w:rsid w:val="007539EB"/>
    <w:rsid w:val="00753CB2"/>
    <w:rsid w:val="00755446"/>
    <w:rsid w:val="0075655D"/>
    <w:rsid w:val="00756723"/>
    <w:rsid w:val="00756EE8"/>
    <w:rsid w:val="00757D67"/>
    <w:rsid w:val="007608CF"/>
    <w:rsid w:val="007617AB"/>
    <w:rsid w:val="00761D59"/>
    <w:rsid w:val="00761E3D"/>
    <w:rsid w:val="00762A00"/>
    <w:rsid w:val="00763F41"/>
    <w:rsid w:val="00764279"/>
    <w:rsid w:val="007645CE"/>
    <w:rsid w:val="007718D9"/>
    <w:rsid w:val="00771C55"/>
    <w:rsid w:val="007727DC"/>
    <w:rsid w:val="00772924"/>
    <w:rsid w:val="007740E7"/>
    <w:rsid w:val="007742F2"/>
    <w:rsid w:val="0077509A"/>
    <w:rsid w:val="00775258"/>
    <w:rsid w:val="007760E4"/>
    <w:rsid w:val="00777707"/>
    <w:rsid w:val="00777E42"/>
    <w:rsid w:val="00780362"/>
    <w:rsid w:val="007804C2"/>
    <w:rsid w:val="007822F8"/>
    <w:rsid w:val="00782692"/>
    <w:rsid w:val="00782E4C"/>
    <w:rsid w:val="00783A74"/>
    <w:rsid w:val="00783ED4"/>
    <w:rsid w:val="00786863"/>
    <w:rsid w:val="007879B7"/>
    <w:rsid w:val="007904D3"/>
    <w:rsid w:val="00790EF3"/>
    <w:rsid w:val="00791C31"/>
    <w:rsid w:val="00793378"/>
    <w:rsid w:val="00793B2F"/>
    <w:rsid w:val="0079540A"/>
    <w:rsid w:val="00796AA5"/>
    <w:rsid w:val="00797AC5"/>
    <w:rsid w:val="007A0590"/>
    <w:rsid w:val="007A1353"/>
    <w:rsid w:val="007A1D36"/>
    <w:rsid w:val="007A2739"/>
    <w:rsid w:val="007A446C"/>
    <w:rsid w:val="007A479A"/>
    <w:rsid w:val="007A699A"/>
    <w:rsid w:val="007A7280"/>
    <w:rsid w:val="007A7600"/>
    <w:rsid w:val="007A7B59"/>
    <w:rsid w:val="007B0591"/>
    <w:rsid w:val="007B070B"/>
    <w:rsid w:val="007B1597"/>
    <w:rsid w:val="007B16B9"/>
    <w:rsid w:val="007B1C08"/>
    <w:rsid w:val="007B21B3"/>
    <w:rsid w:val="007B3869"/>
    <w:rsid w:val="007B5297"/>
    <w:rsid w:val="007B5E1E"/>
    <w:rsid w:val="007B6240"/>
    <w:rsid w:val="007B6AF6"/>
    <w:rsid w:val="007C100C"/>
    <w:rsid w:val="007C3517"/>
    <w:rsid w:val="007C40C9"/>
    <w:rsid w:val="007C5870"/>
    <w:rsid w:val="007C6B82"/>
    <w:rsid w:val="007C6CA1"/>
    <w:rsid w:val="007C7020"/>
    <w:rsid w:val="007C7D44"/>
    <w:rsid w:val="007D19D5"/>
    <w:rsid w:val="007D353E"/>
    <w:rsid w:val="007D5307"/>
    <w:rsid w:val="007D642B"/>
    <w:rsid w:val="007D6827"/>
    <w:rsid w:val="007D6A3D"/>
    <w:rsid w:val="007D6E9F"/>
    <w:rsid w:val="007D75A3"/>
    <w:rsid w:val="007D7750"/>
    <w:rsid w:val="007D7CC1"/>
    <w:rsid w:val="007E115D"/>
    <w:rsid w:val="007E195E"/>
    <w:rsid w:val="007E2DA7"/>
    <w:rsid w:val="007E45BC"/>
    <w:rsid w:val="007E7C3A"/>
    <w:rsid w:val="007F0B8F"/>
    <w:rsid w:val="007F0CDB"/>
    <w:rsid w:val="007F0FEE"/>
    <w:rsid w:val="007F16BE"/>
    <w:rsid w:val="007F2CB0"/>
    <w:rsid w:val="007F4D77"/>
    <w:rsid w:val="007F68FA"/>
    <w:rsid w:val="00800AA5"/>
    <w:rsid w:val="008019A2"/>
    <w:rsid w:val="008025AA"/>
    <w:rsid w:val="00802AA3"/>
    <w:rsid w:val="00803D69"/>
    <w:rsid w:val="00803F30"/>
    <w:rsid w:val="00803F4D"/>
    <w:rsid w:val="00804BB8"/>
    <w:rsid w:val="00805D51"/>
    <w:rsid w:val="00806ED0"/>
    <w:rsid w:val="008072C4"/>
    <w:rsid w:val="00807816"/>
    <w:rsid w:val="008102F1"/>
    <w:rsid w:val="00810845"/>
    <w:rsid w:val="00811A4E"/>
    <w:rsid w:val="00811B14"/>
    <w:rsid w:val="00812C6B"/>
    <w:rsid w:val="0081302E"/>
    <w:rsid w:val="00813B68"/>
    <w:rsid w:val="008152F4"/>
    <w:rsid w:val="00815D46"/>
    <w:rsid w:val="0082132C"/>
    <w:rsid w:val="00822ADF"/>
    <w:rsid w:val="00824EBF"/>
    <w:rsid w:val="00830C08"/>
    <w:rsid w:val="00832103"/>
    <w:rsid w:val="008346D4"/>
    <w:rsid w:val="008360AA"/>
    <w:rsid w:val="0083752C"/>
    <w:rsid w:val="00841390"/>
    <w:rsid w:val="008427BE"/>
    <w:rsid w:val="00842E23"/>
    <w:rsid w:val="00843DD3"/>
    <w:rsid w:val="00846315"/>
    <w:rsid w:val="00847A35"/>
    <w:rsid w:val="00847E3C"/>
    <w:rsid w:val="008502E3"/>
    <w:rsid w:val="008513E1"/>
    <w:rsid w:val="00852177"/>
    <w:rsid w:val="00852490"/>
    <w:rsid w:val="00853388"/>
    <w:rsid w:val="008540F4"/>
    <w:rsid w:val="0085435A"/>
    <w:rsid w:val="0085436C"/>
    <w:rsid w:val="0085479A"/>
    <w:rsid w:val="00855726"/>
    <w:rsid w:val="008571DA"/>
    <w:rsid w:val="008608B9"/>
    <w:rsid w:val="00861E2A"/>
    <w:rsid w:val="008649AA"/>
    <w:rsid w:val="008657A8"/>
    <w:rsid w:val="008662E0"/>
    <w:rsid w:val="008670EB"/>
    <w:rsid w:val="00867B45"/>
    <w:rsid w:val="008701D6"/>
    <w:rsid w:val="00870C16"/>
    <w:rsid w:val="00872B85"/>
    <w:rsid w:val="00874E64"/>
    <w:rsid w:val="008772D8"/>
    <w:rsid w:val="0087734D"/>
    <w:rsid w:val="00877A42"/>
    <w:rsid w:val="00880451"/>
    <w:rsid w:val="008828FA"/>
    <w:rsid w:val="00883ECC"/>
    <w:rsid w:val="008850BA"/>
    <w:rsid w:val="00885DBC"/>
    <w:rsid w:val="00886656"/>
    <w:rsid w:val="008868B6"/>
    <w:rsid w:val="00886F05"/>
    <w:rsid w:val="0088726B"/>
    <w:rsid w:val="00887B47"/>
    <w:rsid w:val="00890AC6"/>
    <w:rsid w:val="00890FDA"/>
    <w:rsid w:val="008911EA"/>
    <w:rsid w:val="00891D2C"/>
    <w:rsid w:val="008935BC"/>
    <w:rsid w:val="00893C10"/>
    <w:rsid w:val="00893CD8"/>
    <w:rsid w:val="00894DED"/>
    <w:rsid w:val="00895BD6"/>
    <w:rsid w:val="00895CDD"/>
    <w:rsid w:val="008A004B"/>
    <w:rsid w:val="008A19E4"/>
    <w:rsid w:val="008A1B70"/>
    <w:rsid w:val="008A25C5"/>
    <w:rsid w:val="008A3234"/>
    <w:rsid w:val="008A4655"/>
    <w:rsid w:val="008A4B33"/>
    <w:rsid w:val="008A4CCA"/>
    <w:rsid w:val="008A5BE8"/>
    <w:rsid w:val="008A6556"/>
    <w:rsid w:val="008A6672"/>
    <w:rsid w:val="008A6EB3"/>
    <w:rsid w:val="008A7342"/>
    <w:rsid w:val="008A7D31"/>
    <w:rsid w:val="008A7EC1"/>
    <w:rsid w:val="008B05E0"/>
    <w:rsid w:val="008B272F"/>
    <w:rsid w:val="008B3F10"/>
    <w:rsid w:val="008B45F0"/>
    <w:rsid w:val="008B4C41"/>
    <w:rsid w:val="008B5A51"/>
    <w:rsid w:val="008B5DD4"/>
    <w:rsid w:val="008B5DD5"/>
    <w:rsid w:val="008B6DCB"/>
    <w:rsid w:val="008B7144"/>
    <w:rsid w:val="008C04D4"/>
    <w:rsid w:val="008C1894"/>
    <w:rsid w:val="008C6033"/>
    <w:rsid w:val="008D0A4B"/>
    <w:rsid w:val="008D1071"/>
    <w:rsid w:val="008D11A5"/>
    <w:rsid w:val="008D1A13"/>
    <w:rsid w:val="008D31E5"/>
    <w:rsid w:val="008D4A0B"/>
    <w:rsid w:val="008D5DEB"/>
    <w:rsid w:val="008D6B33"/>
    <w:rsid w:val="008D7835"/>
    <w:rsid w:val="008E0064"/>
    <w:rsid w:val="008E0448"/>
    <w:rsid w:val="008E0818"/>
    <w:rsid w:val="008E12A4"/>
    <w:rsid w:val="008E2413"/>
    <w:rsid w:val="008E2D08"/>
    <w:rsid w:val="008E3227"/>
    <w:rsid w:val="008E38E2"/>
    <w:rsid w:val="008E4876"/>
    <w:rsid w:val="008E51D1"/>
    <w:rsid w:val="008F39E4"/>
    <w:rsid w:val="008F4224"/>
    <w:rsid w:val="008F6A8A"/>
    <w:rsid w:val="008F7C44"/>
    <w:rsid w:val="00900B3B"/>
    <w:rsid w:val="009012C8"/>
    <w:rsid w:val="009015F6"/>
    <w:rsid w:val="0090539D"/>
    <w:rsid w:val="00910F20"/>
    <w:rsid w:val="00911704"/>
    <w:rsid w:val="0091363E"/>
    <w:rsid w:val="00914016"/>
    <w:rsid w:val="0091660C"/>
    <w:rsid w:val="0092108B"/>
    <w:rsid w:val="009211B2"/>
    <w:rsid w:val="00921A5C"/>
    <w:rsid w:val="00922315"/>
    <w:rsid w:val="00922E5B"/>
    <w:rsid w:val="00923218"/>
    <w:rsid w:val="00923F57"/>
    <w:rsid w:val="00924180"/>
    <w:rsid w:val="009245FC"/>
    <w:rsid w:val="00925375"/>
    <w:rsid w:val="00925887"/>
    <w:rsid w:val="00927312"/>
    <w:rsid w:val="009330A4"/>
    <w:rsid w:val="00933B43"/>
    <w:rsid w:val="009340B8"/>
    <w:rsid w:val="00934534"/>
    <w:rsid w:val="00934732"/>
    <w:rsid w:val="00934E35"/>
    <w:rsid w:val="009373EB"/>
    <w:rsid w:val="0094209E"/>
    <w:rsid w:val="00942C94"/>
    <w:rsid w:val="00944548"/>
    <w:rsid w:val="00945CD8"/>
    <w:rsid w:val="00946731"/>
    <w:rsid w:val="009471E0"/>
    <w:rsid w:val="00950140"/>
    <w:rsid w:val="009513E7"/>
    <w:rsid w:val="00951517"/>
    <w:rsid w:val="00951775"/>
    <w:rsid w:val="00951E68"/>
    <w:rsid w:val="0095200B"/>
    <w:rsid w:val="009544E5"/>
    <w:rsid w:val="009549EF"/>
    <w:rsid w:val="009558C2"/>
    <w:rsid w:val="00955B49"/>
    <w:rsid w:val="00955DBA"/>
    <w:rsid w:val="009560FD"/>
    <w:rsid w:val="009561AF"/>
    <w:rsid w:val="00960639"/>
    <w:rsid w:val="00960DAB"/>
    <w:rsid w:val="00961EDE"/>
    <w:rsid w:val="009626CF"/>
    <w:rsid w:val="00962AC0"/>
    <w:rsid w:val="0097231C"/>
    <w:rsid w:val="00972519"/>
    <w:rsid w:val="00972835"/>
    <w:rsid w:val="00973169"/>
    <w:rsid w:val="0097364E"/>
    <w:rsid w:val="009736C5"/>
    <w:rsid w:val="00974260"/>
    <w:rsid w:val="00974598"/>
    <w:rsid w:val="00974EE1"/>
    <w:rsid w:val="00975072"/>
    <w:rsid w:val="009764EE"/>
    <w:rsid w:val="009775D6"/>
    <w:rsid w:val="009808AD"/>
    <w:rsid w:val="00980C18"/>
    <w:rsid w:val="00981CEE"/>
    <w:rsid w:val="009824BD"/>
    <w:rsid w:val="00982BA1"/>
    <w:rsid w:val="00983575"/>
    <w:rsid w:val="009849EF"/>
    <w:rsid w:val="00985176"/>
    <w:rsid w:val="00986703"/>
    <w:rsid w:val="00986D91"/>
    <w:rsid w:val="00990A46"/>
    <w:rsid w:val="009913A5"/>
    <w:rsid w:val="00991678"/>
    <w:rsid w:val="00992639"/>
    <w:rsid w:val="00993654"/>
    <w:rsid w:val="00994B6F"/>
    <w:rsid w:val="009958C4"/>
    <w:rsid w:val="00995D95"/>
    <w:rsid w:val="00997965"/>
    <w:rsid w:val="00997EA3"/>
    <w:rsid w:val="009A05F4"/>
    <w:rsid w:val="009A1197"/>
    <w:rsid w:val="009A22FE"/>
    <w:rsid w:val="009A2492"/>
    <w:rsid w:val="009A27D1"/>
    <w:rsid w:val="009A3F43"/>
    <w:rsid w:val="009A4237"/>
    <w:rsid w:val="009A4671"/>
    <w:rsid w:val="009A4F8B"/>
    <w:rsid w:val="009A514D"/>
    <w:rsid w:val="009A55E9"/>
    <w:rsid w:val="009A666A"/>
    <w:rsid w:val="009A6B7D"/>
    <w:rsid w:val="009A6BA0"/>
    <w:rsid w:val="009A6F8A"/>
    <w:rsid w:val="009B06F4"/>
    <w:rsid w:val="009B427C"/>
    <w:rsid w:val="009B5FC2"/>
    <w:rsid w:val="009C0917"/>
    <w:rsid w:val="009C282C"/>
    <w:rsid w:val="009C2FFD"/>
    <w:rsid w:val="009C3B97"/>
    <w:rsid w:val="009C3FEE"/>
    <w:rsid w:val="009C6E20"/>
    <w:rsid w:val="009C79B7"/>
    <w:rsid w:val="009D0C76"/>
    <w:rsid w:val="009D0E0C"/>
    <w:rsid w:val="009D1121"/>
    <w:rsid w:val="009D1440"/>
    <w:rsid w:val="009D1F58"/>
    <w:rsid w:val="009D5584"/>
    <w:rsid w:val="009D623A"/>
    <w:rsid w:val="009D6A23"/>
    <w:rsid w:val="009E26A3"/>
    <w:rsid w:val="009E34E0"/>
    <w:rsid w:val="009E6222"/>
    <w:rsid w:val="009F020D"/>
    <w:rsid w:val="009F2AF2"/>
    <w:rsid w:val="009F3B47"/>
    <w:rsid w:val="009F45E1"/>
    <w:rsid w:val="009F4A7F"/>
    <w:rsid w:val="009F4CC3"/>
    <w:rsid w:val="00A020A3"/>
    <w:rsid w:val="00A02D76"/>
    <w:rsid w:val="00A03E16"/>
    <w:rsid w:val="00A050AF"/>
    <w:rsid w:val="00A05700"/>
    <w:rsid w:val="00A06DE8"/>
    <w:rsid w:val="00A06FF2"/>
    <w:rsid w:val="00A07105"/>
    <w:rsid w:val="00A07B99"/>
    <w:rsid w:val="00A07E93"/>
    <w:rsid w:val="00A1003F"/>
    <w:rsid w:val="00A10FA2"/>
    <w:rsid w:val="00A11377"/>
    <w:rsid w:val="00A114D8"/>
    <w:rsid w:val="00A11932"/>
    <w:rsid w:val="00A11A83"/>
    <w:rsid w:val="00A12983"/>
    <w:rsid w:val="00A12BFA"/>
    <w:rsid w:val="00A12F46"/>
    <w:rsid w:val="00A134B6"/>
    <w:rsid w:val="00A13737"/>
    <w:rsid w:val="00A139A6"/>
    <w:rsid w:val="00A13BF1"/>
    <w:rsid w:val="00A1596A"/>
    <w:rsid w:val="00A20282"/>
    <w:rsid w:val="00A21F13"/>
    <w:rsid w:val="00A22342"/>
    <w:rsid w:val="00A23E8C"/>
    <w:rsid w:val="00A24378"/>
    <w:rsid w:val="00A249BC"/>
    <w:rsid w:val="00A250B0"/>
    <w:rsid w:val="00A269BA"/>
    <w:rsid w:val="00A26AF6"/>
    <w:rsid w:val="00A26E06"/>
    <w:rsid w:val="00A27338"/>
    <w:rsid w:val="00A3322D"/>
    <w:rsid w:val="00A334D3"/>
    <w:rsid w:val="00A340DC"/>
    <w:rsid w:val="00A34BF7"/>
    <w:rsid w:val="00A34D15"/>
    <w:rsid w:val="00A3583F"/>
    <w:rsid w:val="00A35BE1"/>
    <w:rsid w:val="00A36839"/>
    <w:rsid w:val="00A36B32"/>
    <w:rsid w:val="00A37FC0"/>
    <w:rsid w:val="00A407DB"/>
    <w:rsid w:val="00A40CCD"/>
    <w:rsid w:val="00A41417"/>
    <w:rsid w:val="00A42EB2"/>
    <w:rsid w:val="00A44F0B"/>
    <w:rsid w:val="00A4507F"/>
    <w:rsid w:val="00A45877"/>
    <w:rsid w:val="00A46D49"/>
    <w:rsid w:val="00A478CF"/>
    <w:rsid w:val="00A5059B"/>
    <w:rsid w:val="00A539BF"/>
    <w:rsid w:val="00A54E02"/>
    <w:rsid w:val="00A564AB"/>
    <w:rsid w:val="00A5671A"/>
    <w:rsid w:val="00A57619"/>
    <w:rsid w:val="00A57735"/>
    <w:rsid w:val="00A57EFA"/>
    <w:rsid w:val="00A60914"/>
    <w:rsid w:val="00A60E71"/>
    <w:rsid w:val="00A6295E"/>
    <w:rsid w:val="00A63045"/>
    <w:rsid w:val="00A63E8E"/>
    <w:rsid w:val="00A65558"/>
    <w:rsid w:val="00A65EB0"/>
    <w:rsid w:val="00A670D5"/>
    <w:rsid w:val="00A67664"/>
    <w:rsid w:val="00A67ADE"/>
    <w:rsid w:val="00A67EBC"/>
    <w:rsid w:val="00A70F16"/>
    <w:rsid w:val="00A72750"/>
    <w:rsid w:val="00A7795C"/>
    <w:rsid w:val="00A81FF0"/>
    <w:rsid w:val="00A8302D"/>
    <w:rsid w:val="00A8408D"/>
    <w:rsid w:val="00A8471F"/>
    <w:rsid w:val="00A85218"/>
    <w:rsid w:val="00A858C1"/>
    <w:rsid w:val="00A901AC"/>
    <w:rsid w:val="00A921B3"/>
    <w:rsid w:val="00A92FAA"/>
    <w:rsid w:val="00A93FFA"/>
    <w:rsid w:val="00A94C6F"/>
    <w:rsid w:val="00A958A5"/>
    <w:rsid w:val="00A963F3"/>
    <w:rsid w:val="00A96438"/>
    <w:rsid w:val="00A97618"/>
    <w:rsid w:val="00A9794D"/>
    <w:rsid w:val="00AA232C"/>
    <w:rsid w:val="00AA26AA"/>
    <w:rsid w:val="00AA431E"/>
    <w:rsid w:val="00AA511A"/>
    <w:rsid w:val="00AA58FF"/>
    <w:rsid w:val="00AA5FE1"/>
    <w:rsid w:val="00AA61A1"/>
    <w:rsid w:val="00AA7100"/>
    <w:rsid w:val="00AB13AE"/>
    <w:rsid w:val="00AB2E6C"/>
    <w:rsid w:val="00AB3523"/>
    <w:rsid w:val="00AB475F"/>
    <w:rsid w:val="00AB518C"/>
    <w:rsid w:val="00AB69B8"/>
    <w:rsid w:val="00AB7CE0"/>
    <w:rsid w:val="00AB7E8A"/>
    <w:rsid w:val="00AC0FA4"/>
    <w:rsid w:val="00AC1D8B"/>
    <w:rsid w:val="00AC3AC0"/>
    <w:rsid w:val="00AC589C"/>
    <w:rsid w:val="00AC661F"/>
    <w:rsid w:val="00AC6A21"/>
    <w:rsid w:val="00AC7295"/>
    <w:rsid w:val="00AC7F66"/>
    <w:rsid w:val="00AD124B"/>
    <w:rsid w:val="00AD1B2A"/>
    <w:rsid w:val="00AD1B43"/>
    <w:rsid w:val="00AD2630"/>
    <w:rsid w:val="00AD2F5A"/>
    <w:rsid w:val="00AD70A0"/>
    <w:rsid w:val="00AD7E77"/>
    <w:rsid w:val="00AD7FFD"/>
    <w:rsid w:val="00AE072C"/>
    <w:rsid w:val="00AE0734"/>
    <w:rsid w:val="00AE1018"/>
    <w:rsid w:val="00AE2E50"/>
    <w:rsid w:val="00AE31AF"/>
    <w:rsid w:val="00AE5195"/>
    <w:rsid w:val="00AE58B8"/>
    <w:rsid w:val="00AE5948"/>
    <w:rsid w:val="00AF00C1"/>
    <w:rsid w:val="00AF0B91"/>
    <w:rsid w:val="00AF0B93"/>
    <w:rsid w:val="00AF0E09"/>
    <w:rsid w:val="00AF381F"/>
    <w:rsid w:val="00AF38BF"/>
    <w:rsid w:val="00AF522C"/>
    <w:rsid w:val="00AF5297"/>
    <w:rsid w:val="00AF584E"/>
    <w:rsid w:val="00AF6B87"/>
    <w:rsid w:val="00AF6D59"/>
    <w:rsid w:val="00B00230"/>
    <w:rsid w:val="00B00AF0"/>
    <w:rsid w:val="00B01FDC"/>
    <w:rsid w:val="00B02546"/>
    <w:rsid w:val="00B0400E"/>
    <w:rsid w:val="00B053D1"/>
    <w:rsid w:val="00B11306"/>
    <w:rsid w:val="00B11FE9"/>
    <w:rsid w:val="00B12433"/>
    <w:rsid w:val="00B1287F"/>
    <w:rsid w:val="00B13C03"/>
    <w:rsid w:val="00B14B4F"/>
    <w:rsid w:val="00B14C46"/>
    <w:rsid w:val="00B14D75"/>
    <w:rsid w:val="00B15FA8"/>
    <w:rsid w:val="00B16067"/>
    <w:rsid w:val="00B16AD8"/>
    <w:rsid w:val="00B17516"/>
    <w:rsid w:val="00B20265"/>
    <w:rsid w:val="00B20E9B"/>
    <w:rsid w:val="00B220D1"/>
    <w:rsid w:val="00B22550"/>
    <w:rsid w:val="00B23830"/>
    <w:rsid w:val="00B24BA3"/>
    <w:rsid w:val="00B252DB"/>
    <w:rsid w:val="00B3008F"/>
    <w:rsid w:val="00B304CC"/>
    <w:rsid w:val="00B309E5"/>
    <w:rsid w:val="00B311AF"/>
    <w:rsid w:val="00B31322"/>
    <w:rsid w:val="00B32963"/>
    <w:rsid w:val="00B32B8F"/>
    <w:rsid w:val="00B338D0"/>
    <w:rsid w:val="00B34748"/>
    <w:rsid w:val="00B347CD"/>
    <w:rsid w:val="00B35D1E"/>
    <w:rsid w:val="00B364C5"/>
    <w:rsid w:val="00B36B95"/>
    <w:rsid w:val="00B37B56"/>
    <w:rsid w:val="00B37C5E"/>
    <w:rsid w:val="00B407FF"/>
    <w:rsid w:val="00B4196A"/>
    <w:rsid w:val="00B421F8"/>
    <w:rsid w:val="00B43532"/>
    <w:rsid w:val="00B44B34"/>
    <w:rsid w:val="00B4665F"/>
    <w:rsid w:val="00B46F06"/>
    <w:rsid w:val="00B52115"/>
    <w:rsid w:val="00B52806"/>
    <w:rsid w:val="00B566BD"/>
    <w:rsid w:val="00B57605"/>
    <w:rsid w:val="00B600F4"/>
    <w:rsid w:val="00B60F2F"/>
    <w:rsid w:val="00B61818"/>
    <w:rsid w:val="00B61F22"/>
    <w:rsid w:val="00B632B1"/>
    <w:rsid w:val="00B64656"/>
    <w:rsid w:val="00B64B16"/>
    <w:rsid w:val="00B65881"/>
    <w:rsid w:val="00B65B5E"/>
    <w:rsid w:val="00B67FF5"/>
    <w:rsid w:val="00B704E1"/>
    <w:rsid w:val="00B7098D"/>
    <w:rsid w:val="00B7138B"/>
    <w:rsid w:val="00B720BF"/>
    <w:rsid w:val="00B735A7"/>
    <w:rsid w:val="00B735D1"/>
    <w:rsid w:val="00B744C7"/>
    <w:rsid w:val="00B74B7B"/>
    <w:rsid w:val="00B750FF"/>
    <w:rsid w:val="00B758B7"/>
    <w:rsid w:val="00B76106"/>
    <w:rsid w:val="00B765D5"/>
    <w:rsid w:val="00B769C1"/>
    <w:rsid w:val="00B76B5E"/>
    <w:rsid w:val="00B77F5D"/>
    <w:rsid w:val="00B806C9"/>
    <w:rsid w:val="00B81D85"/>
    <w:rsid w:val="00B81F66"/>
    <w:rsid w:val="00B8388E"/>
    <w:rsid w:val="00B85724"/>
    <w:rsid w:val="00B86867"/>
    <w:rsid w:val="00B86FCE"/>
    <w:rsid w:val="00B87F94"/>
    <w:rsid w:val="00B901EB"/>
    <w:rsid w:val="00B907CA"/>
    <w:rsid w:val="00B9208B"/>
    <w:rsid w:val="00B9221A"/>
    <w:rsid w:val="00B936C1"/>
    <w:rsid w:val="00B946B3"/>
    <w:rsid w:val="00B94B45"/>
    <w:rsid w:val="00B94BC6"/>
    <w:rsid w:val="00B9502E"/>
    <w:rsid w:val="00B95527"/>
    <w:rsid w:val="00B9599F"/>
    <w:rsid w:val="00B96673"/>
    <w:rsid w:val="00B97999"/>
    <w:rsid w:val="00BA0936"/>
    <w:rsid w:val="00BA217D"/>
    <w:rsid w:val="00BA26EA"/>
    <w:rsid w:val="00BA3CD4"/>
    <w:rsid w:val="00BA4277"/>
    <w:rsid w:val="00BB61AA"/>
    <w:rsid w:val="00BB692C"/>
    <w:rsid w:val="00BC0A51"/>
    <w:rsid w:val="00BC0A55"/>
    <w:rsid w:val="00BC0B0C"/>
    <w:rsid w:val="00BC1696"/>
    <w:rsid w:val="00BC2D37"/>
    <w:rsid w:val="00BC3B48"/>
    <w:rsid w:val="00BC3E38"/>
    <w:rsid w:val="00BC5473"/>
    <w:rsid w:val="00BC549F"/>
    <w:rsid w:val="00BC5B03"/>
    <w:rsid w:val="00BC6451"/>
    <w:rsid w:val="00BC7AFC"/>
    <w:rsid w:val="00BD00E8"/>
    <w:rsid w:val="00BD130F"/>
    <w:rsid w:val="00BD182B"/>
    <w:rsid w:val="00BD1A2F"/>
    <w:rsid w:val="00BD2493"/>
    <w:rsid w:val="00BD43DE"/>
    <w:rsid w:val="00BD4FD4"/>
    <w:rsid w:val="00BD5575"/>
    <w:rsid w:val="00BD5969"/>
    <w:rsid w:val="00BD6443"/>
    <w:rsid w:val="00BE0A69"/>
    <w:rsid w:val="00BE2F1C"/>
    <w:rsid w:val="00BE3470"/>
    <w:rsid w:val="00BE348A"/>
    <w:rsid w:val="00BE487F"/>
    <w:rsid w:val="00BE6850"/>
    <w:rsid w:val="00BF5431"/>
    <w:rsid w:val="00BF5702"/>
    <w:rsid w:val="00BF6DD9"/>
    <w:rsid w:val="00C001DE"/>
    <w:rsid w:val="00C00309"/>
    <w:rsid w:val="00C00BCC"/>
    <w:rsid w:val="00C00F80"/>
    <w:rsid w:val="00C01552"/>
    <w:rsid w:val="00C0308C"/>
    <w:rsid w:val="00C0439B"/>
    <w:rsid w:val="00C04EC9"/>
    <w:rsid w:val="00C052E4"/>
    <w:rsid w:val="00C06E39"/>
    <w:rsid w:val="00C07541"/>
    <w:rsid w:val="00C12619"/>
    <w:rsid w:val="00C1338E"/>
    <w:rsid w:val="00C15742"/>
    <w:rsid w:val="00C16C62"/>
    <w:rsid w:val="00C20032"/>
    <w:rsid w:val="00C20121"/>
    <w:rsid w:val="00C21E98"/>
    <w:rsid w:val="00C22DC2"/>
    <w:rsid w:val="00C23A19"/>
    <w:rsid w:val="00C23B0D"/>
    <w:rsid w:val="00C2496D"/>
    <w:rsid w:val="00C26D09"/>
    <w:rsid w:val="00C30A43"/>
    <w:rsid w:val="00C3247F"/>
    <w:rsid w:val="00C324C4"/>
    <w:rsid w:val="00C3289D"/>
    <w:rsid w:val="00C332C5"/>
    <w:rsid w:val="00C378A4"/>
    <w:rsid w:val="00C406FE"/>
    <w:rsid w:val="00C43A24"/>
    <w:rsid w:val="00C445B3"/>
    <w:rsid w:val="00C46637"/>
    <w:rsid w:val="00C47389"/>
    <w:rsid w:val="00C50A40"/>
    <w:rsid w:val="00C524FD"/>
    <w:rsid w:val="00C533EC"/>
    <w:rsid w:val="00C53DA6"/>
    <w:rsid w:val="00C54861"/>
    <w:rsid w:val="00C5498D"/>
    <w:rsid w:val="00C564A2"/>
    <w:rsid w:val="00C577BF"/>
    <w:rsid w:val="00C57B3C"/>
    <w:rsid w:val="00C6036A"/>
    <w:rsid w:val="00C60A5B"/>
    <w:rsid w:val="00C60F14"/>
    <w:rsid w:val="00C61EEF"/>
    <w:rsid w:val="00C629EB"/>
    <w:rsid w:val="00C63F46"/>
    <w:rsid w:val="00C64375"/>
    <w:rsid w:val="00C64E69"/>
    <w:rsid w:val="00C65102"/>
    <w:rsid w:val="00C65198"/>
    <w:rsid w:val="00C65B17"/>
    <w:rsid w:val="00C66142"/>
    <w:rsid w:val="00C6635A"/>
    <w:rsid w:val="00C66693"/>
    <w:rsid w:val="00C6683B"/>
    <w:rsid w:val="00C67E7C"/>
    <w:rsid w:val="00C70069"/>
    <w:rsid w:val="00C7185C"/>
    <w:rsid w:val="00C74F31"/>
    <w:rsid w:val="00C76EB7"/>
    <w:rsid w:val="00C77353"/>
    <w:rsid w:val="00C77854"/>
    <w:rsid w:val="00C82016"/>
    <w:rsid w:val="00C8212B"/>
    <w:rsid w:val="00C85BA0"/>
    <w:rsid w:val="00C87CEA"/>
    <w:rsid w:val="00C90067"/>
    <w:rsid w:val="00C90F61"/>
    <w:rsid w:val="00C9183F"/>
    <w:rsid w:val="00C92203"/>
    <w:rsid w:val="00C94759"/>
    <w:rsid w:val="00C95E13"/>
    <w:rsid w:val="00C96C6F"/>
    <w:rsid w:val="00CA0D47"/>
    <w:rsid w:val="00CA0FAB"/>
    <w:rsid w:val="00CA1800"/>
    <w:rsid w:val="00CA19E5"/>
    <w:rsid w:val="00CA1FB5"/>
    <w:rsid w:val="00CA24C1"/>
    <w:rsid w:val="00CA26C4"/>
    <w:rsid w:val="00CA29E3"/>
    <w:rsid w:val="00CA3F16"/>
    <w:rsid w:val="00CA40E1"/>
    <w:rsid w:val="00CA4566"/>
    <w:rsid w:val="00CA4C96"/>
    <w:rsid w:val="00CA58FC"/>
    <w:rsid w:val="00CA6EB7"/>
    <w:rsid w:val="00CA757A"/>
    <w:rsid w:val="00CB0075"/>
    <w:rsid w:val="00CB4CC7"/>
    <w:rsid w:val="00CB6A55"/>
    <w:rsid w:val="00CB7BB7"/>
    <w:rsid w:val="00CB7BCE"/>
    <w:rsid w:val="00CC2B0B"/>
    <w:rsid w:val="00CC2C50"/>
    <w:rsid w:val="00CC2C94"/>
    <w:rsid w:val="00CC2F60"/>
    <w:rsid w:val="00CC3983"/>
    <w:rsid w:val="00CC67A1"/>
    <w:rsid w:val="00CC713D"/>
    <w:rsid w:val="00CC78BD"/>
    <w:rsid w:val="00CD0EE9"/>
    <w:rsid w:val="00CD22E8"/>
    <w:rsid w:val="00CD3365"/>
    <w:rsid w:val="00CD44EF"/>
    <w:rsid w:val="00CD5BC4"/>
    <w:rsid w:val="00CD731A"/>
    <w:rsid w:val="00CE2941"/>
    <w:rsid w:val="00CE294E"/>
    <w:rsid w:val="00CE4107"/>
    <w:rsid w:val="00CE61F1"/>
    <w:rsid w:val="00CE6B67"/>
    <w:rsid w:val="00CF0DE0"/>
    <w:rsid w:val="00CF11AD"/>
    <w:rsid w:val="00CF3E31"/>
    <w:rsid w:val="00CF4E88"/>
    <w:rsid w:val="00CF4E8D"/>
    <w:rsid w:val="00CF56A3"/>
    <w:rsid w:val="00CF6E08"/>
    <w:rsid w:val="00CF6F02"/>
    <w:rsid w:val="00D02681"/>
    <w:rsid w:val="00D04FD6"/>
    <w:rsid w:val="00D051C2"/>
    <w:rsid w:val="00D06276"/>
    <w:rsid w:val="00D07243"/>
    <w:rsid w:val="00D123BA"/>
    <w:rsid w:val="00D1278F"/>
    <w:rsid w:val="00D14DAA"/>
    <w:rsid w:val="00D1644D"/>
    <w:rsid w:val="00D165A4"/>
    <w:rsid w:val="00D16D23"/>
    <w:rsid w:val="00D16DDF"/>
    <w:rsid w:val="00D1783B"/>
    <w:rsid w:val="00D206AF"/>
    <w:rsid w:val="00D20CE4"/>
    <w:rsid w:val="00D21F8C"/>
    <w:rsid w:val="00D221AC"/>
    <w:rsid w:val="00D22ACA"/>
    <w:rsid w:val="00D26070"/>
    <w:rsid w:val="00D26489"/>
    <w:rsid w:val="00D27353"/>
    <w:rsid w:val="00D30D0F"/>
    <w:rsid w:val="00D3177B"/>
    <w:rsid w:val="00D31D54"/>
    <w:rsid w:val="00D33F73"/>
    <w:rsid w:val="00D35A5C"/>
    <w:rsid w:val="00D36F8F"/>
    <w:rsid w:val="00D37AF5"/>
    <w:rsid w:val="00D40E0F"/>
    <w:rsid w:val="00D421B3"/>
    <w:rsid w:val="00D42CC9"/>
    <w:rsid w:val="00D42E35"/>
    <w:rsid w:val="00D4319C"/>
    <w:rsid w:val="00D446D6"/>
    <w:rsid w:val="00D47964"/>
    <w:rsid w:val="00D47CD9"/>
    <w:rsid w:val="00D50DDE"/>
    <w:rsid w:val="00D514D0"/>
    <w:rsid w:val="00D515BF"/>
    <w:rsid w:val="00D51B52"/>
    <w:rsid w:val="00D53BF3"/>
    <w:rsid w:val="00D53FD3"/>
    <w:rsid w:val="00D54716"/>
    <w:rsid w:val="00D60174"/>
    <w:rsid w:val="00D624DF"/>
    <w:rsid w:val="00D634E7"/>
    <w:rsid w:val="00D662C0"/>
    <w:rsid w:val="00D70B66"/>
    <w:rsid w:val="00D70F97"/>
    <w:rsid w:val="00D72D4B"/>
    <w:rsid w:val="00D73A0B"/>
    <w:rsid w:val="00D758E9"/>
    <w:rsid w:val="00D762A4"/>
    <w:rsid w:val="00D762ED"/>
    <w:rsid w:val="00D800CA"/>
    <w:rsid w:val="00D80D20"/>
    <w:rsid w:val="00D81620"/>
    <w:rsid w:val="00D830A1"/>
    <w:rsid w:val="00D8340E"/>
    <w:rsid w:val="00D84752"/>
    <w:rsid w:val="00D84A5A"/>
    <w:rsid w:val="00D902CF"/>
    <w:rsid w:val="00D9040C"/>
    <w:rsid w:val="00D90D51"/>
    <w:rsid w:val="00D91806"/>
    <w:rsid w:val="00D91980"/>
    <w:rsid w:val="00D92E99"/>
    <w:rsid w:val="00D948E5"/>
    <w:rsid w:val="00D959CF"/>
    <w:rsid w:val="00D95D51"/>
    <w:rsid w:val="00D97CB7"/>
    <w:rsid w:val="00DA0812"/>
    <w:rsid w:val="00DA328F"/>
    <w:rsid w:val="00DA449E"/>
    <w:rsid w:val="00DA4A4F"/>
    <w:rsid w:val="00DA5983"/>
    <w:rsid w:val="00DA6556"/>
    <w:rsid w:val="00DA680B"/>
    <w:rsid w:val="00DB37DC"/>
    <w:rsid w:val="00DB59D0"/>
    <w:rsid w:val="00DB7A14"/>
    <w:rsid w:val="00DB7ADD"/>
    <w:rsid w:val="00DC072B"/>
    <w:rsid w:val="00DC1D6A"/>
    <w:rsid w:val="00DC253B"/>
    <w:rsid w:val="00DC4F8B"/>
    <w:rsid w:val="00DC686D"/>
    <w:rsid w:val="00DC7659"/>
    <w:rsid w:val="00DC7C5F"/>
    <w:rsid w:val="00DD031B"/>
    <w:rsid w:val="00DD178F"/>
    <w:rsid w:val="00DD1ED5"/>
    <w:rsid w:val="00DD34A2"/>
    <w:rsid w:val="00DD3637"/>
    <w:rsid w:val="00DD3CDA"/>
    <w:rsid w:val="00DD535A"/>
    <w:rsid w:val="00DD67A7"/>
    <w:rsid w:val="00DD6D38"/>
    <w:rsid w:val="00DD6E3C"/>
    <w:rsid w:val="00DD7359"/>
    <w:rsid w:val="00DE19B8"/>
    <w:rsid w:val="00DE481C"/>
    <w:rsid w:val="00DE4C3C"/>
    <w:rsid w:val="00DE4CF6"/>
    <w:rsid w:val="00DE5AA5"/>
    <w:rsid w:val="00DE688E"/>
    <w:rsid w:val="00DE6A86"/>
    <w:rsid w:val="00DE78D2"/>
    <w:rsid w:val="00DF0F61"/>
    <w:rsid w:val="00DF1A76"/>
    <w:rsid w:val="00DF3479"/>
    <w:rsid w:val="00DF4358"/>
    <w:rsid w:val="00DF4E1A"/>
    <w:rsid w:val="00DF53C7"/>
    <w:rsid w:val="00DF53EA"/>
    <w:rsid w:val="00E000D7"/>
    <w:rsid w:val="00E03CD3"/>
    <w:rsid w:val="00E04C64"/>
    <w:rsid w:val="00E04D56"/>
    <w:rsid w:val="00E060BD"/>
    <w:rsid w:val="00E06C02"/>
    <w:rsid w:val="00E07352"/>
    <w:rsid w:val="00E10365"/>
    <w:rsid w:val="00E14B85"/>
    <w:rsid w:val="00E1586A"/>
    <w:rsid w:val="00E159F0"/>
    <w:rsid w:val="00E15E84"/>
    <w:rsid w:val="00E16351"/>
    <w:rsid w:val="00E21ABC"/>
    <w:rsid w:val="00E21F40"/>
    <w:rsid w:val="00E22186"/>
    <w:rsid w:val="00E246A0"/>
    <w:rsid w:val="00E24CB6"/>
    <w:rsid w:val="00E2735F"/>
    <w:rsid w:val="00E30181"/>
    <w:rsid w:val="00E306C5"/>
    <w:rsid w:val="00E32D1C"/>
    <w:rsid w:val="00E3345C"/>
    <w:rsid w:val="00E335F6"/>
    <w:rsid w:val="00E33F8A"/>
    <w:rsid w:val="00E37512"/>
    <w:rsid w:val="00E37693"/>
    <w:rsid w:val="00E377EA"/>
    <w:rsid w:val="00E408CC"/>
    <w:rsid w:val="00E41463"/>
    <w:rsid w:val="00E42826"/>
    <w:rsid w:val="00E4564A"/>
    <w:rsid w:val="00E46487"/>
    <w:rsid w:val="00E47285"/>
    <w:rsid w:val="00E47771"/>
    <w:rsid w:val="00E51A68"/>
    <w:rsid w:val="00E52DE6"/>
    <w:rsid w:val="00E52FC4"/>
    <w:rsid w:val="00E55A8D"/>
    <w:rsid w:val="00E6097D"/>
    <w:rsid w:val="00E6239F"/>
    <w:rsid w:val="00E6393B"/>
    <w:rsid w:val="00E64131"/>
    <w:rsid w:val="00E648EF"/>
    <w:rsid w:val="00E6572E"/>
    <w:rsid w:val="00E65AA3"/>
    <w:rsid w:val="00E6751B"/>
    <w:rsid w:val="00E6755C"/>
    <w:rsid w:val="00E7257B"/>
    <w:rsid w:val="00E72FAF"/>
    <w:rsid w:val="00E74001"/>
    <w:rsid w:val="00E74676"/>
    <w:rsid w:val="00E75C4C"/>
    <w:rsid w:val="00E77D41"/>
    <w:rsid w:val="00E801F3"/>
    <w:rsid w:val="00E80666"/>
    <w:rsid w:val="00E8070D"/>
    <w:rsid w:val="00E82050"/>
    <w:rsid w:val="00E830EC"/>
    <w:rsid w:val="00E832D8"/>
    <w:rsid w:val="00E8348D"/>
    <w:rsid w:val="00E83955"/>
    <w:rsid w:val="00E83A56"/>
    <w:rsid w:val="00E84E4C"/>
    <w:rsid w:val="00E8500D"/>
    <w:rsid w:val="00E86F2F"/>
    <w:rsid w:val="00E8705D"/>
    <w:rsid w:val="00E90FEF"/>
    <w:rsid w:val="00E9105E"/>
    <w:rsid w:val="00E91C75"/>
    <w:rsid w:val="00E91DC7"/>
    <w:rsid w:val="00E9314B"/>
    <w:rsid w:val="00E95131"/>
    <w:rsid w:val="00E960B9"/>
    <w:rsid w:val="00E969F7"/>
    <w:rsid w:val="00E97A33"/>
    <w:rsid w:val="00EA0544"/>
    <w:rsid w:val="00EA140D"/>
    <w:rsid w:val="00EA6C98"/>
    <w:rsid w:val="00EA6D69"/>
    <w:rsid w:val="00EA7143"/>
    <w:rsid w:val="00EA7F03"/>
    <w:rsid w:val="00EB0EE0"/>
    <w:rsid w:val="00EB1062"/>
    <w:rsid w:val="00EB1AC9"/>
    <w:rsid w:val="00EB2342"/>
    <w:rsid w:val="00EB26F0"/>
    <w:rsid w:val="00EB2BD0"/>
    <w:rsid w:val="00EB2FAF"/>
    <w:rsid w:val="00EB6F83"/>
    <w:rsid w:val="00EB7127"/>
    <w:rsid w:val="00EC068F"/>
    <w:rsid w:val="00EC0972"/>
    <w:rsid w:val="00EC140B"/>
    <w:rsid w:val="00EC44FB"/>
    <w:rsid w:val="00EC53F2"/>
    <w:rsid w:val="00EC6CA0"/>
    <w:rsid w:val="00EC6E8B"/>
    <w:rsid w:val="00ED0AF3"/>
    <w:rsid w:val="00ED0F36"/>
    <w:rsid w:val="00ED182A"/>
    <w:rsid w:val="00ED2323"/>
    <w:rsid w:val="00ED4080"/>
    <w:rsid w:val="00ED40D6"/>
    <w:rsid w:val="00ED4275"/>
    <w:rsid w:val="00ED4306"/>
    <w:rsid w:val="00ED43B5"/>
    <w:rsid w:val="00ED448F"/>
    <w:rsid w:val="00ED4745"/>
    <w:rsid w:val="00ED5533"/>
    <w:rsid w:val="00ED6597"/>
    <w:rsid w:val="00ED7D7E"/>
    <w:rsid w:val="00EE067B"/>
    <w:rsid w:val="00EE0C2F"/>
    <w:rsid w:val="00EE200B"/>
    <w:rsid w:val="00EE24DA"/>
    <w:rsid w:val="00EE3A5C"/>
    <w:rsid w:val="00EE4B94"/>
    <w:rsid w:val="00EE5689"/>
    <w:rsid w:val="00EE7BF6"/>
    <w:rsid w:val="00EF0311"/>
    <w:rsid w:val="00EF1968"/>
    <w:rsid w:val="00EF227E"/>
    <w:rsid w:val="00EF240C"/>
    <w:rsid w:val="00EF2532"/>
    <w:rsid w:val="00EF2E18"/>
    <w:rsid w:val="00EF2FEB"/>
    <w:rsid w:val="00EF38B9"/>
    <w:rsid w:val="00EF4B29"/>
    <w:rsid w:val="00EF530A"/>
    <w:rsid w:val="00EF6843"/>
    <w:rsid w:val="00EF71C6"/>
    <w:rsid w:val="00EF79FC"/>
    <w:rsid w:val="00F00840"/>
    <w:rsid w:val="00F025EB"/>
    <w:rsid w:val="00F02E2D"/>
    <w:rsid w:val="00F034D5"/>
    <w:rsid w:val="00F03F26"/>
    <w:rsid w:val="00F0423B"/>
    <w:rsid w:val="00F07D3C"/>
    <w:rsid w:val="00F07DD0"/>
    <w:rsid w:val="00F07DD5"/>
    <w:rsid w:val="00F10368"/>
    <w:rsid w:val="00F10C9E"/>
    <w:rsid w:val="00F10D63"/>
    <w:rsid w:val="00F118EF"/>
    <w:rsid w:val="00F13025"/>
    <w:rsid w:val="00F1356E"/>
    <w:rsid w:val="00F15515"/>
    <w:rsid w:val="00F15693"/>
    <w:rsid w:val="00F16B58"/>
    <w:rsid w:val="00F2103B"/>
    <w:rsid w:val="00F22708"/>
    <w:rsid w:val="00F230D9"/>
    <w:rsid w:val="00F24639"/>
    <w:rsid w:val="00F26A74"/>
    <w:rsid w:val="00F26DB7"/>
    <w:rsid w:val="00F31863"/>
    <w:rsid w:val="00F31E13"/>
    <w:rsid w:val="00F33145"/>
    <w:rsid w:val="00F33CAF"/>
    <w:rsid w:val="00F35EF7"/>
    <w:rsid w:val="00F35F57"/>
    <w:rsid w:val="00F40A80"/>
    <w:rsid w:val="00F42100"/>
    <w:rsid w:val="00F42449"/>
    <w:rsid w:val="00F45003"/>
    <w:rsid w:val="00F5160C"/>
    <w:rsid w:val="00F51A5C"/>
    <w:rsid w:val="00F528B5"/>
    <w:rsid w:val="00F5481A"/>
    <w:rsid w:val="00F54823"/>
    <w:rsid w:val="00F554F4"/>
    <w:rsid w:val="00F568A1"/>
    <w:rsid w:val="00F56DA1"/>
    <w:rsid w:val="00F57516"/>
    <w:rsid w:val="00F61C85"/>
    <w:rsid w:val="00F62699"/>
    <w:rsid w:val="00F63FD6"/>
    <w:rsid w:val="00F64494"/>
    <w:rsid w:val="00F659B7"/>
    <w:rsid w:val="00F67E41"/>
    <w:rsid w:val="00F67EBD"/>
    <w:rsid w:val="00F70D23"/>
    <w:rsid w:val="00F70EA7"/>
    <w:rsid w:val="00F70F53"/>
    <w:rsid w:val="00F71F04"/>
    <w:rsid w:val="00F72110"/>
    <w:rsid w:val="00F72244"/>
    <w:rsid w:val="00F723CD"/>
    <w:rsid w:val="00F72986"/>
    <w:rsid w:val="00F74DF7"/>
    <w:rsid w:val="00F75BD3"/>
    <w:rsid w:val="00F76371"/>
    <w:rsid w:val="00F80060"/>
    <w:rsid w:val="00F800E1"/>
    <w:rsid w:val="00F80F3E"/>
    <w:rsid w:val="00F83332"/>
    <w:rsid w:val="00F83DAA"/>
    <w:rsid w:val="00F856C4"/>
    <w:rsid w:val="00F8716F"/>
    <w:rsid w:val="00F873EF"/>
    <w:rsid w:val="00F906E1"/>
    <w:rsid w:val="00F91D0A"/>
    <w:rsid w:val="00F92021"/>
    <w:rsid w:val="00F92616"/>
    <w:rsid w:val="00F92814"/>
    <w:rsid w:val="00F93A96"/>
    <w:rsid w:val="00F94AA3"/>
    <w:rsid w:val="00F952F8"/>
    <w:rsid w:val="00F9543C"/>
    <w:rsid w:val="00F957C3"/>
    <w:rsid w:val="00F95BC5"/>
    <w:rsid w:val="00F97BD0"/>
    <w:rsid w:val="00FA06F3"/>
    <w:rsid w:val="00FA0A4E"/>
    <w:rsid w:val="00FA1312"/>
    <w:rsid w:val="00FA2A46"/>
    <w:rsid w:val="00FA4F28"/>
    <w:rsid w:val="00FA60D2"/>
    <w:rsid w:val="00FA6428"/>
    <w:rsid w:val="00FA6974"/>
    <w:rsid w:val="00FA78D8"/>
    <w:rsid w:val="00FA79E5"/>
    <w:rsid w:val="00FB1190"/>
    <w:rsid w:val="00FB12C8"/>
    <w:rsid w:val="00FB1E4F"/>
    <w:rsid w:val="00FB27DD"/>
    <w:rsid w:val="00FB335D"/>
    <w:rsid w:val="00FB33E1"/>
    <w:rsid w:val="00FB3456"/>
    <w:rsid w:val="00FB4354"/>
    <w:rsid w:val="00FB4565"/>
    <w:rsid w:val="00FB52C5"/>
    <w:rsid w:val="00FB6CBE"/>
    <w:rsid w:val="00FB7CE0"/>
    <w:rsid w:val="00FC029D"/>
    <w:rsid w:val="00FC3EBC"/>
    <w:rsid w:val="00FC3FB6"/>
    <w:rsid w:val="00FC49AE"/>
    <w:rsid w:val="00FC4D19"/>
    <w:rsid w:val="00FC4F62"/>
    <w:rsid w:val="00FD0357"/>
    <w:rsid w:val="00FD32AD"/>
    <w:rsid w:val="00FD343E"/>
    <w:rsid w:val="00FD4A50"/>
    <w:rsid w:val="00FD524C"/>
    <w:rsid w:val="00FD69E8"/>
    <w:rsid w:val="00FE11B7"/>
    <w:rsid w:val="00FE19D7"/>
    <w:rsid w:val="00FE26EC"/>
    <w:rsid w:val="00FE39B5"/>
    <w:rsid w:val="00FE68A4"/>
    <w:rsid w:val="00FF0820"/>
    <w:rsid w:val="00FF0908"/>
    <w:rsid w:val="00FF1185"/>
    <w:rsid w:val="00FF376D"/>
    <w:rsid w:val="00FF59A0"/>
    <w:rsid w:val="00FF6211"/>
    <w:rsid w:val="01113FA1"/>
    <w:rsid w:val="01791910"/>
    <w:rsid w:val="01F1268E"/>
    <w:rsid w:val="021A27AB"/>
    <w:rsid w:val="02240524"/>
    <w:rsid w:val="02D7069C"/>
    <w:rsid w:val="03053FFF"/>
    <w:rsid w:val="035B1CE5"/>
    <w:rsid w:val="03BA29D9"/>
    <w:rsid w:val="03E125EC"/>
    <w:rsid w:val="03F92894"/>
    <w:rsid w:val="04101BB7"/>
    <w:rsid w:val="0430275A"/>
    <w:rsid w:val="04473845"/>
    <w:rsid w:val="044C330C"/>
    <w:rsid w:val="044E57D2"/>
    <w:rsid w:val="045B52FD"/>
    <w:rsid w:val="045E5F40"/>
    <w:rsid w:val="047A5783"/>
    <w:rsid w:val="047D399C"/>
    <w:rsid w:val="058F34B0"/>
    <w:rsid w:val="061D7F8D"/>
    <w:rsid w:val="063378F6"/>
    <w:rsid w:val="06C453DB"/>
    <w:rsid w:val="0721638A"/>
    <w:rsid w:val="073F1DF2"/>
    <w:rsid w:val="07541337"/>
    <w:rsid w:val="07726BE5"/>
    <w:rsid w:val="07B31491"/>
    <w:rsid w:val="07C55D13"/>
    <w:rsid w:val="08407581"/>
    <w:rsid w:val="087264C6"/>
    <w:rsid w:val="09176551"/>
    <w:rsid w:val="0923593D"/>
    <w:rsid w:val="09246605"/>
    <w:rsid w:val="092F791D"/>
    <w:rsid w:val="09516E1B"/>
    <w:rsid w:val="0961574F"/>
    <w:rsid w:val="096477B1"/>
    <w:rsid w:val="096864F2"/>
    <w:rsid w:val="097E6A3E"/>
    <w:rsid w:val="09866A95"/>
    <w:rsid w:val="09B53677"/>
    <w:rsid w:val="09FD0FF6"/>
    <w:rsid w:val="0A0C3321"/>
    <w:rsid w:val="0A3948CE"/>
    <w:rsid w:val="0A555F57"/>
    <w:rsid w:val="0A6F0B9C"/>
    <w:rsid w:val="0AC97464"/>
    <w:rsid w:val="0AEF0818"/>
    <w:rsid w:val="0B05175F"/>
    <w:rsid w:val="0B0D7FE7"/>
    <w:rsid w:val="0B167E75"/>
    <w:rsid w:val="0B217D4B"/>
    <w:rsid w:val="0B26707E"/>
    <w:rsid w:val="0B725406"/>
    <w:rsid w:val="0C011543"/>
    <w:rsid w:val="0C3A333E"/>
    <w:rsid w:val="0C713E70"/>
    <w:rsid w:val="0CA86EA2"/>
    <w:rsid w:val="0CBB595F"/>
    <w:rsid w:val="0CE62992"/>
    <w:rsid w:val="0D046461"/>
    <w:rsid w:val="0D8812F7"/>
    <w:rsid w:val="0DA6496C"/>
    <w:rsid w:val="0DAD4E1B"/>
    <w:rsid w:val="0DC9378C"/>
    <w:rsid w:val="0E3C1CFB"/>
    <w:rsid w:val="0E8F4521"/>
    <w:rsid w:val="0EF3685E"/>
    <w:rsid w:val="0F14307C"/>
    <w:rsid w:val="0F4A0D6A"/>
    <w:rsid w:val="0F583FCC"/>
    <w:rsid w:val="0F5F5CA1"/>
    <w:rsid w:val="0F857FF2"/>
    <w:rsid w:val="0FDA17CC"/>
    <w:rsid w:val="10221EE0"/>
    <w:rsid w:val="10AD0C8E"/>
    <w:rsid w:val="10C336CF"/>
    <w:rsid w:val="10D61D5D"/>
    <w:rsid w:val="11023B11"/>
    <w:rsid w:val="110D41B9"/>
    <w:rsid w:val="114266E7"/>
    <w:rsid w:val="115C2CF7"/>
    <w:rsid w:val="116972AB"/>
    <w:rsid w:val="11750FCE"/>
    <w:rsid w:val="1188307C"/>
    <w:rsid w:val="118934A9"/>
    <w:rsid w:val="118C15CB"/>
    <w:rsid w:val="11B7101A"/>
    <w:rsid w:val="11BA2AFD"/>
    <w:rsid w:val="11D0273B"/>
    <w:rsid w:val="11DF756D"/>
    <w:rsid w:val="11E365D5"/>
    <w:rsid w:val="12274A70"/>
    <w:rsid w:val="124C461A"/>
    <w:rsid w:val="131E594D"/>
    <w:rsid w:val="1399374C"/>
    <w:rsid w:val="13AC6489"/>
    <w:rsid w:val="14887A48"/>
    <w:rsid w:val="150712B5"/>
    <w:rsid w:val="15507A0D"/>
    <w:rsid w:val="15947565"/>
    <w:rsid w:val="16130806"/>
    <w:rsid w:val="167B31AC"/>
    <w:rsid w:val="16A02C0C"/>
    <w:rsid w:val="1740460A"/>
    <w:rsid w:val="177644D0"/>
    <w:rsid w:val="179523B6"/>
    <w:rsid w:val="182211E6"/>
    <w:rsid w:val="18427A2F"/>
    <w:rsid w:val="185274B5"/>
    <w:rsid w:val="18D97FF0"/>
    <w:rsid w:val="190A2398"/>
    <w:rsid w:val="192A28F4"/>
    <w:rsid w:val="1A3B246E"/>
    <w:rsid w:val="1A4D7106"/>
    <w:rsid w:val="1A5E03B7"/>
    <w:rsid w:val="1A941C12"/>
    <w:rsid w:val="1A974E89"/>
    <w:rsid w:val="1AA07B3C"/>
    <w:rsid w:val="1AB23A71"/>
    <w:rsid w:val="1AF71B85"/>
    <w:rsid w:val="1B583FD6"/>
    <w:rsid w:val="1B812E7F"/>
    <w:rsid w:val="1B884FBD"/>
    <w:rsid w:val="1BCE21DA"/>
    <w:rsid w:val="1C350386"/>
    <w:rsid w:val="1C666FED"/>
    <w:rsid w:val="1C6D0633"/>
    <w:rsid w:val="1C762014"/>
    <w:rsid w:val="1CD8551B"/>
    <w:rsid w:val="1CE95744"/>
    <w:rsid w:val="1CEF26CE"/>
    <w:rsid w:val="1D20523A"/>
    <w:rsid w:val="1DB149AD"/>
    <w:rsid w:val="1DB64506"/>
    <w:rsid w:val="1DC60E52"/>
    <w:rsid w:val="1DD20CC0"/>
    <w:rsid w:val="1DE42382"/>
    <w:rsid w:val="1E7159F1"/>
    <w:rsid w:val="1EAC6A29"/>
    <w:rsid w:val="1EDB10BC"/>
    <w:rsid w:val="1F2C467B"/>
    <w:rsid w:val="1F2C66A0"/>
    <w:rsid w:val="1F3955A2"/>
    <w:rsid w:val="1F5B5B3D"/>
    <w:rsid w:val="1F933A28"/>
    <w:rsid w:val="2023248F"/>
    <w:rsid w:val="202D6FD9"/>
    <w:rsid w:val="2031368A"/>
    <w:rsid w:val="20535F35"/>
    <w:rsid w:val="209459C7"/>
    <w:rsid w:val="20AB4F1C"/>
    <w:rsid w:val="20C55B80"/>
    <w:rsid w:val="218457F2"/>
    <w:rsid w:val="21BD3BC6"/>
    <w:rsid w:val="21E36440"/>
    <w:rsid w:val="21F90440"/>
    <w:rsid w:val="22543660"/>
    <w:rsid w:val="22623FCE"/>
    <w:rsid w:val="22947903"/>
    <w:rsid w:val="22EB3FC4"/>
    <w:rsid w:val="232B7762"/>
    <w:rsid w:val="237815D0"/>
    <w:rsid w:val="239E04F4"/>
    <w:rsid w:val="23FB6EA3"/>
    <w:rsid w:val="23FC47E3"/>
    <w:rsid w:val="24145500"/>
    <w:rsid w:val="2453425F"/>
    <w:rsid w:val="245F6311"/>
    <w:rsid w:val="24D64800"/>
    <w:rsid w:val="25B13916"/>
    <w:rsid w:val="260C02FD"/>
    <w:rsid w:val="26305DD8"/>
    <w:rsid w:val="268A665F"/>
    <w:rsid w:val="26BE72FA"/>
    <w:rsid w:val="26CE7C33"/>
    <w:rsid w:val="26E20CF5"/>
    <w:rsid w:val="26E94BFE"/>
    <w:rsid w:val="278B601D"/>
    <w:rsid w:val="27D01665"/>
    <w:rsid w:val="27D77FBF"/>
    <w:rsid w:val="2816090E"/>
    <w:rsid w:val="286F370F"/>
    <w:rsid w:val="28965108"/>
    <w:rsid w:val="28BD3BF5"/>
    <w:rsid w:val="28F5255E"/>
    <w:rsid w:val="297F777F"/>
    <w:rsid w:val="29A0718A"/>
    <w:rsid w:val="29D81A29"/>
    <w:rsid w:val="29DC61F5"/>
    <w:rsid w:val="29F6324E"/>
    <w:rsid w:val="2A1C40C0"/>
    <w:rsid w:val="2A4C2E6E"/>
    <w:rsid w:val="2A7A2160"/>
    <w:rsid w:val="2AFF7C0E"/>
    <w:rsid w:val="2B470211"/>
    <w:rsid w:val="2B730675"/>
    <w:rsid w:val="2C02237E"/>
    <w:rsid w:val="2C022894"/>
    <w:rsid w:val="2C8142B0"/>
    <w:rsid w:val="2D0B0DBF"/>
    <w:rsid w:val="2D111F97"/>
    <w:rsid w:val="2D514834"/>
    <w:rsid w:val="2D6F1138"/>
    <w:rsid w:val="2D8C5315"/>
    <w:rsid w:val="2D95643B"/>
    <w:rsid w:val="2DCD0BD5"/>
    <w:rsid w:val="2DE106C9"/>
    <w:rsid w:val="2DF87595"/>
    <w:rsid w:val="2E2750F6"/>
    <w:rsid w:val="2E5F4766"/>
    <w:rsid w:val="2E8B21B7"/>
    <w:rsid w:val="2EAC6191"/>
    <w:rsid w:val="2ECD27D0"/>
    <w:rsid w:val="2F0630CB"/>
    <w:rsid w:val="2F266384"/>
    <w:rsid w:val="2F7D06EE"/>
    <w:rsid w:val="2F841A5E"/>
    <w:rsid w:val="2F86140B"/>
    <w:rsid w:val="2FBD7363"/>
    <w:rsid w:val="305A62E5"/>
    <w:rsid w:val="30F911F5"/>
    <w:rsid w:val="310B75DF"/>
    <w:rsid w:val="31175F84"/>
    <w:rsid w:val="314C23D2"/>
    <w:rsid w:val="31884247"/>
    <w:rsid w:val="319C62FD"/>
    <w:rsid w:val="319D5345"/>
    <w:rsid w:val="31E71DFA"/>
    <w:rsid w:val="32002A73"/>
    <w:rsid w:val="320927FD"/>
    <w:rsid w:val="322939F2"/>
    <w:rsid w:val="325850F3"/>
    <w:rsid w:val="326070DF"/>
    <w:rsid w:val="32676A97"/>
    <w:rsid w:val="32904240"/>
    <w:rsid w:val="32911DF9"/>
    <w:rsid w:val="32BF53D9"/>
    <w:rsid w:val="32FE389F"/>
    <w:rsid w:val="332538EF"/>
    <w:rsid w:val="336D1887"/>
    <w:rsid w:val="339D46F8"/>
    <w:rsid w:val="33AA1331"/>
    <w:rsid w:val="33CB4E6E"/>
    <w:rsid w:val="341D5FA7"/>
    <w:rsid w:val="342D2050"/>
    <w:rsid w:val="3437263D"/>
    <w:rsid w:val="3490195A"/>
    <w:rsid w:val="34FD2240"/>
    <w:rsid w:val="35037002"/>
    <w:rsid w:val="351D3F8B"/>
    <w:rsid w:val="354F1987"/>
    <w:rsid w:val="35C50379"/>
    <w:rsid w:val="35DA1FD3"/>
    <w:rsid w:val="360F71D3"/>
    <w:rsid w:val="36400CEB"/>
    <w:rsid w:val="3640650F"/>
    <w:rsid w:val="3658670A"/>
    <w:rsid w:val="36590DED"/>
    <w:rsid w:val="36913B8F"/>
    <w:rsid w:val="36AC716F"/>
    <w:rsid w:val="36C60B9D"/>
    <w:rsid w:val="37516248"/>
    <w:rsid w:val="37985945"/>
    <w:rsid w:val="37AD5028"/>
    <w:rsid w:val="37F81A2D"/>
    <w:rsid w:val="38184717"/>
    <w:rsid w:val="38274CF5"/>
    <w:rsid w:val="38A30A78"/>
    <w:rsid w:val="38FD4A32"/>
    <w:rsid w:val="390211C1"/>
    <w:rsid w:val="391F7478"/>
    <w:rsid w:val="393D0552"/>
    <w:rsid w:val="39517588"/>
    <w:rsid w:val="396226AE"/>
    <w:rsid w:val="39B36A66"/>
    <w:rsid w:val="3A103EB8"/>
    <w:rsid w:val="3ACC0BF2"/>
    <w:rsid w:val="3ADC1897"/>
    <w:rsid w:val="3AF0328E"/>
    <w:rsid w:val="3B297A4D"/>
    <w:rsid w:val="3B632DD5"/>
    <w:rsid w:val="3B96663F"/>
    <w:rsid w:val="3BCF1922"/>
    <w:rsid w:val="3BEC73CA"/>
    <w:rsid w:val="3BF1148D"/>
    <w:rsid w:val="3C447E49"/>
    <w:rsid w:val="3C4537E2"/>
    <w:rsid w:val="3C5C570A"/>
    <w:rsid w:val="3C5F4C83"/>
    <w:rsid w:val="3C7050E2"/>
    <w:rsid w:val="3CBD7B77"/>
    <w:rsid w:val="3CD12A41"/>
    <w:rsid w:val="3CF90C34"/>
    <w:rsid w:val="3D424900"/>
    <w:rsid w:val="3DF6239A"/>
    <w:rsid w:val="3DFD1244"/>
    <w:rsid w:val="3E083824"/>
    <w:rsid w:val="3E1D2628"/>
    <w:rsid w:val="3E563B6C"/>
    <w:rsid w:val="3E9E0B8B"/>
    <w:rsid w:val="3EA2438C"/>
    <w:rsid w:val="3EBB4189"/>
    <w:rsid w:val="3EC62C18"/>
    <w:rsid w:val="3F195722"/>
    <w:rsid w:val="3F6E5909"/>
    <w:rsid w:val="3F7AB667"/>
    <w:rsid w:val="3FC6067B"/>
    <w:rsid w:val="3FCC262F"/>
    <w:rsid w:val="3FCC4E39"/>
    <w:rsid w:val="401E545D"/>
    <w:rsid w:val="40577F27"/>
    <w:rsid w:val="40724F1D"/>
    <w:rsid w:val="408625E5"/>
    <w:rsid w:val="40A54253"/>
    <w:rsid w:val="40DD0AA9"/>
    <w:rsid w:val="410D4CAE"/>
    <w:rsid w:val="4126790F"/>
    <w:rsid w:val="41372737"/>
    <w:rsid w:val="41C061C4"/>
    <w:rsid w:val="41F26E27"/>
    <w:rsid w:val="42002A64"/>
    <w:rsid w:val="42416F43"/>
    <w:rsid w:val="42AE6119"/>
    <w:rsid w:val="42CA1C87"/>
    <w:rsid w:val="42FF2C65"/>
    <w:rsid w:val="433E4180"/>
    <w:rsid w:val="43487189"/>
    <w:rsid w:val="43543B6A"/>
    <w:rsid w:val="4379487C"/>
    <w:rsid w:val="43844A8D"/>
    <w:rsid w:val="43992A22"/>
    <w:rsid w:val="43B00F4B"/>
    <w:rsid w:val="43B66B2B"/>
    <w:rsid w:val="43C111A2"/>
    <w:rsid w:val="43E20674"/>
    <w:rsid w:val="44121145"/>
    <w:rsid w:val="443B611F"/>
    <w:rsid w:val="4454377A"/>
    <w:rsid w:val="44761B1B"/>
    <w:rsid w:val="44A07BDC"/>
    <w:rsid w:val="45335F95"/>
    <w:rsid w:val="45583E57"/>
    <w:rsid w:val="45592BB7"/>
    <w:rsid w:val="45596713"/>
    <w:rsid w:val="4571607D"/>
    <w:rsid w:val="45725A27"/>
    <w:rsid w:val="45CE4DF8"/>
    <w:rsid w:val="45EA7371"/>
    <w:rsid w:val="45FA0D0B"/>
    <w:rsid w:val="462E6024"/>
    <w:rsid w:val="46472A10"/>
    <w:rsid w:val="46842982"/>
    <w:rsid w:val="46A42AB6"/>
    <w:rsid w:val="46B310A6"/>
    <w:rsid w:val="46F954C9"/>
    <w:rsid w:val="470516DC"/>
    <w:rsid w:val="470A573F"/>
    <w:rsid w:val="47703CF4"/>
    <w:rsid w:val="47B916EB"/>
    <w:rsid w:val="47E75833"/>
    <w:rsid w:val="4804200A"/>
    <w:rsid w:val="484E4529"/>
    <w:rsid w:val="485A2984"/>
    <w:rsid w:val="486309CF"/>
    <w:rsid w:val="489650B8"/>
    <w:rsid w:val="48B07468"/>
    <w:rsid w:val="48E1714C"/>
    <w:rsid w:val="49AA023D"/>
    <w:rsid w:val="49C61CC3"/>
    <w:rsid w:val="4A1105D1"/>
    <w:rsid w:val="4A1368BF"/>
    <w:rsid w:val="4A7F3599"/>
    <w:rsid w:val="4A835586"/>
    <w:rsid w:val="4AA01D99"/>
    <w:rsid w:val="4AA03036"/>
    <w:rsid w:val="4AA8775D"/>
    <w:rsid w:val="4AAE5753"/>
    <w:rsid w:val="4AF018C8"/>
    <w:rsid w:val="4B14281D"/>
    <w:rsid w:val="4B2969B8"/>
    <w:rsid w:val="4B5160DF"/>
    <w:rsid w:val="4B6B5853"/>
    <w:rsid w:val="4C03320C"/>
    <w:rsid w:val="4C3F672B"/>
    <w:rsid w:val="4C534154"/>
    <w:rsid w:val="4CB67A9B"/>
    <w:rsid w:val="4CDA552C"/>
    <w:rsid w:val="4D1E2254"/>
    <w:rsid w:val="4D1F0243"/>
    <w:rsid w:val="4D2C6E03"/>
    <w:rsid w:val="4D57226B"/>
    <w:rsid w:val="4D7B566F"/>
    <w:rsid w:val="4D8427CC"/>
    <w:rsid w:val="4D865C9D"/>
    <w:rsid w:val="4D9656B5"/>
    <w:rsid w:val="4DE70B18"/>
    <w:rsid w:val="4E22162D"/>
    <w:rsid w:val="4E9234C3"/>
    <w:rsid w:val="4EA47ECE"/>
    <w:rsid w:val="4ECF7A46"/>
    <w:rsid w:val="4ED14027"/>
    <w:rsid w:val="4F500538"/>
    <w:rsid w:val="504479E3"/>
    <w:rsid w:val="50670742"/>
    <w:rsid w:val="51051E45"/>
    <w:rsid w:val="515818C2"/>
    <w:rsid w:val="51592273"/>
    <w:rsid w:val="517E623A"/>
    <w:rsid w:val="51B003BE"/>
    <w:rsid w:val="51CA1A6C"/>
    <w:rsid w:val="51D20EE2"/>
    <w:rsid w:val="52140592"/>
    <w:rsid w:val="523E6BBC"/>
    <w:rsid w:val="52402E99"/>
    <w:rsid w:val="53456529"/>
    <w:rsid w:val="53863019"/>
    <w:rsid w:val="54CB34BA"/>
    <w:rsid w:val="54D87473"/>
    <w:rsid w:val="556F1F83"/>
    <w:rsid w:val="558812B5"/>
    <w:rsid w:val="56002FFA"/>
    <w:rsid w:val="565A6E15"/>
    <w:rsid w:val="567219C2"/>
    <w:rsid w:val="56824254"/>
    <w:rsid w:val="569E238C"/>
    <w:rsid w:val="56A56F96"/>
    <w:rsid w:val="56B30171"/>
    <w:rsid w:val="571D5BC5"/>
    <w:rsid w:val="573965B1"/>
    <w:rsid w:val="57440652"/>
    <w:rsid w:val="5750429E"/>
    <w:rsid w:val="57626E74"/>
    <w:rsid w:val="57636C13"/>
    <w:rsid w:val="58240E03"/>
    <w:rsid w:val="58421289"/>
    <w:rsid w:val="5846521D"/>
    <w:rsid w:val="585A740D"/>
    <w:rsid w:val="585D3E03"/>
    <w:rsid w:val="587F2FA7"/>
    <w:rsid w:val="58E467E4"/>
    <w:rsid w:val="59340387"/>
    <w:rsid w:val="593530F2"/>
    <w:rsid w:val="593B6301"/>
    <w:rsid w:val="595B6AA6"/>
    <w:rsid w:val="59F20A8D"/>
    <w:rsid w:val="59FF709D"/>
    <w:rsid w:val="5A355549"/>
    <w:rsid w:val="5AAF3F4B"/>
    <w:rsid w:val="5AD14B46"/>
    <w:rsid w:val="5B041AFA"/>
    <w:rsid w:val="5B780C82"/>
    <w:rsid w:val="5BBA658A"/>
    <w:rsid w:val="5BE70865"/>
    <w:rsid w:val="5BFD1EB7"/>
    <w:rsid w:val="5C0623D8"/>
    <w:rsid w:val="5CAE15E3"/>
    <w:rsid w:val="5CC9164A"/>
    <w:rsid w:val="5D2634A4"/>
    <w:rsid w:val="5D8D0702"/>
    <w:rsid w:val="5D9978C0"/>
    <w:rsid w:val="5DC855E3"/>
    <w:rsid w:val="5DCB2761"/>
    <w:rsid w:val="5DCF5207"/>
    <w:rsid w:val="5DEB4609"/>
    <w:rsid w:val="5E1016DA"/>
    <w:rsid w:val="5E1611EE"/>
    <w:rsid w:val="5E624433"/>
    <w:rsid w:val="5E77523A"/>
    <w:rsid w:val="5E9D1993"/>
    <w:rsid w:val="5EF46899"/>
    <w:rsid w:val="5F052746"/>
    <w:rsid w:val="5F5F6BC4"/>
    <w:rsid w:val="5F6E4A69"/>
    <w:rsid w:val="5FC133DB"/>
    <w:rsid w:val="5FC71AE3"/>
    <w:rsid w:val="5FCA7B2F"/>
    <w:rsid w:val="5FEC1F0A"/>
    <w:rsid w:val="606A1F45"/>
    <w:rsid w:val="60A614B8"/>
    <w:rsid w:val="610E56A1"/>
    <w:rsid w:val="61545DBC"/>
    <w:rsid w:val="6166248C"/>
    <w:rsid w:val="619265DD"/>
    <w:rsid w:val="61C947C9"/>
    <w:rsid w:val="62BE310D"/>
    <w:rsid w:val="62E53885"/>
    <w:rsid w:val="635C3C60"/>
    <w:rsid w:val="637E69E5"/>
    <w:rsid w:val="639F6592"/>
    <w:rsid w:val="63C56EA9"/>
    <w:rsid w:val="63CF1338"/>
    <w:rsid w:val="63FF5CA0"/>
    <w:rsid w:val="641E704E"/>
    <w:rsid w:val="643B19AE"/>
    <w:rsid w:val="644545DB"/>
    <w:rsid w:val="64464418"/>
    <w:rsid w:val="64726F43"/>
    <w:rsid w:val="64D3579B"/>
    <w:rsid w:val="64DD35B1"/>
    <w:rsid w:val="64FD740D"/>
    <w:rsid w:val="656A5114"/>
    <w:rsid w:val="658438EC"/>
    <w:rsid w:val="65B2055C"/>
    <w:rsid w:val="661A4B91"/>
    <w:rsid w:val="66941658"/>
    <w:rsid w:val="669C24AC"/>
    <w:rsid w:val="670C65D6"/>
    <w:rsid w:val="67361AEF"/>
    <w:rsid w:val="673B7F17"/>
    <w:rsid w:val="67447652"/>
    <w:rsid w:val="67A04E3D"/>
    <w:rsid w:val="67A64371"/>
    <w:rsid w:val="67D363A2"/>
    <w:rsid w:val="67E660D5"/>
    <w:rsid w:val="67FA3FF3"/>
    <w:rsid w:val="681212B2"/>
    <w:rsid w:val="681D5A1D"/>
    <w:rsid w:val="682C3AD4"/>
    <w:rsid w:val="68613679"/>
    <w:rsid w:val="68760E89"/>
    <w:rsid w:val="68BA153C"/>
    <w:rsid w:val="691E2F4F"/>
    <w:rsid w:val="69E42A35"/>
    <w:rsid w:val="6A211646"/>
    <w:rsid w:val="6A4B0471"/>
    <w:rsid w:val="6A915DF3"/>
    <w:rsid w:val="6AA54025"/>
    <w:rsid w:val="6ADF6E0B"/>
    <w:rsid w:val="6AF72970"/>
    <w:rsid w:val="6AFF77FA"/>
    <w:rsid w:val="6B237C72"/>
    <w:rsid w:val="6B657311"/>
    <w:rsid w:val="6BA73DCD"/>
    <w:rsid w:val="6BE338F6"/>
    <w:rsid w:val="6C0B643D"/>
    <w:rsid w:val="6C18662D"/>
    <w:rsid w:val="6C5A7C50"/>
    <w:rsid w:val="6C80389A"/>
    <w:rsid w:val="6C8C4C6F"/>
    <w:rsid w:val="6D183682"/>
    <w:rsid w:val="6D2C0311"/>
    <w:rsid w:val="6D356CBB"/>
    <w:rsid w:val="6D4D22D2"/>
    <w:rsid w:val="6D522F26"/>
    <w:rsid w:val="6DFF30E5"/>
    <w:rsid w:val="6E2B0B07"/>
    <w:rsid w:val="6E4542A4"/>
    <w:rsid w:val="6EED1AF7"/>
    <w:rsid w:val="6F116D55"/>
    <w:rsid w:val="6F7B5355"/>
    <w:rsid w:val="6FB04626"/>
    <w:rsid w:val="701A2DBF"/>
    <w:rsid w:val="70454762"/>
    <w:rsid w:val="70792BA8"/>
    <w:rsid w:val="70CB235A"/>
    <w:rsid w:val="70EC4663"/>
    <w:rsid w:val="71121CE9"/>
    <w:rsid w:val="7186255F"/>
    <w:rsid w:val="71973F9C"/>
    <w:rsid w:val="71DB0960"/>
    <w:rsid w:val="71E91D8F"/>
    <w:rsid w:val="71EF0985"/>
    <w:rsid w:val="71FA5E12"/>
    <w:rsid w:val="723517F7"/>
    <w:rsid w:val="723932A5"/>
    <w:rsid w:val="72435955"/>
    <w:rsid w:val="72513B7B"/>
    <w:rsid w:val="72BF37AA"/>
    <w:rsid w:val="72D22688"/>
    <w:rsid w:val="73342385"/>
    <w:rsid w:val="733A434A"/>
    <w:rsid w:val="737A3EFB"/>
    <w:rsid w:val="73842F26"/>
    <w:rsid w:val="73860E12"/>
    <w:rsid w:val="73AB638B"/>
    <w:rsid w:val="74085625"/>
    <w:rsid w:val="741E09A4"/>
    <w:rsid w:val="74424C8B"/>
    <w:rsid w:val="744B4275"/>
    <w:rsid w:val="74601682"/>
    <w:rsid w:val="749271F3"/>
    <w:rsid w:val="749865DE"/>
    <w:rsid w:val="74C8055A"/>
    <w:rsid w:val="74DA48CB"/>
    <w:rsid w:val="74E37478"/>
    <w:rsid w:val="75774810"/>
    <w:rsid w:val="75792336"/>
    <w:rsid w:val="758E7B4E"/>
    <w:rsid w:val="75C335B1"/>
    <w:rsid w:val="75CF35BC"/>
    <w:rsid w:val="75E579B6"/>
    <w:rsid w:val="75E756D6"/>
    <w:rsid w:val="76227727"/>
    <w:rsid w:val="762B2267"/>
    <w:rsid w:val="765A0B29"/>
    <w:rsid w:val="767E397C"/>
    <w:rsid w:val="768E61AF"/>
    <w:rsid w:val="76B01217"/>
    <w:rsid w:val="76DF08BF"/>
    <w:rsid w:val="76F36118"/>
    <w:rsid w:val="779B0277"/>
    <w:rsid w:val="77A21895"/>
    <w:rsid w:val="77C17FC5"/>
    <w:rsid w:val="77F83C6D"/>
    <w:rsid w:val="78191561"/>
    <w:rsid w:val="782F4F2E"/>
    <w:rsid w:val="787B1242"/>
    <w:rsid w:val="78B735B7"/>
    <w:rsid w:val="78F33C43"/>
    <w:rsid w:val="79044AE5"/>
    <w:rsid w:val="795E31C8"/>
    <w:rsid w:val="79A33E26"/>
    <w:rsid w:val="79C34C2C"/>
    <w:rsid w:val="7A08419A"/>
    <w:rsid w:val="7A196F35"/>
    <w:rsid w:val="7A570EEB"/>
    <w:rsid w:val="7AB44136"/>
    <w:rsid w:val="7ABE6A3D"/>
    <w:rsid w:val="7AC526DE"/>
    <w:rsid w:val="7B076C86"/>
    <w:rsid w:val="7B0B1B75"/>
    <w:rsid w:val="7B2E3BC3"/>
    <w:rsid w:val="7B5C5D8A"/>
    <w:rsid w:val="7B7517F2"/>
    <w:rsid w:val="7B881AD9"/>
    <w:rsid w:val="7B892BA7"/>
    <w:rsid w:val="7B9A6B62"/>
    <w:rsid w:val="7BB1183B"/>
    <w:rsid w:val="7BF00E78"/>
    <w:rsid w:val="7BF53A86"/>
    <w:rsid w:val="7C413482"/>
    <w:rsid w:val="7C580C2D"/>
    <w:rsid w:val="7C686C61"/>
    <w:rsid w:val="7C9061B7"/>
    <w:rsid w:val="7C99506C"/>
    <w:rsid w:val="7C9D34C4"/>
    <w:rsid w:val="7CD335AB"/>
    <w:rsid w:val="7D5F11AB"/>
    <w:rsid w:val="7D7B648E"/>
    <w:rsid w:val="7DB845E4"/>
    <w:rsid w:val="7DE22A43"/>
    <w:rsid w:val="7DFD162B"/>
    <w:rsid w:val="7E265025"/>
    <w:rsid w:val="7EA65570"/>
    <w:rsid w:val="7EA85A3A"/>
    <w:rsid w:val="7F5C312D"/>
    <w:rsid w:val="7FB4040F"/>
    <w:rsid w:val="7FB46BB3"/>
    <w:rsid w:val="7FCD302E"/>
    <w:rsid w:val="B57FC3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62"/>
    <w:qFormat/>
    <w:uiPriority w:val="0"/>
    <w:pPr>
      <w:keepNext/>
      <w:keepLines/>
      <w:spacing w:before="340" w:after="330" w:line="360" w:lineRule="auto"/>
      <w:jc w:val="center"/>
      <w:outlineLvl w:val="0"/>
    </w:pPr>
    <w:rPr>
      <w:b/>
      <w:bCs/>
      <w:kern w:val="44"/>
      <w:sz w:val="24"/>
      <w:szCs w:val="44"/>
    </w:rPr>
  </w:style>
  <w:style w:type="paragraph" w:styleId="3">
    <w:name w:val="heading 2"/>
    <w:basedOn w:val="1"/>
    <w:next w:val="1"/>
    <w:qFormat/>
    <w:uiPriority w:val="0"/>
    <w:pPr>
      <w:keepNext/>
      <w:keepLines/>
      <w:spacing w:before="260" w:after="260"/>
      <w:jc w:val="left"/>
      <w:outlineLvl w:val="1"/>
    </w:pPr>
    <w:rPr>
      <w:rFonts w:ascii="Arial" w:hAnsi="Arial"/>
      <w:b/>
      <w:bCs/>
      <w:sz w:val="24"/>
      <w:szCs w:val="32"/>
    </w:rPr>
  </w:style>
  <w:style w:type="paragraph" w:styleId="4">
    <w:name w:val="heading 3"/>
    <w:basedOn w:val="1"/>
    <w:next w:val="1"/>
    <w:qFormat/>
    <w:uiPriority w:val="0"/>
    <w:pPr>
      <w:keepNext/>
      <w:keepLines/>
      <w:spacing w:before="260" w:after="260" w:line="413" w:lineRule="auto"/>
      <w:outlineLvl w:val="2"/>
    </w:pPr>
    <w:rPr>
      <w:b/>
      <w:bCs/>
      <w:sz w:val="32"/>
      <w:szCs w:val="32"/>
    </w:rPr>
  </w:style>
  <w:style w:type="paragraph" w:styleId="5">
    <w:name w:val="heading 4"/>
    <w:basedOn w:val="1"/>
    <w:next w:val="1"/>
    <w:link w:val="63"/>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64"/>
    <w:qFormat/>
    <w:uiPriority w:val="0"/>
    <w:pPr>
      <w:keepNext/>
      <w:keepLines/>
      <w:spacing w:before="280" w:after="290" w:line="376" w:lineRule="auto"/>
      <w:outlineLvl w:val="4"/>
    </w:pPr>
    <w:rPr>
      <w:rFonts w:ascii="Calibri" w:hAnsi="Calibri"/>
      <w:b/>
      <w:bCs/>
      <w:sz w:val="28"/>
      <w:szCs w:val="28"/>
    </w:rPr>
  </w:style>
  <w:style w:type="paragraph" w:styleId="7">
    <w:name w:val="heading 6"/>
    <w:basedOn w:val="1"/>
    <w:next w:val="1"/>
    <w:link w:val="65"/>
    <w:qFormat/>
    <w:uiPriority w:val="0"/>
    <w:pPr>
      <w:keepNext/>
      <w:keepLines/>
      <w:widowControl/>
      <w:tabs>
        <w:tab w:val="left" w:pos="1440"/>
      </w:tabs>
      <w:spacing w:before="240" w:after="64" w:line="319" w:lineRule="auto"/>
      <w:ind w:left="1152" w:hanging="1152"/>
      <w:jc w:val="left"/>
      <w:outlineLvl w:val="5"/>
    </w:pPr>
    <w:rPr>
      <w:rFonts w:ascii="Arial" w:hAnsi="Arial" w:eastAsia="黑体"/>
      <w:b/>
      <w:bCs/>
      <w:kern w:val="0"/>
      <w:sz w:val="24"/>
    </w:rPr>
  </w:style>
  <w:style w:type="paragraph" w:styleId="8">
    <w:name w:val="heading 7"/>
    <w:basedOn w:val="1"/>
    <w:next w:val="1"/>
    <w:link w:val="66"/>
    <w:qFormat/>
    <w:uiPriority w:val="0"/>
    <w:pPr>
      <w:keepNext/>
      <w:keepLines/>
      <w:widowControl/>
      <w:tabs>
        <w:tab w:val="left" w:pos="2520"/>
      </w:tabs>
      <w:spacing w:before="240" w:after="64" w:line="319" w:lineRule="auto"/>
      <w:ind w:left="1296" w:hanging="1296"/>
      <w:jc w:val="left"/>
      <w:outlineLvl w:val="6"/>
    </w:pPr>
    <w:rPr>
      <w:b/>
      <w:bCs/>
      <w:kern w:val="0"/>
      <w:sz w:val="24"/>
    </w:rPr>
  </w:style>
  <w:style w:type="paragraph" w:styleId="9">
    <w:name w:val="heading 8"/>
    <w:basedOn w:val="1"/>
    <w:next w:val="1"/>
    <w:link w:val="67"/>
    <w:qFormat/>
    <w:uiPriority w:val="0"/>
    <w:pPr>
      <w:keepNext/>
      <w:keepLines/>
      <w:widowControl/>
      <w:tabs>
        <w:tab w:val="left" w:pos="1440"/>
      </w:tabs>
      <w:spacing w:before="240" w:after="64" w:line="319" w:lineRule="auto"/>
      <w:ind w:left="1440" w:hanging="1440"/>
      <w:jc w:val="left"/>
      <w:outlineLvl w:val="7"/>
    </w:pPr>
    <w:rPr>
      <w:rFonts w:ascii="Arial" w:hAnsi="Arial" w:eastAsia="黑体"/>
      <w:kern w:val="0"/>
      <w:sz w:val="24"/>
    </w:rPr>
  </w:style>
  <w:style w:type="paragraph" w:styleId="10">
    <w:name w:val="heading 9"/>
    <w:basedOn w:val="1"/>
    <w:next w:val="1"/>
    <w:link w:val="68"/>
    <w:qFormat/>
    <w:uiPriority w:val="0"/>
    <w:pPr>
      <w:keepNext/>
      <w:keepLines/>
      <w:widowControl/>
      <w:tabs>
        <w:tab w:val="left" w:pos="1584"/>
      </w:tabs>
      <w:spacing w:before="240" w:after="64" w:line="319" w:lineRule="auto"/>
      <w:ind w:left="1584" w:hanging="1584"/>
      <w:jc w:val="left"/>
      <w:outlineLvl w:val="8"/>
    </w:pPr>
    <w:rPr>
      <w:rFonts w:ascii="Arial" w:hAnsi="Arial" w:eastAsia="黑体"/>
      <w:kern w:val="0"/>
      <w:szCs w:val="21"/>
    </w:rPr>
  </w:style>
  <w:style w:type="character" w:default="1" w:styleId="46">
    <w:name w:val="Default Paragraph Font"/>
    <w:semiHidden/>
    <w:unhideWhenUsed/>
    <w:qFormat/>
    <w:uiPriority w:val="1"/>
  </w:style>
  <w:style w:type="table" w:default="1" w:styleId="44">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0"/>
    <w:pPr>
      <w:ind w:left="1260"/>
      <w:jc w:val="left"/>
    </w:pPr>
    <w:rPr>
      <w:sz w:val="18"/>
      <w:szCs w:val="18"/>
    </w:rPr>
  </w:style>
  <w:style w:type="paragraph" w:styleId="12">
    <w:name w:val="Normal Indent"/>
    <w:basedOn w:val="1"/>
    <w:qFormat/>
    <w:uiPriority w:val="0"/>
    <w:pPr>
      <w:ind w:firstLine="420" w:firstLineChars="200"/>
    </w:pPr>
  </w:style>
  <w:style w:type="paragraph" w:styleId="13">
    <w:name w:val="Document Map"/>
    <w:basedOn w:val="1"/>
    <w:link w:val="69"/>
    <w:qFormat/>
    <w:uiPriority w:val="0"/>
    <w:pPr>
      <w:shd w:val="clear" w:color="auto" w:fill="000080"/>
    </w:pPr>
  </w:style>
  <w:style w:type="paragraph" w:styleId="14">
    <w:name w:val="annotation text"/>
    <w:basedOn w:val="1"/>
    <w:link w:val="70"/>
    <w:qFormat/>
    <w:uiPriority w:val="0"/>
    <w:pPr>
      <w:jc w:val="left"/>
    </w:pPr>
  </w:style>
  <w:style w:type="paragraph" w:styleId="15">
    <w:name w:val="Body Text 3"/>
    <w:basedOn w:val="1"/>
    <w:link w:val="71"/>
    <w:qFormat/>
    <w:uiPriority w:val="0"/>
    <w:rPr>
      <w:rFonts w:ascii="宋体"/>
      <w:sz w:val="24"/>
      <w:szCs w:val="20"/>
    </w:rPr>
  </w:style>
  <w:style w:type="paragraph" w:styleId="16">
    <w:name w:val="Body Text"/>
    <w:basedOn w:val="1"/>
    <w:link w:val="72"/>
    <w:qFormat/>
    <w:uiPriority w:val="0"/>
    <w:pPr>
      <w:jc w:val="center"/>
    </w:pPr>
    <w:rPr>
      <w:b/>
      <w:bCs/>
      <w:sz w:val="44"/>
      <w:szCs w:val="20"/>
    </w:rPr>
  </w:style>
  <w:style w:type="paragraph" w:styleId="17">
    <w:name w:val="Body Text Indent"/>
    <w:basedOn w:val="1"/>
    <w:next w:val="18"/>
    <w:link w:val="73"/>
    <w:qFormat/>
    <w:uiPriority w:val="0"/>
    <w:pPr>
      <w:spacing w:line="500" w:lineRule="exact"/>
      <w:ind w:firstLine="538"/>
    </w:pPr>
    <w:rPr>
      <w:sz w:val="28"/>
    </w:rPr>
  </w:style>
  <w:style w:type="paragraph" w:styleId="18">
    <w:name w:val="envelope return"/>
    <w:basedOn w:val="1"/>
    <w:qFormat/>
    <w:uiPriority w:val="0"/>
    <w:pPr>
      <w:snapToGrid w:val="0"/>
    </w:pPr>
    <w:rPr>
      <w:rFonts w:ascii="Arial" w:hAnsi="Arial"/>
    </w:rPr>
  </w:style>
  <w:style w:type="paragraph" w:styleId="19">
    <w:name w:val="Block Text"/>
    <w:basedOn w:val="1"/>
    <w:qFormat/>
    <w:uiPriority w:val="0"/>
    <w:pPr>
      <w:spacing w:line="400" w:lineRule="exact"/>
      <w:ind w:left="-359" w:leftChars="-171" w:right="31" w:rightChars="15" w:firstLine="980" w:firstLineChars="350"/>
    </w:pPr>
    <w:rPr>
      <w:rFonts w:ascii="宋体" w:hAnsi="宋体"/>
      <w:sz w:val="28"/>
      <w:szCs w:val="32"/>
    </w:rPr>
  </w:style>
  <w:style w:type="paragraph" w:styleId="20">
    <w:name w:val="toc 5"/>
    <w:basedOn w:val="1"/>
    <w:next w:val="1"/>
    <w:qFormat/>
    <w:uiPriority w:val="0"/>
    <w:pPr>
      <w:ind w:left="840"/>
      <w:jc w:val="left"/>
    </w:pPr>
    <w:rPr>
      <w:sz w:val="18"/>
      <w:szCs w:val="18"/>
    </w:rPr>
  </w:style>
  <w:style w:type="paragraph" w:styleId="21">
    <w:name w:val="toc 3"/>
    <w:basedOn w:val="1"/>
    <w:next w:val="1"/>
    <w:qFormat/>
    <w:uiPriority w:val="0"/>
    <w:pPr>
      <w:ind w:left="420"/>
      <w:jc w:val="left"/>
    </w:pPr>
    <w:rPr>
      <w:i/>
      <w:iCs/>
      <w:sz w:val="20"/>
      <w:szCs w:val="20"/>
    </w:rPr>
  </w:style>
  <w:style w:type="paragraph" w:styleId="22">
    <w:name w:val="Plain Text"/>
    <w:basedOn w:val="1"/>
    <w:next w:val="1"/>
    <w:link w:val="74"/>
    <w:qFormat/>
    <w:uiPriority w:val="0"/>
    <w:rPr>
      <w:rFonts w:ascii="Courier New" w:hAnsi="Courier New"/>
      <w:szCs w:val="20"/>
    </w:rPr>
  </w:style>
  <w:style w:type="paragraph" w:styleId="23">
    <w:name w:val="toc 8"/>
    <w:basedOn w:val="1"/>
    <w:next w:val="1"/>
    <w:qFormat/>
    <w:uiPriority w:val="0"/>
    <w:pPr>
      <w:ind w:left="1470"/>
      <w:jc w:val="left"/>
    </w:pPr>
    <w:rPr>
      <w:sz w:val="18"/>
      <w:szCs w:val="18"/>
    </w:rPr>
  </w:style>
  <w:style w:type="paragraph" w:styleId="24">
    <w:name w:val="Date"/>
    <w:basedOn w:val="1"/>
    <w:next w:val="1"/>
    <w:link w:val="75"/>
    <w:qFormat/>
    <w:uiPriority w:val="0"/>
    <w:rPr>
      <w:rFonts w:ascii="仿宋_GB2312" w:eastAsia="仿宋_GB2312"/>
      <w:sz w:val="30"/>
    </w:rPr>
  </w:style>
  <w:style w:type="paragraph" w:styleId="25">
    <w:name w:val="Body Text Indent 2"/>
    <w:basedOn w:val="1"/>
    <w:qFormat/>
    <w:uiPriority w:val="0"/>
    <w:pPr>
      <w:spacing w:line="360" w:lineRule="exact"/>
      <w:ind w:firstLine="600" w:firstLineChars="250"/>
      <w:jc w:val="left"/>
    </w:pPr>
    <w:rPr>
      <w:sz w:val="24"/>
    </w:rPr>
  </w:style>
  <w:style w:type="paragraph" w:styleId="26">
    <w:name w:val="Balloon Text"/>
    <w:basedOn w:val="1"/>
    <w:link w:val="76"/>
    <w:qFormat/>
    <w:uiPriority w:val="0"/>
    <w:rPr>
      <w:sz w:val="18"/>
      <w:szCs w:val="18"/>
    </w:rPr>
  </w:style>
  <w:style w:type="paragraph" w:styleId="27">
    <w:name w:val="footer"/>
    <w:basedOn w:val="1"/>
    <w:link w:val="77"/>
    <w:qFormat/>
    <w:uiPriority w:val="0"/>
    <w:pPr>
      <w:tabs>
        <w:tab w:val="center" w:pos="4153"/>
        <w:tab w:val="right" w:pos="8306"/>
      </w:tabs>
      <w:snapToGrid w:val="0"/>
      <w:jc w:val="left"/>
    </w:pPr>
    <w:rPr>
      <w:sz w:val="18"/>
      <w:szCs w:val="18"/>
    </w:rPr>
  </w:style>
  <w:style w:type="paragraph" w:styleId="28">
    <w:name w:val="header"/>
    <w:basedOn w:val="1"/>
    <w:link w:val="78"/>
    <w:qFormat/>
    <w:uiPriority w:val="0"/>
    <w:pPr>
      <w:pBdr>
        <w:bottom w:val="single" w:color="auto" w:sz="6" w:space="1"/>
      </w:pBdr>
      <w:tabs>
        <w:tab w:val="center" w:pos="4153"/>
        <w:tab w:val="right" w:pos="8306"/>
      </w:tabs>
      <w:snapToGrid w:val="0"/>
      <w:jc w:val="center"/>
    </w:pPr>
    <w:rPr>
      <w:sz w:val="18"/>
      <w:szCs w:val="18"/>
    </w:rPr>
  </w:style>
  <w:style w:type="paragraph" w:styleId="29">
    <w:name w:val="toc 1"/>
    <w:basedOn w:val="1"/>
    <w:next w:val="1"/>
    <w:qFormat/>
    <w:uiPriority w:val="0"/>
    <w:pPr>
      <w:spacing w:before="120" w:after="120"/>
      <w:jc w:val="left"/>
    </w:pPr>
    <w:rPr>
      <w:b/>
      <w:bCs/>
      <w:caps/>
      <w:sz w:val="20"/>
      <w:szCs w:val="20"/>
    </w:rPr>
  </w:style>
  <w:style w:type="paragraph" w:styleId="30">
    <w:name w:val="toc 4"/>
    <w:basedOn w:val="1"/>
    <w:next w:val="1"/>
    <w:qFormat/>
    <w:uiPriority w:val="0"/>
    <w:pPr>
      <w:ind w:left="630"/>
      <w:jc w:val="left"/>
    </w:pPr>
    <w:rPr>
      <w:sz w:val="18"/>
      <w:szCs w:val="18"/>
    </w:rPr>
  </w:style>
  <w:style w:type="paragraph" w:styleId="31">
    <w:name w:val="List"/>
    <w:basedOn w:val="1"/>
    <w:qFormat/>
    <w:uiPriority w:val="0"/>
    <w:pPr>
      <w:ind w:left="420" w:hanging="420"/>
    </w:pPr>
    <w:rPr>
      <w:rFonts w:ascii="Arial" w:hAnsi="Arial" w:eastAsia="楷体_GB2312"/>
      <w:sz w:val="28"/>
      <w:szCs w:val="20"/>
    </w:rPr>
  </w:style>
  <w:style w:type="paragraph" w:styleId="32">
    <w:name w:val="footnote text"/>
    <w:basedOn w:val="1"/>
    <w:link w:val="79"/>
    <w:qFormat/>
    <w:uiPriority w:val="0"/>
    <w:rPr>
      <w:sz w:val="20"/>
      <w:szCs w:val="20"/>
    </w:rPr>
  </w:style>
  <w:style w:type="paragraph" w:styleId="33">
    <w:name w:val="toc 6"/>
    <w:basedOn w:val="1"/>
    <w:next w:val="1"/>
    <w:qFormat/>
    <w:uiPriority w:val="0"/>
    <w:pPr>
      <w:ind w:left="1050"/>
      <w:jc w:val="left"/>
    </w:pPr>
    <w:rPr>
      <w:sz w:val="18"/>
      <w:szCs w:val="18"/>
    </w:rPr>
  </w:style>
  <w:style w:type="paragraph" w:styleId="34">
    <w:name w:val="Body Text Indent 3"/>
    <w:basedOn w:val="1"/>
    <w:link w:val="80"/>
    <w:qFormat/>
    <w:uiPriority w:val="0"/>
    <w:pPr>
      <w:spacing w:after="120"/>
      <w:ind w:left="420" w:leftChars="200"/>
    </w:pPr>
    <w:rPr>
      <w:sz w:val="16"/>
      <w:szCs w:val="16"/>
    </w:rPr>
  </w:style>
  <w:style w:type="paragraph" w:styleId="35">
    <w:name w:val="table of figures"/>
    <w:basedOn w:val="1"/>
    <w:next w:val="1"/>
    <w:qFormat/>
    <w:uiPriority w:val="0"/>
    <w:pPr>
      <w:ind w:left="200" w:leftChars="200" w:hanging="200" w:hangingChars="200"/>
    </w:pPr>
  </w:style>
  <w:style w:type="paragraph" w:styleId="36">
    <w:name w:val="toc 2"/>
    <w:basedOn w:val="1"/>
    <w:next w:val="1"/>
    <w:qFormat/>
    <w:uiPriority w:val="0"/>
    <w:pPr>
      <w:ind w:left="210"/>
      <w:jc w:val="left"/>
    </w:pPr>
    <w:rPr>
      <w:smallCaps/>
      <w:sz w:val="20"/>
      <w:szCs w:val="20"/>
    </w:rPr>
  </w:style>
  <w:style w:type="paragraph" w:styleId="37">
    <w:name w:val="toc 9"/>
    <w:basedOn w:val="1"/>
    <w:next w:val="1"/>
    <w:qFormat/>
    <w:uiPriority w:val="0"/>
    <w:pPr>
      <w:ind w:left="1680"/>
      <w:jc w:val="left"/>
    </w:pPr>
    <w:rPr>
      <w:sz w:val="18"/>
      <w:szCs w:val="18"/>
    </w:rPr>
  </w:style>
  <w:style w:type="paragraph" w:styleId="38">
    <w:name w:val="Body Text 2"/>
    <w:basedOn w:val="1"/>
    <w:qFormat/>
    <w:uiPriority w:val="0"/>
    <w:pPr>
      <w:spacing w:line="440" w:lineRule="exact"/>
    </w:pPr>
    <w:rPr>
      <w:sz w:val="28"/>
    </w:rPr>
  </w:style>
  <w:style w:type="paragraph" w:styleId="39">
    <w:name w:val="HTML Preformatted"/>
    <w:basedOn w:val="1"/>
    <w:link w:val="8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Calibri"/>
      <w:kern w:val="0"/>
      <w:sz w:val="24"/>
    </w:rPr>
  </w:style>
  <w:style w:type="paragraph" w:styleId="40">
    <w:name w:val="Normal (Web)"/>
    <w:basedOn w:val="1"/>
    <w:qFormat/>
    <w:uiPriority w:val="0"/>
    <w:pPr>
      <w:widowControl/>
      <w:jc w:val="left"/>
    </w:pPr>
    <w:rPr>
      <w:rFonts w:ascii="宋体" w:hAnsi="宋体" w:cs="宋体"/>
      <w:kern w:val="0"/>
      <w:sz w:val="18"/>
      <w:szCs w:val="18"/>
    </w:rPr>
  </w:style>
  <w:style w:type="paragraph" w:styleId="41">
    <w:name w:val="Title"/>
    <w:basedOn w:val="1"/>
    <w:next w:val="1"/>
    <w:link w:val="82"/>
    <w:qFormat/>
    <w:uiPriority w:val="0"/>
    <w:pPr>
      <w:adjustRightInd w:val="0"/>
      <w:spacing w:before="240" w:after="60" w:line="420" w:lineRule="atLeast"/>
      <w:jc w:val="center"/>
      <w:textAlignment w:val="baseline"/>
      <w:outlineLvl w:val="0"/>
    </w:pPr>
    <w:rPr>
      <w:rFonts w:ascii="Arial" w:hAnsi="Arial"/>
      <w:b/>
      <w:kern w:val="0"/>
      <w:sz w:val="32"/>
      <w:szCs w:val="20"/>
    </w:rPr>
  </w:style>
  <w:style w:type="paragraph" w:styleId="42">
    <w:name w:val="annotation subject"/>
    <w:basedOn w:val="14"/>
    <w:next w:val="14"/>
    <w:link w:val="83"/>
    <w:qFormat/>
    <w:uiPriority w:val="0"/>
    <w:rPr>
      <w:b/>
      <w:bCs/>
    </w:rPr>
  </w:style>
  <w:style w:type="paragraph" w:styleId="43">
    <w:name w:val="Body Text First Indent 2"/>
    <w:basedOn w:val="17"/>
    <w:next w:val="1"/>
    <w:link w:val="84"/>
    <w:qFormat/>
    <w:uiPriority w:val="0"/>
    <w:pPr>
      <w:spacing w:after="120" w:line="240" w:lineRule="auto"/>
      <w:ind w:left="420" w:leftChars="200" w:firstLine="420" w:firstLineChars="200"/>
    </w:pPr>
    <w:rPr>
      <w:sz w:val="21"/>
    </w:rPr>
  </w:style>
  <w:style w:type="table" w:styleId="45">
    <w:name w:val="Table Grid"/>
    <w:basedOn w:val="4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7">
    <w:name w:val="Strong"/>
    <w:basedOn w:val="46"/>
    <w:qFormat/>
    <w:uiPriority w:val="0"/>
    <w:rPr>
      <w:b/>
    </w:rPr>
  </w:style>
  <w:style w:type="character" w:styleId="48">
    <w:name w:val="page number"/>
    <w:basedOn w:val="46"/>
    <w:qFormat/>
    <w:uiPriority w:val="0"/>
  </w:style>
  <w:style w:type="character" w:styleId="49">
    <w:name w:val="FollowedHyperlink"/>
    <w:basedOn w:val="46"/>
    <w:unhideWhenUsed/>
    <w:qFormat/>
    <w:uiPriority w:val="0"/>
    <w:rPr>
      <w:color w:val="800080"/>
      <w:u w:val="none"/>
    </w:rPr>
  </w:style>
  <w:style w:type="character" w:styleId="50">
    <w:name w:val="Emphasis"/>
    <w:qFormat/>
    <w:uiPriority w:val="0"/>
    <w:rPr>
      <w:color w:val="CC0033"/>
    </w:rPr>
  </w:style>
  <w:style w:type="character" w:styleId="51">
    <w:name w:val="HTML Definition"/>
    <w:qFormat/>
    <w:uiPriority w:val="0"/>
  </w:style>
  <w:style w:type="character" w:styleId="52">
    <w:name w:val="HTML Typewriter"/>
    <w:qFormat/>
    <w:uiPriority w:val="0"/>
    <w:rPr>
      <w:rFonts w:ascii="monospace" w:hAnsi="monospace" w:eastAsia="monospace" w:cs="monospace"/>
      <w:sz w:val="20"/>
      <w:lang w:bidi="ar-SA"/>
    </w:rPr>
  </w:style>
  <w:style w:type="character" w:styleId="53">
    <w:name w:val="HTML Acronym"/>
    <w:basedOn w:val="46"/>
    <w:qFormat/>
    <w:uiPriority w:val="0"/>
  </w:style>
  <w:style w:type="character" w:styleId="54">
    <w:name w:val="HTML Variable"/>
    <w:qFormat/>
    <w:uiPriority w:val="0"/>
  </w:style>
  <w:style w:type="character" w:styleId="55">
    <w:name w:val="Hyperlink"/>
    <w:basedOn w:val="46"/>
    <w:qFormat/>
    <w:uiPriority w:val="0"/>
    <w:rPr>
      <w:color w:val="333333"/>
      <w:u w:val="none"/>
    </w:rPr>
  </w:style>
  <w:style w:type="character" w:styleId="56">
    <w:name w:val="HTML Code"/>
    <w:qFormat/>
    <w:uiPriority w:val="0"/>
    <w:rPr>
      <w:rFonts w:ascii="monospace" w:hAnsi="monospace" w:eastAsia="monospace" w:cs="monospace"/>
      <w:sz w:val="20"/>
      <w:lang w:bidi="ar-SA"/>
    </w:rPr>
  </w:style>
  <w:style w:type="character" w:styleId="57">
    <w:name w:val="annotation reference"/>
    <w:qFormat/>
    <w:uiPriority w:val="0"/>
    <w:rPr>
      <w:sz w:val="21"/>
      <w:szCs w:val="21"/>
    </w:rPr>
  </w:style>
  <w:style w:type="character" w:styleId="58">
    <w:name w:val="HTML Cite"/>
    <w:qFormat/>
    <w:uiPriority w:val="0"/>
  </w:style>
  <w:style w:type="character" w:styleId="59">
    <w:name w:val="footnote reference"/>
    <w:qFormat/>
    <w:uiPriority w:val="0"/>
    <w:rPr>
      <w:vertAlign w:val="superscript"/>
    </w:rPr>
  </w:style>
  <w:style w:type="character" w:styleId="60">
    <w:name w:val="HTML Keyboard"/>
    <w:qFormat/>
    <w:uiPriority w:val="0"/>
    <w:rPr>
      <w:rFonts w:ascii="monospace" w:hAnsi="monospace" w:eastAsia="monospace" w:cs="monospace"/>
      <w:sz w:val="20"/>
      <w:lang w:bidi="ar-SA"/>
    </w:rPr>
  </w:style>
  <w:style w:type="character" w:styleId="61">
    <w:name w:val="HTML Sample"/>
    <w:qFormat/>
    <w:uiPriority w:val="0"/>
    <w:rPr>
      <w:rFonts w:ascii="monospace" w:hAnsi="monospace" w:eastAsia="monospace" w:cs="monospace"/>
      <w:lang w:bidi="ar-SA"/>
    </w:rPr>
  </w:style>
  <w:style w:type="character" w:customStyle="1" w:styleId="62">
    <w:name w:val="标题 1 字符"/>
    <w:link w:val="2"/>
    <w:qFormat/>
    <w:uiPriority w:val="0"/>
    <w:rPr>
      <w:rFonts w:ascii="Times New Roman" w:hAnsi="Times New Roman" w:eastAsia="宋体"/>
      <w:b/>
      <w:bCs/>
      <w:kern w:val="44"/>
      <w:sz w:val="24"/>
      <w:szCs w:val="44"/>
    </w:rPr>
  </w:style>
  <w:style w:type="character" w:customStyle="1" w:styleId="63">
    <w:name w:val="标题 4 字符"/>
    <w:basedOn w:val="46"/>
    <w:link w:val="5"/>
    <w:qFormat/>
    <w:uiPriority w:val="0"/>
    <w:rPr>
      <w:rFonts w:ascii="Arial" w:hAnsi="Arial" w:eastAsia="黑体"/>
      <w:b/>
      <w:bCs/>
      <w:kern w:val="2"/>
      <w:sz w:val="28"/>
      <w:szCs w:val="28"/>
    </w:rPr>
  </w:style>
  <w:style w:type="character" w:customStyle="1" w:styleId="64">
    <w:name w:val="标题 5 字符"/>
    <w:basedOn w:val="46"/>
    <w:link w:val="6"/>
    <w:qFormat/>
    <w:uiPriority w:val="0"/>
    <w:rPr>
      <w:rFonts w:ascii="Calibri" w:hAnsi="Calibri"/>
      <w:b/>
      <w:bCs/>
      <w:kern w:val="2"/>
      <w:sz w:val="28"/>
      <w:szCs w:val="28"/>
    </w:rPr>
  </w:style>
  <w:style w:type="character" w:customStyle="1" w:styleId="65">
    <w:name w:val="标题 6 字符"/>
    <w:basedOn w:val="46"/>
    <w:link w:val="7"/>
    <w:qFormat/>
    <w:uiPriority w:val="0"/>
    <w:rPr>
      <w:rFonts w:ascii="Arial" w:hAnsi="Arial" w:eastAsia="黑体"/>
      <w:b/>
      <w:bCs/>
      <w:sz w:val="24"/>
      <w:szCs w:val="24"/>
    </w:rPr>
  </w:style>
  <w:style w:type="character" w:customStyle="1" w:styleId="66">
    <w:name w:val="标题 7 字符"/>
    <w:basedOn w:val="46"/>
    <w:link w:val="8"/>
    <w:qFormat/>
    <w:uiPriority w:val="0"/>
    <w:rPr>
      <w:b/>
      <w:bCs/>
      <w:sz w:val="24"/>
      <w:szCs w:val="24"/>
    </w:rPr>
  </w:style>
  <w:style w:type="character" w:customStyle="1" w:styleId="67">
    <w:name w:val="标题 8 字符"/>
    <w:basedOn w:val="46"/>
    <w:link w:val="9"/>
    <w:qFormat/>
    <w:uiPriority w:val="0"/>
    <w:rPr>
      <w:rFonts w:ascii="Arial" w:hAnsi="Arial" w:eastAsia="黑体"/>
      <w:sz w:val="24"/>
      <w:szCs w:val="24"/>
    </w:rPr>
  </w:style>
  <w:style w:type="character" w:customStyle="1" w:styleId="68">
    <w:name w:val="标题 9 字符"/>
    <w:basedOn w:val="46"/>
    <w:link w:val="10"/>
    <w:qFormat/>
    <w:uiPriority w:val="0"/>
    <w:rPr>
      <w:rFonts w:ascii="Arial" w:hAnsi="Arial" w:eastAsia="黑体"/>
      <w:sz w:val="21"/>
      <w:szCs w:val="21"/>
    </w:rPr>
  </w:style>
  <w:style w:type="character" w:customStyle="1" w:styleId="69">
    <w:name w:val="文档结构图 字符"/>
    <w:basedOn w:val="46"/>
    <w:link w:val="13"/>
    <w:qFormat/>
    <w:uiPriority w:val="0"/>
    <w:rPr>
      <w:kern w:val="2"/>
      <w:sz w:val="21"/>
      <w:szCs w:val="24"/>
      <w:shd w:val="clear" w:color="auto" w:fill="000080"/>
    </w:rPr>
  </w:style>
  <w:style w:type="character" w:customStyle="1" w:styleId="70">
    <w:name w:val="批注文字 字符"/>
    <w:basedOn w:val="46"/>
    <w:link w:val="14"/>
    <w:qFormat/>
    <w:uiPriority w:val="0"/>
    <w:rPr>
      <w:kern w:val="2"/>
      <w:sz w:val="21"/>
      <w:szCs w:val="24"/>
    </w:rPr>
  </w:style>
  <w:style w:type="character" w:customStyle="1" w:styleId="71">
    <w:name w:val="正文文本 3 字符"/>
    <w:basedOn w:val="46"/>
    <w:link w:val="15"/>
    <w:qFormat/>
    <w:uiPriority w:val="0"/>
    <w:rPr>
      <w:rFonts w:ascii="宋体"/>
      <w:kern w:val="2"/>
      <w:sz w:val="24"/>
    </w:rPr>
  </w:style>
  <w:style w:type="character" w:customStyle="1" w:styleId="72">
    <w:name w:val="正文文本 字符"/>
    <w:basedOn w:val="46"/>
    <w:link w:val="16"/>
    <w:qFormat/>
    <w:uiPriority w:val="0"/>
    <w:rPr>
      <w:b/>
      <w:bCs/>
      <w:kern w:val="2"/>
      <w:sz w:val="44"/>
    </w:rPr>
  </w:style>
  <w:style w:type="character" w:customStyle="1" w:styleId="73">
    <w:name w:val="正文文本缩进 字符"/>
    <w:basedOn w:val="46"/>
    <w:link w:val="17"/>
    <w:qFormat/>
    <w:uiPriority w:val="0"/>
    <w:rPr>
      <w:kern w:val="2"/>
      <w:sz w:val="28"/>
      <w:szCs w:val="24"/>
    </w:rPr>
  </w:style>
  <w:style w:type="character" w:customStyle="1" w:styleId="74">
    <w:name w:val="纯文本 字符"/>
    <w:basedOn w:val="46"/>
    <w:link w:val="22"/>
    <w:qFormat/>
    <w:uiPriority w:val="0"/>
    <w:rPr>
      <w:rFonts w:ascii="Courier New" w:hAnsi="Courier New"/>
      <w:kern w:val="2"/>
      <w:sz w:val="21"/>
    </w:rPr>
  </w:style>
  <w:style w:type="character" w:customStyle="1" w:styleId="75">
    <w:name w:val="日期 字符"/>
    <w:basedOn w:val="46"/>
    <w:link w:val="24"/>
    <w:qFormat/>
    <w:uiPriority w:val="0"/>
    <w:rPr>
      <w:rFonts w:ascii="仿宋_GB2312" w:eastAsia="仿宋_GB2312"/>
      <w:kern w:val="2"/>
      <w:sz w:val="30"/>
      <w:lang w:val="en-US" w:eastAsia="zh-CN" w:bidi="ar-SA"/>
    </w:rPr>
  </w:style>
  <w:style w:type="character" w:customStyle="1" w:styleId="76">
    <w:name w:val="批注框文本 字符"/>
    <w:basedOn w:val="46"/>
    <w:link w:val="26"/>
    <w:qFormat/>
    <w:uiPriority w:val="0"/>
    <w:rPr>
      <w:kern w:val="2"/>
      <w:sz w:val="18"/>
      <w:szCs w:val="18"/>
    </w:rPr>
  </w:style>
  <w:style w:type="character" w:customStyle="1" w:styleId="77">
    <w:name w:val="页脚 字符"/>
    <w:basedOn w:val="46"/>
    <w:link w:val="27"/>
    <w:qFormat/>
    <w:uiPriority w:val="0"/>
    <w:rPr>
      <w:kern w:val="2"/>
      <w:sz w:val="18"/>
      <w:szCs w:val="18"/>
    </w:rPr>
  </w:style>
  <w:style w:type="character" w:customStyle="1" w:styleId="78">
    <w:name w:val="页眉 字符"/>
    <w:basedOn w:val="46"/>
    <w:link w:val="28"/>
    <w:qFormat/>
    <w:uiPriority w:val="0"/>
    <w:rPr>
      <w:kern w:val="2"/>
      <w:sz w:val="18"/>
      <w:szCs w:val="18"/>
    </w:rPr>
  </w:style>
  <w:style w:type="character" w:customStyle="1" w:styleId="79">
    <w:name w:val="脚注文本 字符"/>
    <w:basedOn w:val="46"/>
    <w:link w:val="32"/>
    <w:qFormat/>
    <w:uiPriority w:val="0"/>
    <w:rPr>
      <w:kern w:val="2"/>
    </w:rPr>
  </w:style>
  <w:style w:type="character" w:customStyle="1" w:styleId="80">
    <w:name w:val="正文文本缩进 3 字符"/>
    <w:basedOn w:val="46"/>
    <w:link w:val="34"/>
    <w:qFormat/>
    <w:uiPriority w:val="0"/>
    <w:rPr>
      <w:kern w:val="2"/>
      <w:sz w:val="16"/>
      <w:szCs w:val="16"/>
    </w:rPr>
  </w:style>
  <w:style w:type="character" w:customStyle="1" w:styleId="81">
    <w:name w:val="HTML 预设格式 字符"/>
    <w:basedOn w:val="46"/>
    <w:link w:val="39"/>
    <w:qFormat/>
    <w:uiPriority w:val="0"/>
    <w:rPr>
      <w:rFonts w:ascii="宋体" w:hAnsi="Calibri"/>
      <w:sz w:val="24"/>
      <w:szCs w:val="24"/>
    </w:rPr>
  </w:style>
  <w:style w:type="character" w:customStyle="1" w:styleId="82">
    <w:name w:val="标题 字符"/>
    <w:basedOn w:val="46"/>
    <w:link w:val="41"/>
    <w:qFormat/>
    <w:uiPriority w:val="0"/>
    <w:rPr>
      <w:rFonts w:ascii="Arial" w:hAnsi="Arial"/>
      <w:b/>
      <w:sz w:val="32"/>
    </w:rPr>
  </w:style>
  <w:style w:type="character" w:customStyle="1" w:styleId="83">
    <w:name w:val="批注主题 字符"/>
    <w:basedOn w:val="70"/>
    <w:link w:val="42"/>
    <w:qFormat/>
    <w:uiPriority w:val="0"/>
    <w:rPr>
      <w:kern w:val="2"/>
      <w:sz w:val="21"/>
      <w:szCs w:val="24"/>
    </w:rPr>
  </w:style>
  <w:style w:type="character" w:customStyle="1" w:styleId="84">
    <w:name w:val="正文文本首行缩进 2 字符"/>
    <w:basedOn w:val="73"/>
    <w:link w:val="43"/>
    <w:qFormat/>
    <w:uiPriority w:val="0"/>
    <w:rPr>
      <w:kern w:val="2"/>
      <w:sz w:val="28"/>
      <w:szCs w:val="24"/>
    </w:rPr>
  </w:style>
  <w:style w:type="paragraph" w:customStyle="1" w:styleId="85">
    <w:name w:val="正文文字 8"/>
    <w:basedOn w:val="1"/>
    <w:next w:val="1"/>
    <w:qFormat/>
    <w:uiPriority w:val="0"/>
    <w:pPr>
      <w:ind w:left="240"/>
    </w:pPr>
    <w:rPr>
      <w:sz w:val="16"/>
    </w:rPr>
  </w:style>
  <w:style w:type="paragraph" w:customStyle="1" w:styleId="86">
    <w:name w:val="Char1 Char Char Char"/>
    <w:basedOn w:val="1"/>
    <w:qFormat/>
    <w:uiPriority w:val="0"/>
    <w:pPr>
      <w:widowControl/>
      <w:spacing w:after="160" w:line="240" w:lineRule="exact"/>
      <w:jc w:val="left"/>
    </w:pPr>
    <w:rPr>
      <w:rFonts w:ascii="Verdana" w:hAnsi="Verdana"/>
      <w:kern w:val="0"/>
      <w:sz w:val="30"/>
      <w:szCs w:val="30"/>
      <w:lang w:eastAsia="en-US"/>
    </w:rPr>
  </w:style>
  <w:style w:type="character" w:customStyle="1" w:styleId="87">
    <w:name w:val="bsharetext"/>
    <w:basedOn w:val="46"/>
    <w:qFormat/>
    <w:uiPriority w:val="0"/>
  </w:style>
  <w:style w:type="character" w:customStyle="1" w:styleId="88">
    <w:name w:val="starting1"/>
    <w:qFormat/>
    <w:uiPriority w:val="0"/>
    <w:rPr>
      <w:color w:val="339900"/>
    </w:rPr>
  </w:style>
  <w:style w:type="character" w:customStyle="1" w:styleId="89">
    <w:name w:val="job1"/>
    <w:basedOn w:val="46"/>
    <w:qFormat/>
    <w:uiPriority w:val="0"/>
  </w:style>
  <w:style w:type="character" w:customStyle="1" w:styleId="90">
    <w:name w:val="tit14"/>
    <w:qFormat/>
    <w:uiPriority w:val="0"/>
    <w:rPr>
      <w:color w:val="B60000"/>
    </w:rPr>
  </w:style>
  <w:style w:type="character" w:customStyle="1" w:styleId="91">
    <w:name w:val="c3"/>
    <w:basedOn w:val="46"/>
    <w:qFormat/>
    <w:uiPriority w:val="0"/>
  </w:style>
  <w:style w:type="character" w:customStyle="1" w:styleId="92">
    <w:name w:val="Char Char"/>
    <w:qFormat/>
    <w:uiPriority w:val="0"/>
    <w:rPr>
      <w:rFonts w:ascii="Arial" w:hAnsi="Arial" w:eastAsia="黑体"/>
      <w:b/>
      <w:bCs/>
      <w:kern w:val="2"/>
      <w:sz w:val="32"/>
      <w:szCs w:val="32"/>
      <w:lang w:val="en-US" w:eastAsia="zh-CN" w:bidi="ar-SA"/>
    </w:rPr>
  </w:style>
  <w:style w:type="character" w:customStyle="1" w:styleId="93">
    <w:name w:val="l7"/>
    <w:qFormat/>
    <w:uiPriority w:val="0"/>
    <w:rPr>
      <w:color w:val="999999"/>
    </w:rPr>
  </w:style>
  <w:style w:type="character" w:customStyle="1" w:styleId="94">
    <w:name w:val="msg-box29"/>
    <w:basedOn w:val="46"/>
    <w:qFormat/>
    <w:uiPriority w:val="0"/>
  </w:style>
  <w:style w:type="character" w:customStyle="1" w:styleId="95">
    <w:name w:val="l41"/>
    <w:qFormat/>
    <w:uiPriority w:val="0"/>
    <w:rPr>
      <w:color w:val="999999"/>
    </w:rPr>
  </w:style>
  <w:style w:type="character" w:customStyle="1" w:styleId="96">
    <w:name w:val="font161"/>
    <w:qFormat/>
    <w:uiPriority w:val="0"/>
    <w:rPr>
      <w:b/>
      <w:bCs/>
      <w:sz w:val="32"/>
      <w:szCs w:val="32"/>
    </w:rPr>
  </w:style>
  <w:style w:type="character" w:customStyle="1" w:styleId="97">
    <w:name w:val="Char Char8"/>
    <w:qFormat/>
    <w:uiPriority w:val="0"/>
    <w:rPr>
      <w:rFonts w:ascii="Arial" w:hAnsi="Arial" w:eastAsia="黑体"/>
      <w:b/>
      <w:bCs/>
      <w:kern w:val="2"/>
      <w:sz w:val="32"/>
      <w:szCs w:val="32"/>
      <w:lang w:val="en-US" w:eastAsia="zh-CN" w:bidi="ar-SA"/>
    </w:rPr>
  </w:style>
  <w:style w:type="character" w:customStyle="1" w:styleId="98">
    <w:name w:val="starting3"/>
    <w:basedOn w:val="46"/>
    <w:qFormat/>
    <w:uiPriority w:val="0"/>
  </w:style>
  <w:style w:type="character" w:customStyle="1" w:styleId="99">
    <w:name w:val="num41"/>
    <w:basedOn w:val="46"/>
    <w:qFormat/>
    <w:uiPriority w:val="0"/>
  </w:style>
  <w:style w:type="character" w:customStyle="1" w:styleId="100">
    <w:name w:val="l21"/>
    <w:qFormat/>
    <w:uiPriority w:val="0"/>
    <w:rPr>
      <w:color w:val="999999"/>
    </w:rPr>
  </w:style>
  <w:style w:type="character" w:customStyle="1" w:styleId="101">
    <w:name w:val="num31"/>
    <w:basedOn w:val="46"/>
    <w:qFormat/>
    <w:uiPriority w:val="0"/>
  </w:style>
  <w:style w:type="character" w:customStyle="1" w:styleId="102">
    <w:name w:val="num81"/>
    <w:basedOn w:val="46"/>
    <w:qFormat/>
    <w:uiPriority w:val="0"/>
  </w:style>
  <w:style w:type="character" w:customStyle="1" w:styleId="103">
    <w:name w:val="Char Char81"/>
    <w:qFormat/>
    <w:uiPriority w:val="0"/>
    <w:rPr>
      <w:rFonts w:ascii="Arial" w:hAnsi="Arial" w:eastAsia="黑体"/>
      <w:b/>
      <w:bCs/>
      <w:kern w:val="2"/>
      <w:sz w:val="32"/>
      <w:szCs w:val="32"/>
      <w:lang w:val="en-US" w:eastAsia="zh-CN" w:bidi="ar-SA"/>
    </w:rPr>
  </w:style>
  <w:style w:type="character" w:customStyle="1" w:styleId="104">
    <w:name w:val="标题 2 Char1"/>
    <w:qFormat/>
    <w:uiPriority w:val="0"/>
    <w:rPr>
      <w:rFonts w:ascii="Arial" w:hAnsi="Arial" w:eastAsia="黑体"/>
      <w:b/>
      <w:bCs/>
      <w:kern w:val="2"/>
      <w:sz w:val="32"/>
      <w:szCs w:val="32"/>
      <w:lang w:val="en-US" w:eastAsia="zh-CN" w:bidi="ar-SA"/>
    </w:rPr>
  </w:style>
  <w:style w:type="character" w:customStyle="1" w:styleId="105">
    <w:name w:val="bigfont"/>
    <w:basedOn w:val="46"/>
    <w:qFormat/>
    <w:uiPriority w:val="0"/>
  </w:style>
  <w:style w:type="character" w:customStyle="1" w:styleId="106">
    <w:name w:val="buvis1"/>
    <w:qFormat/>
    <w:uiPriority w:val="0"/>
    <w:rPr>
      <w:color w:val="CC0000"/>
    </w:rPr>
  </w:style>
  <w:style w:type="character" w:customStyle="1" w:styleId="107">
    <w:name w:val="over1"/>
    <w:qFormat/>
    <w:uiPriority w:val="0"/>
    <w:rPr>
      <w:color w:val="B60000"/>
    </w:rPr>
  </w:style>
  <w:style w:type="character" w:customStyle="1" w:styleId="108">
    <w:name w:val="Char Char2"/>
    <w:qFormat/>
    <w:uiPriority w:val="0"/>
    <w:rPr>
      <w:rFonts w:eastAsia="宋体"/>
      <w:kern w:val="2"/>
      <w:sz w:val="21"/>
      <w:szCs w:val="24"/>
      <w:lang w:val="en-US" w:eastAsia="zh-CN" w:bidi="ar-SA"/>
    </w:rPr>
  </w:style>
  <w:style w:type="character" w:customStyle="1" w:styleId="109">
    <w:name w:val="tit11"/>
    <w:qFormat/>
    <w:uiPriority w:val="0"/>
    <w:rPr>
      <w:color w:val="B60000"/>
    </w:rPr>
  </w:style>
  <w:style w:type="character" w:customStyle="1" w:styleId="110">
    <w:name w:val="img_title8"/>
    <w:qFormat/>
    <w:uiPriority w:val="0"/>
    <w:rPr>
      <w:vanish/>
    </w:rPr>
  </w:style>
  <w:style w:type="character" w:customStyle="1" w:styleId="111">
    <w:name w:val="标题 2 Char Char"/>
    <w:qFormat/>
    <w:locked/>
    <w:uiPriority w:val="0"/>
    <w:rPr>
      <w:rFonts w:ascii="Arial" w:hAnsi="Arial" w:eastAsia="黑体"/>
      <w:b/>
      <w:bCs/>
      <w:kern w:val="2"/>
      <w:sz w:val="32"/>
      <w:szCs w:val="32"/>
      <w:lang w:val="en-US" w:eastAsia="zh-CN" w:bidi="ar-SA"/>
    </w:rPr>
  </w:style>
  <w:style w:type="character" w:customStyle="1" w:styleId="112">
    <w:name w:val="p05"/>
    <w:basedOn w:val="46"/>
    <w:qFormat/>
    <w:uiPriority w:val="0"/>
  </w:style>
  <w:style w:type="character" w:customStyle="1" w:styleId="113">
    <w:name w:val="img_title7"/>
    <w:qFormat/>
    <w:uiPriority w:val="0"/>
    <w:rPr>
      <w:vanish/>
    </w:rPr>
  </w:style>
  <w:style w:type="character" w:customStyle="1" w:styleId="114">
    <w:name w:val="first-child"/>
    <w:basedOn w:val="46"/>
    <w:qFormat/>
    <w:uiPriority w:val="0"/>
  </w:style>
  <w:style w:type="character" w:customStyle="1" w:styleId="115">
    <w:name w:val="tit15"/>
    <w:qFormat/>
    <w:uiPriority w:val="0"/>
    <w:rPr>
      <w:b/>
      <w:color w:val="B60000"/>
    </w:rPr>
  </w:style>
  <w:style w:type="character" w:customStyle="1" w:styleId="116">
    <w:name w:val="starting"/>
    <w:qFormat/>
    <w:uiPriority w:val="0"/>
    <w:rPr>
      <w:color w:val="339900"/>
    </w:rPr>
  </w:style>
  <w:style w:type="character" w:customStyle="1" w:styleId="117">
    <w:name w:val="zw"/>
    <w:qFormat/>
    <w:uiPriority w:val="0"/>
    <w:rPr>
      <w:color w:val="BD1E22"/>
      <w:sz w:val="22"/>
      <w:szCs w:val="22"/>
    </w:rPr>
  </w:style>
  <w:style w:type="character" w:customStyle="1" w:styleId="118">
    <w:name w:val="txt"/>
    <w:qFormat/>
    <w:uiPriority w:val="0"/>
    <w:rPr>
      <w:color w:val="C0C0C0"/>
    </w:rPr>
  </w:style>
  <w:style w:type="character" w:customStyle="1" w:styleId="119">
    <w:name w:val="red"/>
    <w:qFormat/>
    <w:uiPriority w:val="0"/>
    <w:rPr>
      <w:rFonts w:ascii="Arial" w:hAnsi="Arial" w:cs="Arial"/>
      <w:color w:val="E50000"/>
      <w:lang w:bidi="ar-SA"/>
    </w:rPr>
  </w:style>
  <w:style w:type="character" w:customStyle="1" w:styleId="120">
    <w:name w:val="msg-box31"/>
    <w:basedOn w:val="46"/>
    <w:qFormat/>
    <w:uiPriority w:val="0"/>
  </w:style>
  <w:style w:type="character" w:customStyle="1" w:styleId="121">
    <w:name w:val="img_title6"/>
    <w:qFormat/>
    <w:uiPriority w:val="0"/>
    <w:rPr>
      <w:vanish/>
    </w:rPr>
  </w:style>
  <w:style w:type="character" w:customStyle="1" w:styleId="122">
    <w:name w:val="starting2"/>
    <w:qFormat/>
    <w:uiPriority w:val="0"/>
    <w:rPr>
      <w:color w:val="B60000"/>
    </w:rPr>
  </w:style>
  <w:style w:type="character" w:customStyle="1" w:styleId="123">
    <w:name w:val="msg-box30"/>
    <w:basedOn w:val="46"/>
    <w:qFormat/>
    <w:uiPriority w:val="0"/>
  </w:style>
  <w:style w:type="character" w:customStyle="1" w:styleId="124">
    <w:name w:val="tit12"/>
    <w:qFormat/>
    <w:uiPriority w:val="0"/>
    <w:rPr>
      <w:color w:val="04A06C"/>
    </w:rPr>
  </w:style>
  <w:style w:type="character" w:customStyle="1" w:styleId="125">
    <w:name w:val="mesg-myd"/>
    <w:qFormat/>
    <w:uiPriority w:val="0"/>
    <w:rPr>
      <w:color w:val="EE0000"/>
    </w:rPr>
  </w:style>
  <w:style w:type="character" w:customStyle="1" w:styleId="126">
    <w:name w:val="l11"/>
    <w:qFormat/>
    <w:uiPriority w:val="0"/>
    <w:rPr>
      <w:color w:val="999999"/>
    </w:rPr>
  </w:style>
  <w:style w:type="character" w:customStyle="1" w:styleId="127">
    <w:name w:val="num61"/>
    <w:basedOn w:val="46"/>
    <w:qFormat/>
    <w:uiPriority w:val="0"/>
  </w:style>
  <w:style w:type="character" w:customStyle="1" w:styleId="128">
    <w:name w:val="name1"/>
    <w:qFormat/>
    <w:uiPriority w:val="0"/>
    <w:rPr>
      <w:color w:val="695435"/>
      <w:sz w:val="24"/>
      <w:szCs w:val="24"/>
    </w:rPr>
  </w:style>
  <w:style w:type="character" w:customStyle="1" w:styleId="129">
    <w:name w:val="name2"/>
    <w:qFormat/>
    <w:uiPriority w:val="0"/>
    <w:rPr>
      <w:color w:val="000000"/>
      <w:sz w:val="39"/>
      <w:szCs w:val="39"/>
    </w:rPr>
  </w:style>
  <w:style w:type="character" w:customStyle="1" w:styleId="130">
    <w:name w:val="textcontents"/>
    <w:basedOn w:val="46"/>
    <w:qFormat/>
    <w:uiPriority w:val="0"/>
  </w:style>
  <w:style w:type="character" w:customStyle="1" w:styleId="131">
    <w:name w:val="unit"/>
    <w:qFormat/>
    <w:uiPriority w:val="0"/>
    <w:rPr>
      <w:color w:val="999999"/>
    </w:rPr>
  </w:style>
  <w:style w:type="character" w:customStyle="1" w:styleId="132">
    <w:name w:val="c1"/>
    <w:basedOn w:val="46"/>
    <w:qFormat/>
    <w:uiPriority w:val="0"/>
  </w:style>
  <w:style w:type="character" w:customStyle="1" w:styleId="133">
    <w:name w:val="tit10"/>
    <w:qFormat/>
    <w:uiPriority w:val="0"/>
    <w:rPr>
      <w:color w:val="B60000"/>
    </w:rPr>
  </w:style>
  <w:style w:type="character" w:customStyle="1" w:styleId="134">
    <w:name w:val="font01"/>
    <w:basedOn w:val="46"/>
    <w:qFormat/>
    <w:uiPriority w:val="0"/>
    <w:rPr>
      <w:rFonts w:hint="eastAsia" w:ascii="仿宋_GB2312" w:eastAsia="仿宋_GB2312" w:cs="仿宋_GB2312"/>
      <w:color w:val="000000"/>
      <w:sz w:val="28"/>
      <w:szCs w:val="28"/>
      <w:u w:val="none"/>
    </w:rPr>
  </w:style>
  <w:style w:type="character" w:customStyle="1" w:styleId="135">
    <w:name w:val="img4"/>
    <w:basedOn w:val="46"/>
    <w:qFormat/>
    <w:uiPriority w:val="0"/>
  </w:style>
  <w:style w:type="character" w:customStyle="1" w:styleId="136">
    <w:name w:val="txt1"/>
    <w:basedOn w:val="46"/>
    <w:qFormat/>
    <w:uiPriority w:val="0"/>
  </w:style>
  <w:style w:type="character" w:customStyle="1" w:styleId="137">
    <w:name w:val="l6"/>
    <w:qFormat/>
    <w:uiPriority w:val="0"/>
    <w:rPr>
      <w:color w:val="999999"/>
    </w:rPr>
  </w:style>
  <w:style w:type="character" w:customStyle="1" w:styleId="138">
    <w:name w:val="jg"/>
    <w:basedOn w:val="46"/>
    <w:qFormat/>
    <w:uiPriority w:val="0"/>
  </w:style>
  <w:style w:type="character" w:customStyle="1" w:styleId="139">
    <w:name w:val="Char Char3"/>
    <w:qFormat/>
    <w:uiPriority w:val="0"/>
    <w:rPr>
      <w:rFonts w:ascii="Arial" w:hAnsi="Arial" w:eastAsia="黑体"/>
      <w:b/>
      <w:bCs/>
      <w:kern w:val="2"/>
      <w:sz w:val="32"/>
      <w:szCs w:val="32"/>
      <w:lang w:val="en-US" w:eastAsia="zh-CN" w:bidi="ar-SA"/>
    </w:rPr>
  </w:style>
  <w:style w:type="character" w:customStyle="1" w:styleId="140">
    <w:name w:val="Char Char21"/>
    <w:qFormat/>
    <w:uiPriority w:val="0"/>
    <w:rPr>
      <w:rFonts w:eastAsia="宋体"/>
      <w:kern w:val="2"/>
      <w:sz w:val="21"/>
      <w:szCs w:val="24"/>
      <w:lang w:val="en-US" w:eastAsia="zh-CN" w:bidi="ar-SA"/>
    </w:rPr>
  </w:style>
  <w:style w:type="character" w:customStyle="1" w:styleId="141">
    <w:name w:val="over2"/>
    <w:qFormat/>
    <w:uiPriority w:val="0"/>
    <w:rPr>
      <w:color w:val="999999"/>
    </w:rPr>
  </w:style>
  <w:style w:type="character" w:customStyle="1" w:styleId="142">
    <w:name w:val="num71"/>
    <w:basedOn w:val="46"/>
    <w:qFormat/>
    <w:uiPriority w:val="0"/>
  </w:style>
  <w:style w:type="character" w:customStyle="1" w:styleId="143">
    <w:name w:val="Char Char7"/>
    <w:qFormat/>
    <w:uiPriority w:val="0"/>
    <w:rPr>
      <w:rFonts w:ascii="Arial" w:hAnsi="Arial" w:eastAsia="黑体"/>
      <w:b/>
      <w:bCs/>
      <w:kern w:val="2"/>
      <w:sz w:val="32"/>
      <w:szCs w:val="32"/>
      <w:lang w:val="en-US" w:eastAsia="zh-CN" w:bidi="ar-SA"/>
    </w:rPr>
  </w:style>
  <w:style w:type="character" w:customStyle="1" w:styleId="144">
    <w:name w:val="标题 1 Char Char"/>
    <w:qFormat/>
    <w:locked/>
    <w:uiPriority w:val="0"/>
    <w:rPr>
      <w:rFonts w:eastAsia="宋体"/>
      <w:b/>
      <w:bCs/>
      <w:kern w:val="44"/>
      <w:sz w:val="44"/>
      <w:szCs w:val="44"/>
      <w:lang w:val="en-US" w:eastAsia="zh-CN" w:bidi="ar-SA"/>
    </w:rPr>
  </w:style>
  <w:style w:type="character" w:customStyle="1" w:styleId="145">
    <w:name w:val="num210"/>
    <w:basedOn w:val="46"/>
    <w:qFormat/>
    <w:uiPriority w:val="0"/>
  </w:style>
  <w:style w:type="character" w:customStyle="1" w:styleId="146">
    <w:name w:val="font31"/>
    <w:basedOn w:val="46"/>
    <w:qFormat/>
    <w:uiPriority w:val="0"/>
    <w:rPr>
      <w:rFonts w:hint="eastAsia" w:ascii="仿宋_GB2312" w:eastAsia="仿宋_GB2312" w:cs="仿宋_GB2312"/>
      <w:color w:val="000000"/>
      <w:sz w:val="28"/>
      <w:szCs w:val="28"/>
      <w:u w:val="single"/>
    </w:rPr>
  </w:style>
  <w:style w:type="character" w:customStyle="1" w:styleId="147">
    <w:name w:val="over"/>
    <w:qFormat/>
    <w:uiPriority w:val="0"/>
    <w:rPr>
      <w:color w:val="B60000"/>
    </w:rPr>
  </w:style>
  <w:style w:type="character" w:customStyle="1" w:styleId="148">
    <w:name w:val="zs"/>
    <w:qFormat/>
    <w:uiPriority w:val="0"/>
    <w:rPr>
      <w:color w:val="8D744B"/>
      <w:sz w:val="18"/>
      <w:szCs w:val="18"/>
    </w:rPr>
  </w:style>
  <w:style w:type="character" w:customStyle="1" w:styleId="149">
    <w:name w:val="z-窗体顶端 Char"/>
    <w:basedOn w:val="46"/>
    <w:link w:val="150"/>
    <w:qFormat/>
    <w:uiPriority w:val="0"/>
    <w:rPr>
      <w:rFonts w:ascii="Arial" w:hAnsi="Calibri"/>
      <w:vanish/>
      <w:kern w:val="2"/>
      <w:sz w:val="16"/>
      <w:szCs w:val="24"/>
    </w:rPr>
  </w:style>
  <w:style w:type="paragraph" w:customStyle="1" w:styleId="150">
    <w:name w:val="_Style 149"/>
    <w:basedOn w:val="1"/>
    <w:next w:val="1"/>
    <w:link w:val="149"/>
    <w:qFormat/>
    <w:uiPriority w:val="0"/>
    <w:pPr>
      <w:pBdr>
        <w:bottom w:val="single" w:color="auto" w:sz="6" w:space="1"/>
      </w:pBdr>
      <w:jc w:val="center"/>
    </w:pPr>
    <w:rPr>
      <w:rFonts w:ascii="Arial" w:hAnsi="Calibri"/>
      <w:vanish/>
      <w:sz w:val="16"/>
    </w:rPr>
  </w:style>
  <w:style w:type="character" w:customStyle="1" w:styleId="151">
    <w:name w:val="nostart"/>
    <w:qFormat/>
    <w:uiPriority w:val="0"/>
    <w:rPr>
      <w:color w:val="FF0000"/>
    </w:rPr>
  </w:style>
  <w:style w:type="character" w:customStyle="1" w:styleId="152">
    <w:name w:val="Char Char4"/>
    <w:qFormat/>
    <w:uiPriority w:val="0"/>
    <w:rPr>
      <w:rFonts w:eastAsia="宋体"/>
      <w:b/>
      <w:bCs/>
      <w:kern w:val="44"/>
      <w:sz w:val="44"/>
      <w:szCs w:val="44"/>
      <w:lang w:val="en-US" w:eastAsia="zh-CN" w:bidi="ar-SA"/>
    </w:rPr>
  </w:style>
  <w:style w:type="character" w:customStyle="1" w:styleId="153">
    <w:name w:val="z-窗体底端 Char"/>
    <w:basedOn w:val="46"/>
    <w:link w:val="154"/>
    <w:qFormat/>
    <w:uiPriority w:val="0"/>
    <w:rPr>
      <w:rFonts w:ascii="Arial" w:hAnsi="Calibri"/>
      <w:vanish/>
      <w:kern w:val="2"/>
      <w:sz w:val="16"/>
      <w:szCs w:val="24"/>
    </w:rPr>
  </w:style>
  <w:style w:type="paragraph" w:customStyle="1" w:styleId="154">
    <w:name w:val="_Style 153"/>
    <w:basedOn w:val="1"/>
    <w:next w:val="1"/>
    <w:link w:val="153"/>
    <w:qFormat/>
    <w:uiPriority w:val="0"/>
    <w:pPr>
      <w:pBdr>
        <w:top w:val="single" w:color="auto" w:sz="6" w:space="1"/>
      </w:pBdr>
      <w:jc w:val="center"/>
    </w:pPr>
    <w:rPr>
      <w:rFonts w:ascii="Arial" w:hAnsi="Calibri"/>
      <w:vanish/>
      <w:sz w:val="16"/>
    </w:rPr>
  </w:style>
  <w:style w:type="character" w:customStyle="1" w:styleId="155">
    <w:name w:val="l3"/>
    <w:qFormat/>
    <w:uiPriority w:val="0"/>
    <w:rPr>
      <w:color w:val="999999"/>
    </w:rPr>
  </w:style>
  <w:style w:type="character" w:customStyle="1" w:styleId="156">
    <w:name w:val="starting4"/>
    <w:basedOn w:val="46"/>
    <w:qFormat/>
    <w:uiPriority w:val="0"/>
  </w:style>
  <w:style w:type="character" w:customStyle="1" w:styleId="157">
    <w:name w:val="Char Char5"/>
    <w:qFormat/>
    <w:uiPriority w:val="0"/>
    <w:rPr>
      <w:rFonts w:ascii="Arial" w:hAnsi="Arial" w:eastAsia="黑体"/>
      <w:b/>
      <w:bCs/>
      <w:kern w:val="2"/>
      <w:sz w:val="32"/>
      <w:szCs w:val="32"/>
    </w:rPr>
  </w:style>
  <w:style w:type="character" w:customStyle="1" w:styleId="158">
    <w:name w:val="tit9"/>
    <w:qFormat/>
    <w:uiPriority w:val="0"/>
    <w:rPr>
      <w:color w:val="B60000"/>
      <w:sz w:val="27"/>
      <w:szCs w:val="27"/>
      <w:bdr w:val="single" w:color="DFCEB8" w:sz="6" w:space="0"/>
      <w:shd w:val="clear" w:color="auto" w:fill="FFFFFF"/>
    </w:rPr>
  </w:style>
  <w:style w:type="character" w:customStyle="1" w:styleId="159">
    <w:name w:val="job"/>
    <w:basedOn w:val="46"/>
    <w:qFormat/>
    <w:uiPriority w:val="0"/>
  </w:style>
  <w:style w:type="character" w:customStyle="1" w:styleId="160">
    <w:name w:val="标题 2 Char"/>
    <w:qFormat/>
    <w:uiPriority w:val="0"/>
    <w:rPr>
      <w:rFonts w:eastAsia="宋体"/>
      <w:sz w:val="24"/>
      <w:lang w:val="en-US" w:eastAsia="zh-CN" w:bidi="ar-SA"/>
    </w:rPr>
  </w:style>
  <w:style w:type="character" w:customStyle="1" w:styleId="161">
    <w:name w:val="纯文本 Char1"/>
    <w:qFormat/>
    <w:uiPriority w:val="0"/>
    <w:rPr>
      <w:rFonts w:ascii="Courier New" w:hAnsi="Courier New" w:eastAsia="宋体"/>
      <w:kern w:val="2"/>
      <w:sz w:val="21"/>
      <w:lang w:val="en-US" w:eastAsia="zh-CN" w:bidi="ar-SA"/>
    </w:rPr>
  </w:style>
  <w:style w:type="character" w:customStyle="1" w:styleId="162">
    <w:name w:val="17"/>
    <w:qFormat/>
    <w:uiPriority w:val="0"/>
    <w:rPr>
      <w:rFonts w:ascii="仿宋_GB2312" w:eastAsia="仿宋_GB2312"/>
      <w:color w:val="auto"/>
      <w:sz w:val="28"/>
      <w:szCs w:val="28"/>
      <w:u w:val="single"/>
    </w:rPr>
  </w:style>
  <w:style w:type="character" w:customStyle="1" w:styleId="163">
    <w:name w:val="msg-box28"/>
    <w:basedOn w:val="46"/>
    <w:qFormat/>
    <w:uiPriority w:val="0"/>
  </w:style>
  <w:style w:type="character" w:customStyle="1" w:styleId="164">
    <w:name w:val="datetime"/>
    <w:qFormat/>
    <w:uiPriority w:val="0"/>
    <w:rPr>
      <w:rFonts w:ascii="Arial" w:hAnsi="Arial" w:cs="Arial"/>
      <w:color w:val="999999"/>
      <w:sz w:val="21"/>
      <w:szCs w:val="21"/>
      <w:lang w:bidi="ar-SA"/>
    </w:rPr>
  </w:style>
  <w:style w:type="character" w:customStyle="1" w:styleId="165">
    <w:name w:val="nostart3"/>
    <w:basedOn w:val="46"/>
    <w:qFormat/>
    <w:uiPriority w:val="0"/>
  </w:style>
  <w:style w:type="character" w:customStyle="1" w:styleId="166">
    <w:name w:val="nostart2"/>
    <w:qFormat/>
    <w:uiPriority w:val="0"/>
    <w:rPr>
      <w:color w:val="B60000"/>
    </w:rPr>
  </w:style>
  <w:style w:type="character" w:customStyle="1" w:styleId="167">
    <w:name w:val="16"/>
    <w:qFormat/>
    <w:uiPriority w:val="0"/>
    <w:rPr>
      <w:rFonts w:ascii="仿宋_GB2312" w:eastAsia="仿宋_GB2312"/>
      <w:color w:val="auto"/>
      <w:sz w:val="28"/>
      <w:szCs w:val="28"/>
    </w:rPr>
  </w:style>
  <w:style w:type="character" w:customStyle="1" w:styleId="168">
    <w:name w:val="Char Char71"/>
    <w:qFormat/>
    <w:uiPriority w:val="0"/>
    <w:rPr>
      <w:rFonts w:ascii="Arial" w:hAnsi="Arial" w:eastAsia="黑体"/>
      <w:b/>
      <w:bCs/>
      <w:kern w:val="2"/>
      <w:sz w:val="32"/>
      <w:szCs w:val="32"/>
      <w:lang w:val="en-US" w:eastAsia="zh-CN" w:bidi="ar-SA"/>
    </w:rPr>
  </w:style>
  <w:style w:type="character" w:customStyle="1" w:styleId="169">
    <w:name w:val="tit13"/>
    <w:qFormat/>
    <w:uiPriority w:val="0"/>
    <w:rPr>
      <w:color w:val="FFFFFF"/>
    </w:rPr>
  </w:style>
  <w:style w:type="character" w:customStyle="1" w:styleId="170">
    <w:name w:val="img_title9"/>
    <w:qFormat/>
    <w:uiPriority w:val="0"/>
    <w:rPr>
      <w:vanish/>
    </w:rPr>
  </w:style>
  <w:style w:type="character" w:customStyle="1" w:styleId="171">
    <w:name w:val="layui-this"/>
    <w:basedOn w:val="46"/>
    <w:qFormat/>
    <w:uiPriority w:val="0"/>
    <w:rPr>
      <w:bdr w:val="single" w:color="EEEEEE" w:sz="6" w:space="0"/>
      <w:shd w:val="clear" w:color="auto" w:fill="FFFFFF"/>
    </w:rPr>
  </w:style>
  <w:style w:type="character" w:customStyle="1" w:styleId="172">
    <w:name w:val="buvis"/>
    <w:qFormat/>
    <w:uiPriority w:val="0"/>
    <w:rPr>
      <w:color w:val="999999"/>
    </w:rPr>
  </w:style>
  <w:style w:type="character" w:customStyle="1" w:styleId="173">
    <w:name w:val="num51"/>
    <w:basedOn w:val="46"/>
    <w:qFormat/>
    <w:uiPriority w:val="0"/>
  </w:style>
  <w:style w:type="character" w:customStyle="1" w:styleId="174">
    <w:name w:val="Char Char Char"/>
    <w:qFormat/>
    <w:uiPriority w:val="0"/>
    <w:rPr>
      <w:rFonts w:eastAsia="宋体"/>
      <w:b/>
      <w:bCs/>
      <w:kern w:val="44"/>
      <w:sz w:val="44"/>
      <w:szCs w:val="44"/>
      <w:lang w:val="en-US" w:eastAsia="zh-CN" w:bidi="ar-SA"/>
    </w:rPr>
  </w:style>
  <w:style w:type="character" w:customStyle="1" w:styleId="175">
    <w:name w:val="标题 2 Char2"/>
    <w:qFormat/>
    <w:uiPriority w:val="0"/>
    <w:rPr>
      <w:rFonts w:eastAsia="宋体"/>
      <w:sz w:val="24"/>
      <w:lang w:val="en-US" w:eastAsia="zh-CN" w:bidi="ar-SA"/>
    </w:rPr>
  </w:style>
  <w:style w:type="character" w:customStyle="1" w:styleId="176">
    <w:name w:val="name"/>
    <w:qFormat/>
    <w:uiPriority w:val="0"/>
    <w:rPr>
      <w:color w:val="444444"/>
      <w:sz w:val="21"/>
      <w:szCs w:val="21"/>
    </w:rPr>
  </w:style>
  <w:style w:type="character" w:customStyle="1" w:styleId="177">
    <w:name w:val="nostart1"/>
    <w:qFormat/>
    <w:uiPriority w:val="0"/>
    <w:rPr>
      <w:color w:val="FF0000"/>
    </w:rPr>
  </w:style>
  <w:style w:type="character" w:customStyle="1" w:styleId="178">
    <w:name w:val="c2"/>
    <w:basedOn w:val="46"/>
    <w:qFormat/>
    <w:uiPriority w:val="0"/>
  </w:style>
  <w:style w:type="character" w:customStyle="1" w:styleId="179">
    <w:name w:val="l51"/>
    <w:qFormat/>
    <w:uiPriority w:val="0"/>
    <w:rPr>
      <w:color w:val="999999"/>
    </w:rPr>
  </w:style>
  <w:style w:type="character" w:customStyle="1" w:styleId="180">
    <w:name w:val="over3"/>
    <w:basedOn w:val="46"/>
    <w:qFormat/>
    <w:uiPriority w:val="0"/>
  </w:style>
  <w:style w:type="character" w:customStyle="1" w:styleId="181">
    <w:name w:val="Char Char1"/>
    <w:qFormat/>
    <w:uiPriority w:val="0"/>
    <w:rPr>
      <w:rFonts w:eastAsia="宋体"/>
      <w:kern w:val="2"/>
      <w:sz w:val="21"/>
      <w:szCs w:val="24"/>
      <w:lang w:val="en-US" w:eastAsia="zh-CN" w:bidi="ar-SA"/>
    </w:rPr>
  </w:style>
  <w:style w:type="paragraph" w:customStyle="1" w:styleId="182">
    <w:name w:val="列出段落1"/>
    <w:basedOn w:val="1"/>
    <w:qFormat/>
    <w:uiPriority w:val="0"/>
    <w:pPr>
      <w:ind w:firstLine="200" w:firstLineChars="200"/>
    </w:pPr>
    <w:rPr>
      <w:rFonts w:ascii="Calibri" w:hAnsi="Calibri"/>
    </w:rPr>
  </w:style>
  <w:style w:type="paragraph" w:customStyle="1" w:styleId="183">
    <w:name w:val="表格"/>
    <w:basedOn w:val="1"/>
    <w:qFormat/>
    <w:uiPriority w:val="0"/>
    <w:pPr>
      <w:jc w:val="center"/>
      <w:textAlignment w:val="center"/>
    </w:pPr>
    <w:rPr>
      <w:rFonts w:ascii="华文细黑" w:hAnsi="华文细黑"/>
      <w:kern w:val="0"/>
      <w:szCs w:val="20"/>
    </w:rPr>
  </w:style>
  <w:style w:type="paragraph" w:customStyle="1" w:styleId="184">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185">
    <w:name w:val="WPSOffice手动目录 3"/>
    <w:qFormat/>
    <w:uiPriority w:val="0"/>
    <w:pPr>
      <w:ind w:left="400" w:leftChars="400"/>
    </w:pPr>
    <w:rPr>
      <w:rFonts w:ascii="Times New Roman" w:hAnsi="Times New Roman" w:eastAsia="宋体" w:cs="Times New Roman"/>
      <w:lang w:val="en-US" w:eastAsia="zh-CN" w:bidi="ar-SA"/>
    </w:rPr>
  </w:style>
  <w:style w:type="paragraph" w:customStyle="1" w:styleId="186">
    <w:name w:val="样式 标题 1 + 黑体 三号 非加粗 居中 段前: 6 磅 段后: 6 磅 行距: 固定值 20 磅"/>
    <w:basedOn w:val="2"/>
    <w:qFormat/>
    <w:uiPriority w:val="0"/>
    <w:pPr>
      <w:spacing w:before="120" w:after="120" w:line="400" w:lineRule="exact"/>
    </w:pPr>
    <w:rPr>
      <w:rFonts w:ascii="黑体" w:hAnsi="黑体" w:eastAsia="黑体" w:cs="宋体"/>
      <w:b w:val="0"/>
      <w:bCs w:val="0"/>
      <w:sz w:val="32"/>
      <w:szCs w:val="20"/>
    </w:rPr>
  </w:style>
  <w:style w:type="paragraph" w:customStyle="1" w:styleId="187">
    <w:name w:val="WPSOffice手动目录 1"/>
    <w:qFormat/>
    <w:uiPriority w:val="0"/>
    <w:rPr>
      <w:rFonts w:ascii="Times New Roman" w:hAnsi="Times New Roman" w:eastAsia="宋体" w:cs="Times New Roman"/>
      <w:lang w:val="en-US" w:eastAsia="zh-CN" w:bidi="ar-SA"/>
    </w:rPr>
  </w:style>
  <w:style w:type="paragraph" w:customStyle="1" w:styleId="188">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189">
    <w:name w:val="p0"/>
    <w:basedOn w:val="1"/>
    <w:qFormat/>
    <w:uiPriority w:val="0"/>
    <w:pPr>
      <w:widowControl/>
      <w:jc w:val="left"/>
    </w:pPr>
    <w:rPr>
      <w:rFonts w:ascii="宋体" w:hAnsi="宋体" w:cs="宋体"/>
      <w:kern w:val="0"/>
      <w:sz w:val="18"/>
      <w:szCs w:val="18"/>
    </w:rPr>
  </w:style>
  <w:style w:type="paragraph" w:customStyle="1" w:styleId="190">
    <w:name w:val="正文1"/>
    <w:qFormat/>
    <w:uiPriority w:val="0"/>
    <w:pPr>
      <w:widowControl w:val="0"/>
      <w:adjustRightInd w:val="0"/>
      <w:spacing w:line="312" w:lineRule="atLeast"/>
      <w:jc w:val="both"/>
      <w:textAlignment w:val="baseline"/>
    </w:pPr>
    <w:rPr>
      <w:rFonts w:ascii="宋体" w:hAnsi="Calibri" w:eastAsia="宋体" w:cs="宋体"/>
      <w:sz w:val="24"/>
      <w:szCs w:val="24"/>
      <w:lang w:val="en-US" w:eastAsia="zh-CN" w:bidi="ar-SA"/>
    </w:rPr>
  </w:style>
  <w:style w:type="paragraph" w:customStyle="1" w:styleId="191">
    <w:name w:val="Char Char Char Char Char Char Char Char Char Char Char Char Char"/>
    <w:basedOn w:val="1"/>
    <w:qFormat/>
    <w:uiPriority w:val="0"/>
    <w:rPr>
      <w:rFonts w:ascii="Calibri" w:hAnsi="Calibri"/>
    </w:rPr>
  </w:style>
  <w:style w:type="paragraph" w:customStyle="1" w:styleId="192">
    <w:name w:val="Char"/>
    <w:basedOn w:val="1"/>
    <w:next w:val="1"/>
    <w:qFormat/>
    <w:uiPriority w:val="0"/>
    <w:pPr>
      <w:widowControl/>
      <w:spacing w:line="360" w:lineRule="auto"/>
      <w:jc w:val="left"/>
    </w:pPr>
    <w:rPr>
      <w:kern w:val="0"/>
      <w:szCs w:val="20"/>
      <w:lang w:eastAsia="en-US"/>
    </w:rPr>
  </w:style>
  <w:style w:type="paragraph" w:customStyle="1" w:styleId="193">
    <w:name w:val="正文2"/>
    <w:qFormat/>
    <w:uiPriority w:val="0"/>
    <w:pPr>
      <w:widowControl w:val="0"/>
      <w:jc w:val="both"/>
    </w:pPr>
    <w:rPr>
      <w:rFonts w:ascii="Calibri" w:hAnsi="Calibri" w:eastAsia="宋体" w:cs="Times New Roman"/>
      <w:lang w:val="en-US" w:eastAsia="zh-CN" w:bidi="ar-SA"/>
    </w:rPr>
  </w:style>
  <w:style w:type="paragraph" w:customStyle="1" w:styleId="194">
    <w:name w:val="Char4"/>
    <w:basedOn w:val="1"/>
    <w:qFormat/>
    <w:uiPriority w:val="0"/>
    <w:pPr>
      <w:widowControl/>
      <w:spacing w:line="360" w:lineRule="auto"/>
      <w:ind w:firstLine="200" w:firstLineChars="200"/>
      <w:textAlignment w:val="baseline"/>
    </w:pPr>
    <w:rPr>
      <w:rFonts w:ascii="Calibri" w:hAnsi="Calibri"/>
      <w:color w:val="000000"/>
      <w:kern w:val="0"/>
      <w:szCs w:val="20"/>
    </w:rPr>
  </w:style>
  <w:style w:type="paragraph" w:customStyle="1" w:styleId="195">
    <w:name w:val="p15"/>
    <w:qFormat/>
    <w:uiPriority w:val="0"/>
    <w:pPr>
      <w:jc w:val="both"/>
    </w:pPr>
    <w:rPr>
      <w:rFonts w:ascii="宋体" w:hAnsi="Calibri" w:eastAsia="宋体" w:cs="宋体"/>
      <w:sz w:val="21"/>
      <w:szCs w:val="21"/>
      <w:lang w:val="en-US" w:eastAsia="zh-CN" w:bidi="ar-SA"/>
    </w:rPr>
  </w:style>
  <w:style w:type="paragraph" w:customStyle="1" w:styleId="196">
    <w:name w:val="样式 标题 2 + Times New Roman 四号 非加粗 段前: 5 磅 段后: 0 磅 行距: 固定值 20..."/>
    <w:basedOn w:val="3"/>
    <w:qFormat/>
    <w:uiPriority w:val="0"/>
    <w:pPr>
      <w:spacing w:before="100" w:after="0" w:line="400" w:lineRule="exact"/>
    </w:pPr>
    <w:rPr>
      <w:rFonts w:ascii="Times New Roman" w:hAnsi="Times New Roman" w:cs="宋体"/>
      <w:b w:val="0"/>
      <w:bCs w:val="0"/>
      <w:sz w:val="28"/>
      <w:szCs w:val="20"/>
    </w:rPr>
  </w:style>
  <w:style w:type="paragraph" w:customStyle="1" w:styleId="197">
    <w:name w:val="样式3"/>
    <w:basedOn w:val="4"/>
    <w:qFormat/>
    <w:uiPriority w:val="0"/>
    <w:pPr>
      <w:spacing w:line="415" w:lineRule="auto"/>
    </w:pPr>
    <w:rPr>
      <w:rFonts w:eastAsia="Arial"/>
    </w:rPr>
  </w:style>
  <w:style w:type="paragraph" w:customStyle="1" w:styleId="198">
    <w:name w:val="节标题"/>
    <w:basedOn w:val="1"/>
    <w:next w:val="1"/>
    <w:qFormat/>
    <w:uiPriority w:val="0"/>
    <w:pPr>
      <w:widowControl/>
      <w:spacing w:line="289" w:lineRule="atLeast"/>
      <w:jc w:val="center"/>
      <w:textAlignment w:val="baseline"/>
    </w:pPr>
    <w:rPr>
      <w:color w:val="000000"/>
      <w:kern w:val="0"/>
      <w:sz w:val="28"/>
      <w:szCs w:val="20"/>
    </w:rPr>
  </w:style>
  <w:style w:type="paragraph" w:customStyle="1" w:styleId="199">
    <w:name w:val="默认段落字体 Para Char Char Char Char"/>
    <w:basedOn w:val="1"/>
    <w:qFormat/>
    <w:uiPriority w:val="0"/>
  </w:style>
  <w:style w:type="paragraph" w:customStyle="1" w:styleId="200">
    <w:name w:val="Char1"/>
    <w:basedOn w:val="1"/>
    <w:next w:val="1"/>
    <w:qFormat/>
    <w:uiPriority w:val="0"/>
    <w:pPr>
      <w:widowControl/>
      <w:spacing w:line="360" w:lineRule="auto"/>
      <w:jc w:val="left"/>
    </w:pPr>
    <w:rPr>
      <w:kern w:val="0"/>
      <w:szCs w:val="20"/>
      <w:lang w:eastAsia="en-US"/>
    </w:rPr>
  </w:style>
  <w:style w:type="paragraph" w:customStyle="1" w:styleId="201">
    <w:name w:val="表格文字"/>
    <w:basedOn w:val="1"/>
    <w:qFormat/>
    <w:uiPriority w:val="0"/>
    <w:pPr>
      <w:adjustRightInd w:val="0"/>
      <w:spacing w:line="420" w:lineRule="atLeast"/>
      <w:jc w:val="left"/>
      <w:textAlignment w:val="baseline"/>
    </w:pPr>
    <w:rPr>
      <w:kern w:val="0"/>
      <w:szCs w:val="20"/>
    </w:rPr>
  </w:style>
  <w:style w:type="paragraph" w:customStyle="1" w:styleId="202">
    <w:name w:val="1"/>
    <w:basedOn w:val="1"/>
    <w:next w:val="1"/>
    <w:qFormat/>
    <w:uiPriority w:val="0"/>
  </w:style>
  <w:style w:type="paragraph" w:customStyle="1" w:styleId="203">
    <w:name w:val="Char1 Char Char Char Char Char Char Char Char Char Char Char Char1 Char Char Char Char Char1 Char Char Char Char Char Char Char Char Char1 Char"/>
    <w:basedOn w:val="1"/>
    <w:qFormat/>
    <w:uiPriority w:val="0"/>
    <w:pPr>
      <w:widowControl/>
      <w:spacing w:after="160" w:line="240" w:lineRule="exact"/>
      <w:ind w:firstLine="560" w:firstLineChars="200"/>
      <w:jc w:val="left"/>
    </w:pPr>
    <w:rPr>
      <w:rFonts w:ascii="宋体" w:hAnsi="宋体"/>
      <w:kern w:val="0"/>
      <w:sz w:val="28"/>
      <w:szCs w:val="28"/>
      <w:lang w:eastAsia="en-US"/>
    </w:rPr>
  </w:style>
  <w:style w:type="paragraph" w:customStyle="1" w:styleId="204">
    <w:name w:val="Default Paragraph Char Char Char Char"/>
    <w:basedOn w:val="1"/>
    <w:next w:val="1"/>
    <w:qFormat/>
    <w:uiPriority w:val="0"/>
    <w:pPr>
      <w:spacing w:line="360" w:lineRule="auto"/>
    </w:pPr>
    <w:rPr>
      <w:rFonts w:ascii="Calibri" w:hAnsi="Calibri"/>
      <w:szCs w:val="20"/>
    </w:rPr>
  </w:style>
  <w:style w:type="paragraph" w:customStyle="1" w:styleId="205">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206">
    <w:name w:val="p"/>
    <w:basedOn w:val="1"/>
    <w:qFormat/>
    <w:uiPriority w:val="0"/>
    <w:rPr>
      <w:rFonts w:ascii="宋体"/>
      <w:sz w:val="24"/>
    </w:rPr>
  </w:style>
  <w:style w:type="paragraph" w:customStyle="1" w:styleId="207">
    <w:name w:val="p0 New"/>
    <w:basedOn w:val="1"/>
    <w:qFormat/>
    <w:uiPriority w:val="0"/>
    <w:pPr>
      <w:widowControl/>
      <w:jc w:val="left"/>
    </w:pPr>
    <w:rPr>
      <w:rFonts w:ascii="宋体" w:hAnsi="Calibri" w:cs="宋体"/>
      <w:kern w:val="0"/>
      <w:sz w:val="18"/>
      <w:szCs w:val="18"/>
    </w:rPr>
  </w:style>
  <w:style w:type="paragraph" w:customStyle="1" w:styleId="208">
    <w:name w:val="Char Char Char Char"/>
    <w:basedOn w:val="1"/>
    <w:qFormat/>
    <w:uiPriority w:val="0"/>
    <w:rPr>
      <w:rFonts w:ascii="Tahoma" w:hAnsi="Tahoma"/>
      <w:sz w:val="24"/>
      <w:szCs w:val="20"/>
    </w:rPr>
  </w:style>
  <w:style w:type="paragraph" w:customStyle="1" w:styleId="209">
    <w:name w:val="Table Paragraph"/>
    <w:basedOn w:val="1"/>
    <w:qFormat/>
    <w:uiPriority w:val="1"/>
    <w:rPr>
      <w:rFonts w:ascii="宋体" w:hAnsi="宋体" w:cs="宋体"/>
      <w:lang w:val="zh-CN" w:bidi="zh-CN"/>
    </w:rPr>
  </w:style>
  <w:style w:type="paragraph" w:customStyle="1" w:styleId="210">
    <w:name w:val="Char Char6"/>
    <w:basedOn w:val="1"/>
    <w:qFormat/>
    <w:uiPriority w:val="0"/>
    <w:pPr>
      <w:widowControl/>
      <w:spacing w:after="160" w:line="240" w:lineRule="exact"/>
      <w:jc w:val="left"/>
    </w:pPr>
  </w:style>
  <w:style w:type="paragraph" w:customStyle="1" w:styleId="211">
    <w:name w:val="正文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12">
    <w:name w:val="Char Char Char Char Char Char Char Char Char Char Char Char Char1"/>
    <w:basedOn w:val="1"/>
    <w:qFormat/>
    <w:uiPriority w:val="0"/>
  </w:style>
  <w:style w:type="paragraph" w:customStyle="1" w:styleId="213">
    <w:name w:val="样式4"/>
    <w:basedOn w:val="4"/>
    <w:qFormat/>
    <w:uiPriority w:val="0"/>
    <w:pPr>
      <w:spacing w:line="415" w:lineRule="auto"/>
    </w:pPr>
    <w:rPr>
      <w:rFonts w:eastAsia="Arial"/>
    </w:rPr>
  </w:style>
  <w:style w:type="paragraph" w:styleId="214">
    <w:name w:val="List Paragraph"/>
    <w:basedOn w:val="1"/>
    <w:qFormat/>
    <w:uiPriority w:val="0"/>
    <w:pPr>
      <w:ind w:firstLine="200" w:firstLineChars="200"/>
    </w:pPr>
    <w:rPr>
      <w:rFonts w:ascii="Calibri" w:hAnsi="Calibri"/>
      <w:szCs w:val="22"/>
    </w:rPr>
  </w:style>
  <w:style w:type="paragraph" w:customStyle="1" w:styleId="215">
    <w:name w:val="样式 标题 3 + (中文) 黑体 小四 非加粗 段前: 7.8 磅 段后: 0 磅 行距: 固定值 20 磅"/>
    <w:basedOn w:val="4"/>
    <w:qFormat/>
    <w:uiPriority w:val="0"/>
    <w:pPr>
      <w:spacing w:before="0" w:after="0" w:line="400" w:lineRule="exact"/>
    </w:pPr>
    <w:rPr>
      <w:rFonts w:eastAsia="黑体" w:cs="宋体"/>
      <w:b w:val="0"/>
      <w:bCs w:val="0"/>
      <w:sz w:val="24"/>
      <w:szCs w:val="20"/>
    </w:rPr>
  </w:style>
  <w:style w:type="paragraph" w:customStyle="1" w:styleId="216">
    <w:name w:val="样式2"/>
    <w:basedOn w:val="4"/>
    <w:qFormat/>
    <w:uiPriority w:val="0"/>
    <w:pPr>
      <w:spacing w:line="415" w:lineRule="auto"/>
    </w:pPr>
  </w:style>
  <w:style w:type="paragraph" w:customStyle="1" w:styleId="217">
    <w:name w:val="样式1"/>
    <w:basedOn w:val="4"/>
    <w:qFormat/>
    <w:uiPriority w:val="0"/>
    <w:pPr>
      <w:spacing w:line="415" w:lineRule="auto"/>
    </w:pPr>
    <w:rPr>
      <w:rFonts w:eastAsia="Arial"/>
    </w:rPr>
  </w:style>
  <w:style w:type="character" w:customStyle="1" w:styleId="218">
    <w:name w:val="NormalCharacter"/>
    <w:semiHidden/>
    <w:qFormat/>
    <w:uiPriority w:val="0"/>
    <w:rPr>
      <w:snapToGrid w:val="0"/>
      <w:kern w:val="0"/>
      <w:sz w:val="32"/>
      <w:szCs w:val="32"/>
      <w:lang w:val="en-US" w:eastAsia="zh-CN" w:bidi="ar-SA"/>
    </w:rPr>
  </w:style>
  <w:style w:type="character" w:customStyle="1" w:styleId="219">
    <w:name w:val="font12"/>
    <w:basedOn w:val="46"/>
    <w:qFormat/>
    <w:uiPriority w:val="0"/>
    <w:rPr>
      <w:rFonts w:hint="eastAsia" w:ascii="仿宋" w:hAnsi="仿宋" w:eastAsia="仿宋" w:cs="仿宋"/>
      <w:b/>
      <w:color w:val="000000"/>
      <w:sz w:val="32"/>
      <w:szCs w:val="32"/>
      <w:u w:val="none"/>
    </w:rPr>
  </w:style>
  <w:style w:type="character" w:customStyle="1" w:styleId="220">
    <w:name w:val="font101"/>
    <w:basedOn w:val="46"/>
    <w:qFormat/>
    <w:uiPriority w:val="0"/>
    <w:rPr>
      <w:rFonts w:hint="default" w:ascii="Times New Roman" w:hAnsi="Times New Roman" w:cs="Times New Roman"/>
      <w:color w:val="000000"/>
      <w:sz w:val="24"/>
      <w:szCs w:val="24"/>
      <w:u w:val="none"/>
    </w:rPr>
  </w:style>
  <w:style w:type="character" w:customStyle="1" w:styleId="221">
    <w:name w:val="font111"/>
    <w:basedOn w:val="46"/>
    <w:qFormat/>
    <w:uiPriority w:val="0"/>
    <w:rPr>
      <w:rFonts w:ascii="仿宋_GB2312" w:eastAsia="仿宋_GB2312" w:cs="仿宋_GB2312"/>
      <w:color w:val="000000"/>
      <w:sz w:val="24"/>
      <w:szCs w:val="24"/>
      <w:u w:val="none"/>
    </w:rPr>
  </w:style>
  <w:style w:type="character" w:customStyle="1" w:styleId="222">
    <w:name w:val="font91"/>
    <w:basedOn w:val="46"/>
    <w:qFormat/>
    <w:uiPriority w:val="0"/>
    <w:rPr>
      <w:rFonts w:hint="eastAsia" w:ascii="仿宋" w:hAnsi="仿宋" w:eastAsia="仿宋" w:cs="仿宋"/>
      <w:color w:val="000000"/>
      <w:sz w:val="24"/>
      <w:szCs w:val="24"/>
      <w:u w:val="single"/>
    </w:rPr>
  </w:style>
  <w:style w:type="character" w:customStyle="1" w:styleId="223">
    <w:name w:val="font81"/>
    <w:basedOn w:val="46"/>
    <w:qFormat/>
    <w:uiPriority w:val="0"/>
    <w:rPr>
      <w:rFonts w:hint="default" w:ascii="Times New Roman" w:hAnsi="Times New Roman" w:cs="Times New Roman"/>
      <w:color w:val="000000"/>
      <w:sz w:val="24"/>
      <w:szCs w:val="24"/>
      <w:u w:val="none"/>
    </w:rPr>
  </w:style>
  <w:style w:type="character" w:customStyle="1" w:styleId="224">
    <w:name w:val="font61"/>
    <w:basedOn w:val="46"/>
    <w:qFormat/>
    <w:uiPriority w:val="0"/>
    <w:rPr>
      <w:rFonts w:hint="eastAsia" w:ascii="仿宋_GB2312" w:eastAsia="仿宋_GB2312" w:cs="仿宋_GB2312"/>
      <w:color w:val="000000"/>
      <w:sz w:val="24"/>
      <w:szCs w:val="24"/>
      <w:u w:val="none"/>
    </w:rPr>
  </w:style>
  <w:style w:type="character" w:customStyle="1" w:styleId="225">
    <w:name w:val="font21"/>
    <w:basedOn w:val="46"/>
    <w:qFormat/>
    <w:uiPriority w:val="0"/>
    <w:rPr>
      <w:rFonts w:hint="default" w:ascii="Times New Roman" w:hAnsi="Times New Roman" w:cs="Times New Roman"/>
      <w:color w:val="000000"/>
      <w:sz w:val="24"/>
      <w:szCs w:val="24"/>
      <w:u w:val="none"/>
    </w:rPr>
  </w:style>
  <w:style w:type="paragraph" w:customStyle="1" w:styleId="226">
    <w:name w:val="l正文"/>
    <w:qFormat/>
    <w:uiPriority w:val="0"/>
    <w:pPr>
      <w:widowControl w:val="0"/>
      <w:spacing w:line="300" w:lineRule="auto"/>
      <w:ind w:firstLine="200" w:firstLineChars="200"/>
      <w:jc w:val="both"/>
    </w:pPr>
    <w:rPr>
      <w:rFonts w:ascii="楷体_GB2312" w:hAnsi="Times" w:eastAsia="楷体_GB2312" w:cs="Times New Roman"/>
      <w:kern w:val="2"/>
      <w:sz w:val="24"/>
      <w:szCs w:val="24"/>
      <w:lang w:val="en-US" w:eastAsia="zh-CN" w:bidi="ar-SA"/>
    </w:rPr>
  </w:style>
  <w:style w:type="paragraph" w:customStyle="1" w:styleId="227">
    <w:name w:val="纯文本1"/>
    <w:basedOn w:val="1"/>
    <w:qFormat/>
    <w:uiPriority w:val="0"/>
    <w:rPr>
      <w:rFonts w:ascii="宋体"/>
      <w:color w:val="000000"/>
    </w:rPr>
  </w:style>
  <w:style w:type="character" w:customStyle="1" w:styleId="228">
    <w:name w:val="status"/>
    <w:basedOn w:val="46"/>
    <w:qFormat/>
    <w:uiPriority w:val="0"/>
    <w:rPr>
      <w:color w:val="0776DD"/>
    </w:rPr>
  </w:style>
  <w:style w:type="character" w:customStyle="1" w:styleId="229">
    <w:name w:val="time"/>
    <w:basedOn w:val="46"/>
    <w:qFormat/>
    <w:uiPriority w:val="0"/>
  </w:style>
  <w:style w:type="paragraph" w:customStyle="1" w:styleId="230">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table" w:customStyle="1" w:styleId="231">
    <w:name w:val="网格型1"/>
    <w:basedOn w:val="44"/>
    <w:qFormat/>
    <w:uiPriority w:val="39"/>
    <w:rPr>
      <w:rFonts w:ascii="等线" w:hAnsi="等线" w:eastAsia="等线"/>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contractReview xmlns="http://schemas.wps.cn/vas-ai-hub/contract-review">
  <reviewItems>
    <reviewItem>
      <errorID>0cc15c83-9372-49a7-824c-a80838f86cbc</errorID>
      <errorWord>、</errorWord>
      <group>L1_Punc</group>
      <groupName>标点问题</groupName>
      <ability>L2_Punc</ability>
      <abilityName>标点符号检查</abilityName>
      <candidateList>
        <item>.</item>
      </candidateList>
      <explain/>
      <paraID>659AC1AC</paraID>
      <start>1</start>
      <end>2</end>
      <status>unmodified</status>
      <modifiedWord/>
      <trackRevisions>false</trackRevisions>
    </reviewItem>
    <reviewItem>
      <errorID>aa5db526-44b9-433b-80bd-7af17c519bd3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607B2B91</paraID>
      <start>0</start>
      <end>2</end>
      <status>unmodified</status>
      <modifiedWord/>
      <trackRevisions>false</trackRevisions>
    </reviewItem>
    <reviewItem>
      <errorID>66f67c8d-9c13-489a-8bac-296dd0023a7c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7043547B</paraID>
      <start>0</start>
      <end>2</end>
      <status>unmodified</status>
      <modifiedWord/>
      <trackRevisions>false</trackRevisions>
    </reviewItem>
    <reviewItem>
      <errorID>6b870f1b-540d-4757-a9ee-c297f1270cd6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620CE7B8</paraID>
      <start>0</start>
      <end>2</end>
      <status>unmodified</status>
      <modifiedWord/>
      <trackRevisions>false</trackRevisions>
    </reviewItem>
    <reviewItem>
      <errorID>bdf1d469-5097-4bc8-b5c7-67466967c876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58B7F623</paraID>
      <start>0</start>
      <end>2</end>
      <status>unmodified</status>
      <modifiedWord/>
      <trackRevisions>false</trackRevisions>
    </reviewItem>
    <reviewItem>
      <errorID>009a92df-3bbd-4939-a895-e1b1d24ed3da</errorID>
      <errorWord>)</errorWord>
      <group>L1_Format</group>
      <groupName>格式问题</groupName>
      <ability>L2_HalfPunc</ability>
      <abilityName>全半角检查</abilityName>
      <candidateList>
        <item>）</item>
      </candidateList>
      <explain>文本全半角错误。</explain>
      <paraID>237B3573</paraID>
      <start>52</start>
      <end>53</end>
      <status>unmodified</status>
      <modifiedWord/>
      <trackRevisions>false</trackRevisions>
    </reviewItem>
    <reviewItem>
      <errorID>b0857daa-cd87-4a07-878e-7d765819fed5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767E01CA</paraID>
      <start>0</start>
      <end>2</end>
      <status>unmodified</status>
      <modifiedWord/>
      <trackRevisions>false</trackRevisions>
    </reviewItem>
    <reviewItem>
      <errorID>a860d732-6f35-4af7-9139-3e87766d36b6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5B17A728</paraID>
      <start>0</start>
      <end>2</end>
      <status>unmodified</status>
      <modifiedWord/>
      <trackRevisions>false</trackRevisions>
    </reviewItem>
    <reviewItem>
      <errorID>52422fb1-0c6d-424f-89f2-685f5bbb6925</errorID>
      <errorWord>)</errorWord>
      <group>L1_Format</group>
      <groupName>格式问题</groupName>
      <ability>L2_HalfPunc</ability>
      <abilityName>全半角检查</abilityName>
      <candidateList>
        <item>）</item>
      </candidateList>
      <explain>文本全半角错误。</explain>
      <paraID>6779B4E6</paraID>
      <start>46</start>
      <end>47</end>
      <status>unmodified</status>
      <modifiedWord/>
      <trackRevisions>false</trackRevisions>
    </reviewItem>
    <reviewItem>
      <errorID>87df851e-9afe-4c5c-a83d-eb0b1e3df13b</errorID>
      <errorWord>)</errorWord>
      <group>L1_Format</group>
      <groupName>格式问题</groupName>
      <ability>L2_HalfPunc</ability>
      <abilityName>全半角检查</abilityName>
      <candidateList>
        <item>）</item>
      </candidateList>
      <explain>文本全半角错误。</explain>
      <paraID>7106548D</paraID>
      <start>128</start>
      <end>129</end>
      <status>unmodified</status>
      <modifiedWord/>
      <trackRevisions>false</trackRevisions>
    </reviewItem>
    <reviewItem>
      <errorID>49e6c6b0-eb69-4d4e-ab91-cc418e38e03f</errorID>
      <errorWord>)</errorWord>
      <group>L1_Format</group>
      <groupName>格式问题</groupName>
      <ability>L2_HalfPunc</ability>
      <abilityName>全半角检查</abilityName>
      <candidateList>
        <item>）</item>
      </candidateList>
      <explain>文本全半角错误。</explain>
      <paraID>151D0EE6</paraID>
      <start>39</start>
      <end>40</end>
      <status>unmodified</status>
      <modifiedWord/>
      <trackRevisions>false</trackRevisions>
    </reviewItem>
    <reviewItem>
      <errorID>d9b2355f-24b4-4341-8aa7-0f29afffbe20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47553021</paraID>
      <start>0</start>
      <end>2</end>
      <status>unmodified</status>
      <modifiedWord/>
      <trackRevisions>false</trackRevisions>
    </reviewItem>
    <reviewItem>
      <errorID>a08633d4-0c96-402d-a8d8-175f12e4b0f0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2A244A5D</paraID>
      <start>0</start>
      <end>2</end>
      <status>unmodified</status>
      <modifiedWord/>
      <trackRevisions>false</trackRevisions>
    </reviewItem>
    <reviewItem>
      <errorID>66e1348b-3597-4003-92d3-3b51c4ed2e33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4D45AC99</paraID>
      <start>0</start>
      <end>2</end>
      <status>unmodified</status>
      <modifiedWord/>
      <trackRevisions>false</trackRevisions>
    </reviewItem>
    <reviewItem>
      <errorID>22cbb867-9b1d-47b0-a7bc-7a8f419a3349</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4FB491F</paraID>
      <start>0</start>
      <end>2</end>
      <status>unmodified</status>
      <modifiedWord/>
      <trackRevisions>false</trackRevisions>
    </reviewItem>
    <reviewItem>
      <errorID>9a630735-cd29-4c1a-9ec9-bcf70090d53e</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3730CE14</paraID>
      <start>0</start>
      <end>2</end>
      <status>unmodified</status>
      <modifiedWord/>
      <trackRevisions>false</trackRevisions>
    </reviewItem>
    <reviewItem>
      <errorID>a3a18635-d86d-45fe-8592-62b7ae706d17</errorID>
      <errorWord>法律、法规</errorWord>
      <group>L1_Word</group>
      <groupName>字词问题</groupName>
      <ability>L2_Typo</ability>
      <abilityName>字词错误</abilityName>
      <candidateList>
        <item>法律法规</item>
      </candidateList>
      <explain/>
      <paraID>3D408CE1</paraID>
      <start>42</start>
      <end>47</end>
      <status>unmodified</status>
      <modifiedWord/>
      <trackRevisions>false</trackRevisions>
    </reviewItem>
    <reviewItem>
      <errorID>d8745422-a7ee-4bb4-a25f-923db8591c19</errorID>
      <errorWord>)</errorWord>
      <group>L1_Format</group>
      <groupName>格式问题</groupName>
      <ability>L2_HalfPunc</ability>
      <abilityName>全半角检查</abilityName>
      <candidateList>
        <item>）</item>
      </candidateList>
      <explain>文本全半角错误。</explain>
      <paraID>3E6E61CE</paraID>
      <start>72</start>
      <end>73</end>
      <status>unmodified</status>
      <modifiedWord/>
      <trackRevisions>false</trackRevisions>
    </reviewItem>
    <reviewItem>
      <errorID>0eba983e-7541-44b7-8fcb-0fecc863d26a</errorID>
      <errorWord>(</errorWord>
      <group>L1_Format</group>
      <groupName>格式问题</groupName>
      <ability>L2_HalfPunc</ability>
      <abilityName>全半角检查</abilityName>
      <candidateList>
        <item>（</item>
      </candidateList>
      <explain>文本全半角错误。</explain>
      <paraID>4AC02489</paraID>
      <start>11</start>
      <end>12</end>
      <status>unmodified</status>
      <modifiedWord/>
      <trackRevisions>false</trackRevisions>
    </reviewItem>
    <reviewItem>
      <errorID>2c582dd4-b641-4ba1-bc14-3439d3e99213</errorID>
      <errorWord>)</errorWord>
      <group>L1_Format</group>
      <groupName>格式问题</groupName>
      <ability>L2_HalfPunc</ability>
      <abilityName>全半角检查</abilityName>
      <candidateList>
        <item>）</item>
      </candidateList>
      <explain>文本全半角错误。</explain>
      <paraID>4AC02489</paraID>
      <start>18</start>
      <end>19</end>
      <status>unmodified</status>
      <modifiedWord/>
      <trackRevisions>false</trackRevisions>
    </reviewItem>
    <reviewItem>
      <errorID>7de3be30-bae9-4567-99b1-cfb6fe183df0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41D44B47</paraID>
      <start>0</start>
      <end>2</end>
      <status>unmodified</status>
      <modifiedWord/>
      <trackRevisions>false</trackRevisions>
    </reviewItem>
    <reviewItem>
      <errorID>959587d1-c680-45cc-bd01-12a1785c160c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1A3E7622</paraID>
      <start>0</start>
      <end>2</end>
      <status>unmodified</status>
      <modifiedWord/>
      <trackRevisions>false</trackRevisions>
    </reviewItem>
    <reviewItem>
      <errorID>dacc8fb0-fff4-45ef-95e3-dfdea563f9b7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24E936B7</paraID>
      <start>0</start>
      <end>2</end>
      <status>unmodified</status>
      <modifiedWord/>
      <trackRevisions>false</trackRevisions>
    </reviewItem>
    <reviewItem>
      <errorID>102c68e6-c225-419d-8c43-c94a2b0fc866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581F726B</paraID>
      <start>0</start>
      <end>2</end>
      <status>unmodified</status>
      <modifiedWord/>
      <trackRevisions>false</trackRevisions>
    </reviewItem>
    <reviewItem>
      <errorID>43de7da4-0e43-468d-a9b9-299a0741770f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38657135</paraID>
      <start>0</start>
      <end>2</end>
      <status>unmodified</status>
      <modifiedWord/>
      <trackRevisions>false</trackRevisions>
    </reviewItem>
    <reviewItem>
      <errorID>f55f0fd5-ca73-463e-bb02-25ef14fca874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6970266B</paraID>
      <start>0</start>
      <end>2</end>
      <status>unmodified</status>
      <modifiedWord/>
      <trackRevisions>false</trackRevisions>
    </reviewItem>
    <reviewItem>
      <errorID>67083183-8e06-4992-87ff-807f8ac346bf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625522AC</paraID>
      <start>0</start>
      <end>2</end>
      <status>unmodified</status>
      <modifiedWord/>
      <trackRevisions>false</trackRevisions>
    </reviewItem>
    <reviewItem>
      <errorID>4b02d58b-4c3f-48d1-961c-b3e4a6edb807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772009E8</paraID>
      <start>0</start>
      <end>2</end>
      <status>unmodified</status>
      <modifiedWord/>
      <trackRevisions>false</trackRevisions>
    </reviewItem>
    <reviewItem>
      <errorID>c95236e3-2bf8-46af-82ea-a5fc3b2aaf12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2328F8ED</paraID>
      <start>0</start>
      <end>2</end>
      <status>unmodified</status>
      <modifiedWord/>
      <trackRevisions>false</trackRevisions>
    </reviewItem>
    <reviewItem>
      <errorID>5adda4bd-198d-44f8-8d89-0ac9b86bf7ba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2501D3F6</paraID>
      <start>0</start>
      <end>3</end>
      <status>unmodified</status>
      <modifiedWord/>
      <trackRevisions>false</trackRevisions>
    </reviewItem>
    <reviewItem>
      <errorID>81ac758f-f8df-46ca-87f2-d49ca194f4d7</errorID>
      <errorWord>法律、法规</errorWord>
      <group>L1_Word</group>
      <groupName>字词问题</groupName>
      <ability>L2_Typo</ability>
      <abilityName>字词错误</abilityName>
      <candidateList>
        <item>法律法规</item>
      </candidateList>
      <explain/>
      <paraID>1CC8099A</paraID>
      <start>3</start>
      <end>8</end>
      <status>unmodified</status>
      <modifiedWord/>
      <trackRevisions>false</trackRevisions>
    </reviewItem>
    <reviewItem>
      <errorID>516a31b9-f83e-4e99-b087-75a7fba1bed8</errorID>
      <errorWord>法律、法规</errorWord>
      <group>L1_Word</group>
      <groupName>字词问题</groupName>
      <ability>L2_Typo</ability>
      <abilityName>字词错误</abilityName>
      <candidateList>
        <item>法律法规</item>
      </candidateList>
      <explain/>
      <paraID>5D369F51</paraID>
      <start>4</start>
      <end>9</end>
      <status>unmodified</status>
      <modifiedWord/>
      <trackRevisions>false</trackRevisions>
    </reviewItem>
    <reviewItem>
      <errorID>b28f587f-e20c-47ab-ae13-7b35fa958f81</errorID>
      <errorWord>、直至</errorWord>
      <group>L1_Word</group>
      <groupName>字词问题</groupName>
      <ability>L2_Typo</ability>
      <abilityName>字词错误</abilityName>
      <candidateList>
        <item>直至</item>
      </candidateList>
      <explain/>
      <paraID> E12C97C</paraID>
      <start>46</start>
      <end>49</end>
      <status>unmodified</status>
      <modifiedWord/>
      <trackRevisions>false</trackRevisions>
    </reviewItem>
    <reviewItem>
      <errorID>11eeb2ee-9f90-4e2d-abe9-c178791c17b9</errorID>
      <errorWord>:</errorWord>
      <group>L1_Format</group>
      <groupName>格式问题</groupName>
      <ability>L2_HalfPunc</ability>
      <abilityName>全半角检查</abilityName>
      <candidateList>
        <item>：</item>
      </candidateList>
      <explain>文本全半角错误。</explain>
      <paraID>322F0C9E</paraID>
      <start>14</start>
      <end>15</end>
      <status>unmodified</status>
      <modifiedWord/>
      <trackRevisions>false</trackRevisions>
    </reviewItem>
    <reviewItem>
      <errorID>770c9d6d-6ca2-4684-8dc6-c3db6e186238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14358EBD</paraID>
      <start>0</start>
      <end>2</end>
      <status>unmodified</status>
      <modifiedWord/>
      <trackRevisions>false</trackRevisions>
    </reviewItem>
    <reviewItem>
      <errorID>967e1760-8eaf-4b6b-939a-0c6eaa490d52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65B1B037</paraID>
      <start>0</start>
      <end>2</end>
      <status>unmodified</status>
      <modifiedWord/>
      <trackRevisions>false</trackRevisions>
    </reviewItem>
    <reviewItem>
      <errorID>99aa9103-0758-4a3d-8a71-5b53cf980873</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6CC219BA</paraID>
      <start>0</start>
      <end>2</end>
      <status>unmodified</status>
      <modifiedWord/>
      <trackRevisions>false</trackRevisions>
    </reviewItem>
    <reviewItem>
      <errorID>0df36840-9e90-4470-9020-147c0b24bf96</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6D61D60D</paraID>
      <start>0</start>
      <end>2</end>
      <status>unmodified</status>
      <modifiedWord/>
      <trackRevisions>false</trackRevisions>
    </reviewItem>
    <reviewItem>
      <errorID>96de44ff-9d9d-44fb-bcd7-a31d264aa0b5</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36829B27</paraID>
      <start>0</start>
      <end>2</end>
      <status>unmodified</status>
      <modifiedWord/>
      <trackRevisions>false</trackRevisions>
    </reviewItem>
    <reviewItem>
      <errorID>d66efcf4-40aa-4b3b-9213-b0df0247127c</errorID>
      <errorWord>:</errorWord>
      <group>L1_Format</group>
      <groupName>格式问题</groupName>
      <ability>L2_HalfPunc</ability>
      <abilityName>全半角检查</abilityName>
      <candidateList>
        <item>：</item>
      </candidateList>
      <explain>文本全半角错误。</explain>
      <paraID>32E26C3D</paraID>
      <start>16</start>
      <end>17</end>
      <status>unmodified</status>
      <modifiedWord/>
      <trackRevisions>false</trackRevisions>
    </reviewItem>
    <reviewItem>
      <errorID>9fe64720-6912-4368-8db3-6faf5ec5cd4d</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12C48F08</paraID>
      <start>0</start>
      <end>2</end>
      <status>unmodified</status>
      <modifiedWord/>
      <trackRevisions>false</trackRevisions>
    </reviewItem>
    <reviewItem>
      <errorID>482bb355-fbed-4974-81f5-65fba254ca28</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5C4B8A48</paraID>
      <start>0</start>
      <end>2</end>
      <status>unmodified</status>
      <modifiedWord/>
      <trackRevisions>false</trackRevisions>
    </reviewItem>
    <reviewItem>
      <errorID>ce5bd63e-56ac-4cf5-ae4b-b54103912553</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68A538A2</paraID>
      <start>0</start>
      <end>2</end>
      <status>unmodified</status>
      <modifiedWord/>
      <trackRevisions>false</trackRevisions>
    </reviewItem>
    <reviewItem>
      <errorID>8eea29ce-b0b3-47e8-b194-bfd65735746b</errorID>
      <errorWord>)</errorWord>
      <group>L1_Format</group>
      <groupName>格式问题</groupName>
      <ability>L2_HalfPunc</ability>
      <abilityName>全半角检查</abilityName>
      <candidateList>
        <item>）</item>
      </candidateList>
      <explain>文本全半角错误。</explain>
      <paraID>6DB7C6B4</paraID>
      <start>21</start>
      <end>22</end>
      <status>unmodified</status>
      <modifiedWord/>
      <trackRevisions>false</trackRevisions>
    </reviewItem>
    <reviewItem>
      <errorID>497bd285-3c33-4d8b-a637-b0de80b5bb0f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2236F57C</paraID>
      <start>0</start>
      <end>2</end>
      <status>unmodified</status>
      <modifiedWord/>
      <trackRevisions>false</trackRevisions>
    </reviewItem>
    <reviewItem>
      <errorID>34b84207-121e-41e6-a1d1-dbf9b7e4ebb4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49768582</paraID>
      <start>0</start>
      <end>2</end>
      <status>unmodified</status>
      <modifiedWord/>
      <trackRevisions>false</trackRevisions>
    </reviewItem>
    <reviewItem>
      <errorID>f7c58d36-c949-41d0-b5ec-be0960e64f75</errorID>
      <errorWord>(</errorWord>
      <group>L1_Format</group>
      <groupName>格式问题</groupName>
      <ability>L2_HalfPunc</ability>
      <abilityName>全半角检查</abilityName>
      <candidateList>
        <item>（</item>
      </candidateList>
      <explain>文本全半角错误。</explain>
      <paraID>62ECA46A</paraID>
      <start>91</start>
      <end>92</end>
      <status>unmodified</status>
      <modifiedWord/>
      <trackRevisions>false</trackRevisions>
    </reviewItem>
    <reviewItem>
      <errorID>fa55c53e-f949-4275-939d-650314b05398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FD3F8FE</paraID>
      <start>0</start>
      <end>2</end>
      <status>unmodified</status>
      <modifiedWord/>
      <trackRevisions>false</trackRevisions>
    </reviewItem>
    <reviewItem>
      <errorID>a5a059c3-feed-425f-8b4a-6399c796d2f3</errorID>
      <errorWord>：）</errorWord>
      <group>L1_Punc</group>
      <groupName>标点问题</groupName>
      <ability>L2_Punc</ability>
      <abilityName>标点符号检查</abilityName>
      <candidateList>
        <item>）</item>
      </candidateList>
      <explain/>
      <paraID> FD3F8FE</paraID>
      <start>121</start>
      <end>123</end>
      <status>unmodified</status>
      <modifiedWord/>
      <trackRevisions>false</trackRevisions>
    </reviewItem>
    <reviewItem>
      <errorID>231a2dfd-ee16-4de5-b572-774baee5cf8f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78B62A8F</paraID>
      <start>0</start>
      <end>2</end>
      <status>unmodified</status>
      <modifiedWord/>
      <trackRevisions>false</trackRevisions>
    </reviewItem>
    <reviewItem>
      <errorID>5a87d4b2-1aa2-4712-9534-68f81a6fd3a8</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7F8B9A1E</paraID>
      <start>0</start>
      <end>2</end>
      <status>unmodified</status>
      <modifiedWord/>
      <trackRevisions>false</trackRevisions>
    </reviewItem>
    <reviewItem>
      <errorID>14233be1-93e1-4e15-87ab-5137e4a54a1d</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29A47FF0</paraID>
      <start>0</start>
      <end>2</end>
      <status>unmodified</status>
      <modifiedWord/>
      <trackRevisions>false</trackRevisions>
    </reviewItem>
    <reviewItem>
      <errorID>4c14fcfd-a84f-4e8d-b2cc-14464199be31</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26CCEA96</paraID>
      <start>0</start>
      <end>2</end>
      <status>unmodified</status>
      <modifiedWord/>
      <trackRevisions>false</trackRevisions>
    </reviewItem>
    <reviewItem>
      <errorID>0cf11b63-02b3-4cae-a815-45c64518b027</errorID>
      <errorWord>规划</errorWord>
      <group>L1_Grammar</group>
      <groupName>语法问题</groupName>
      <ability>L2_Grammar</ability>
      <abilityName>语法错误</abilityName>
      <candidateList>
        <item>建设</item>
      </candidateList>
      <explain>“规划～经济”搭配不当，建议修改为“建设～经济”。</explain>
      <paraID> 5CCB659</paraID>
      <start>0</start>
      <end>2</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ba64131-b2c3-4c90-841a-3b61e4d5dfa2}">
  <ds:schemaRefs/>
</ds:datastoreItem>
</file>

<file path=docProps/app.xml><?xml version="1.0" encoding="utf-8"?>
<Properties xmlns="http://schemas.openxmlformats.org/officeDocument/2006/extended-properties" xmlns:vt="http://schemas.openxmlformats.org/officeDocument/2006/docPropsVTypes">
  <Template>Normal</Template>
  <Pages>37</Pages>
  <Words>17587</Words>
  <Characters>18537</Characters>
  <Lines>171</Lines>
  <Paragraphs>48</Paragraphs>
  <TotalTime>21</TotalTime>
  <ScaleCrop>false</ScaleCrop>
  <LinksUpToDate>false</LinksUpToDate>
  <CharactersWithSpaces>20276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2026-04-13T11:39:00Z</dcterms:created>
  <dc:creator>微软用户</dc:creator>
  <cp:lastModifiedBy>徐川</cp:lastModifiedBy>
  <cp:lastPrinted>2026-02-27T15:49:00Z</cp:lastPrinted>
  <dcterms:modified xsi:type="dcterms:W3CDTF">2026-04-15T09:52:48Z</dcterms:modified>
  <dc:title>花亭路等道路绿化工程苗木比价采购</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F5CCA216AAB84863AF4CA110FF099679_13</vt:lpwstr>
  </property>
  <property fmtid="{D5CDD505-2E9C-101B-9397-08002B2CF9AE}" pid="4" name="KSOTemplateDocerSaveRecord">
    <vt:lpwstr>eyJoZGlkIjoiZWIyYTkxYWMwZmMyYTc0NDcxNzE0MGFlOTUzMjFjNjQiLCJ1c2VySWQiOiIxNTE5MTYzNDA5In0=</vt:lpwstr>
  </property>
</Properties>
</file>