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24"/>
        </w:rPr>
      </w:pPr>
      <w:r>
        <w:rPr>
          <w:rFonts w:hint="eastAsia" w:ascii="仿宋_GB2312" w:hAnsi="宋体" w:eastAsia="仿宋_GB2312" w:cs="宋体"/>
          <w:b/>
          <w:bCs/>
          <w:color w:val="000000"/>
          <w:kern w:val="0"/>
          <w:sz w:val="32"/>
          <w:szCs w:val="32"/>
        </w:rPr>
        <w:t>最高投标限价编制说明</w:t>
      </w:r>
    </w:p>
    <w:p>
      <w:pPr>
        <w:spacing w:line="360" w:lineRule="auto"/>
        <w:rPr>
          <w:rFonts w:hint="eastAsia" w:ascii="仿宋_GB2312" w:hAnsi="宋体" w:eastAsia="仿宋_GB2312"/>
          <w:b/>
          <w:sz w:val="24"/>
        </w:rPr>
      </w:pPr>
      <w:r>
        <w:rPr>
          <w:rFonts w:hint="eastAsia" w:ascii="仿宋_GB2312" w:hAnsi="宋体" w:eastAsia="仿宋_GB2312"/>
          <w:b/>
          <w:sz w:val="24"/>
        </w:rPr>
        <w:t>一、工程概况</w:t>
      </w:r>
    </w:p>
    <w:p>
      <w:pPr>
        <w:keepNext w:val="0"/>
        <w:keepLines w:val="0"/>
        <w:widowControl/>
        <w:suppressLineNumbers w:val="0"/>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工程名称：万达广场北侧便民疏导点大棚加固项目 ，本项目位于滁州市,主要内容为：新增钢柱、支撑、基础、预埋件、防火涂料等。</w:t>
      </w:r>
    </w:p>
    <w:p>
      <w:pPr>
        <w:spacing w:line="520" w:lineRule="exac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二、编制范围</w:t>
      </w:r>
    </w:p>
    <w:p>
      <w:pPr>
        <w:pStyle w:val="17"/>
        <w:widowControl/>
        <w:spacing w:beforeAutospacing="0" w:afterAutospacing="0" w:line="440" w:lineRule="exact"/>
        <w:ind w:firstLine="480" w:firstLineChars="200"/>
        <w:rPr>
          <w:rFonts w:hint="eastAsia" w:ascii="仿宋" w:hAnsi="仿宋" w:eastAsia="仿宋" w:cs="仿宋"/>
          <w:kern w:val="2"/>
        </w:rPr>
      </w:pPr>
      <w:r>
        <w:rPr>
          <w:rFonts w:hint="eastAsia" w:ascii="仿宋" w:hAnsi="仿宋" w:eastAsia="仿宋" w:cs="仿宋"/>
          <w:kern w:val="2"/>
        </w:rPr>
        <w:t>编制范围：</w:t>
      </w:r>
      <w:r>
        <w:rPr>
          <w:rFonts w:hint="eastAsia" w:ascii="仿宋" w:hAnsi="仿宋" w:eastAsia="仿宋" w:cs="仿宋"/>
          <w:kern w:val="2"/>
          <w:lang w:val="en-US" w:eastAsia="zh-CN"/>
        </w:rPr>
        <w:t>万达广场北侧便民疏导点大棚加固项目</w:t>
      </w:r>
      <w:r>
        <w:rPr>
          <w:rFonts w:hint="eastAsia" w:ascii="仿宋" w:hAnsi="仿宋" w:eastAsia="仿宋" w:cs="仿宋"/>
          <w:kern w:val="2"/>
        </w:rPr>
        <w:t>图纸全部内容。</w:t>
      </w:r>
    </w:p>
    <w:p>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三、</w:t>
      </w:r>
      <w:r>
        <w:rPr>
          <w:rFonts w:hint="eastAsia" w:ascii="宋体" w:hAnsi="宋体" w:cs="宋体"/>
          <w:b/>
          <w:sz w:val="24"/>
        </w:rPr>
        <w:t>最高投标限价编制依据</w:t>
      </w:r>
      <w:r>
        <w:rPr>
          <w:rFonts w:hint="eastAsia" w:asciiTheme="minorEastAsia" w:hAnsiTheme="minorEastAsia" w:eastAsiaTheme="minorEastAsia" w:cstheme="minorEastAsia"/>
          <w:sz w:val="24"/>
        </w:rPr>
        <w:t>：</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1、依据招标人提供的招标文件、施工图纸和本工程招标清单中所有内容；</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2、《建设工程工程量清单计价规范》(GB50500-2013)；</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3、2018版《安徽省建设工程工程量清单计价办法》；</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4、2018版《安徽省建设工程费用定额》；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5、2018版《安徽省建设工程施工机械台班费用编制规则》；</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6、2018版安徽省建设工程计价依据</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（1）《安徽省建设工程计价定额（共用册）》；</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（2）《安徽省建筑工程计价定额》；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（3）《安徽省装饰工程计价定额》；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（4）《安徽省安装工程计价定额》；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（5）《安徽省市政工程计价定额》；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（6）《安徽省园林绿化工程计价定额》；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（7）《安徽省房屋修缮工程计价定额》；</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8、省、市截止2025年</w:t>
      </w:r>
      <w:r>
        <w:rPr>
          <w:rFonts w:hint="eastAsia" w:ascii="仿宋" w:hAnsi="仿宋" w:eastAsia="仿宋" w:cs="仿宋"/>
          <w:sz w:val="24"/>
          <w:lang w:val="en-US" w:eastAsia="zh-CN"/>
        </w:rPr>
        <w:t>12</w:t>
      </w:r>
      <w:r>
        <w:rPr>
          <w:rFonts w:hint="eastAsia" w:ascii="仿宋" w:hAnsi="仿宋" w:eastAsia="仿宋" w:cs="仿宋"/>
          <w:sz w:val="24"/>
        </w:rPr>
        <w:t>月的有关政策性文件。</w:t>
      </w:r>
    </w:p>
    <w:p>
      <w:pPr>
        <w:spacing w:line="440" w:lineRule="exact"/>
        <w:rPr>
          <w:rFonts w:hint="eastAsia" w:ascii="宋体" w:hAnsi="宋体" w:cs="宋体"/>
          <w:b/>
          <w:bCs/>
          <w:kern w:val="0"/>
          <w:sz w:val="24"/>
        </w:rPr>
      </w:pPr>
      <w:r>
        <w:rPr>
          <w:rFonts w:hint="eastAsia" w:ascii="宋体" w:hAnsi="宋体" w:cs="宋体"/>
          <w:b/>
          <w:bCs/>
          <w:kern w:val="0"/>
          <w:sz w:val="24"/>
        </w:rPr>
        <w:t>四、取费标准：</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1、执行《安徽省建设工程计价依据动态调整(第1期)》；</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2、税金执行造价【2019】7号文件按9%计入；</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3、不可竞争费文件执行造价[2021]42号；</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4、人工费按照《滁州市工程造价信息》按157元/工日计入。</w:t>
      </w:r>
    </w:p>
    <w:p>
      <w:pPr>
        <w:pStyle w:val="17"/>
        <w:widowControl/>
        <w:spacing w:beforeAutospacing="0" w:afterAutospacing="0" w:line="440" w:lineRule="exact"/>
        <w:rPr>
          <w:rFonts w:hint="eastAsia" w:ascii="宋体" w:hAnsi="宋体" w:cs="宋体"/>
          <w:b/>
          <w:bCs/>
        </w:rPr>
      </w:pPr>
      <w:r>
        <w:rPr>
          <w:rFonts w:hint="eastAsia" w:ascii="宋体" w:hAnsi="宋体" w:cs="宋体"/>
          <w:b/>
          <w:bCs/>
        </w:rPr>
        <w:t>五、材料价格：</w:t>
      </w:r>
    </w:p>
    <w:p>
      <w:pPr>
        <w:pStyle w:val="17"/>
        <w:widowControl/>
        <w:spacing w:beforeAutospacing="0" w:afterAutospacing="0" w:line="440" w:lineRule="exact"/>
        <w:ind w:firstLine="480" w:firstLineChars="200"/>
        <w:rPr>
          <w:rFonts w:hint="eastAsia" w:ascii="仿宋" w:hAnsi="仿宋" w:eastAsia="仿宋" w:cs="仿宋"/>
          <w:kern w:val="2"/>
        </w:rPr>
      </w:pPr>
      <w:r>
        <w:rPr>
          <w:rFonts w:hint="eastAsia" w:ascii="仿宋" w:hAnsi="仿宋" w:eastAsia="仿宋" w:cs="仿宋"/>
          <w:kern w:val="2"/>
        </w:rPr>
        <w:t>按2025年第</w:t>
      </w:r>
      <w:r>
        <w:rPr>
          <w:rFonts w:hint="eastAsia" w:ascii="仿宋" w:hAnsi="仿宋" w:eastAsia="仿宋" w:cs="仿宋"/>
          <w:kern w:val="2"/>
          <w:lang w:val="en-US" w:eastAsia="zh-CN"/>
        </w:rPr>
        <w:t>11</w:t>
      </w:r>
      <w:r>
        <w:rPr>
          <w:rFonts w:hint="eastAsia" w:ascii="仿宋" w:hAnsi="仿宋" w:eastAsia="仿宋" w:cs="仿宋"/>
          <w:kern w:val="2"/>
        </w:rPr>
        <w:t>期滁州信息价（不含税价格），滁州信息价没有的材料价格参考合肥同期信息价，合肥信息价也没有的市场询价综合考虑计入本次控制价。</w:t>
      </w:r>
    </w:p>
    <w:p>
      <w:pPr>
        <w:spacing w:line="520" w:lineRule="exact"/>
        <w:rPr>
          <w:rFonts w:hint="eastAsia" w:ascii="宋体" w:hAnsi="宋体" w:cs="宋体"/>
          <w:b/>
          <w:bCs/>
          <w:sz w:val="24"/>
        </w:rPr>
      </w:pPr>
      <w:r>
        <w:rPr>
          <w:rFonts w:hint="eastAsia" w:ascii="宋体" w:hAnsi="宋体" w:cs="宋体"/>
          <w:b/>
          <w:bCs/>
          <w:sz w:val="24"/>
        </w:rPr>
        <w:t>六、编制说明：</w:t>
      </w:r>
    </w:p>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bookmarkStart w:id="0" w:name="_Hlk164517072"/>
      <w:bookmarkStart w:id="1" w:name="_Hlk164517056"/>
      <w:bookmarkStart w:id="2" w:name="_Hlk201138390"/>
      <w:r>
        <w:rPr>
          <w:rFonts w:hint="eastAsia" w:ascii="仿宋" w:hAnsi="仿宋" w:eastAsia="仿宋" w:cs="仿宋"/>
          <w:kern w:val="2"/>
        </w:rPr>
        <w:t>工程量清单列出的每个项目已包括涉及与该细目有关的全部工程内容，投标人应将工程量清单与合同通用条款、专用条款以及技术规范和图纸一起对照阅读；</w:t>
      </w:r>
    </w:p>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r>
        <w:rPr>
          <w:rFonts w:hint="eastAsia" w:ascii="仿宋" w:hAnsi="仿宋" w:eastAsia="仿宋" w:cs="仿宋"/>
          <w:kern w:val="2"/>
        </w:rPr>
        <w:t>除非合同另有规定，综合单价均应已包括完成相应该项目的工程内容所需的所有人工、设备、材料和其他伴随服务所发生的所有费用；</w:t>
      </w:r>
    </w:p>
    <w:bookmarkEnd w:id="0"/>
    <w:bookmarkEnd w:id="1"/>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bookmarkStart w:id="3" w:name="_Hlk164521015"/>
      <w:r>
        <w:rPr>
          <w:rFonts w:hint="eastAsia" w:ascii="仿宋" w:hAnsi="仿宋" w:eastAsia="仿宋" w:cs="仿宋"/>
          <w:kern w:val="2"/>
          <w:lang w:val="en-US" w:eastAsia="zh-CN"/>
        </w:rPr>
        <w:t>土方弃置及建筑垃圾弃置</w:t>
      </w:r>
      <w:r>
        <w:rPr>
          <w:rFonts w:hint="eastAsia" w:ascii="仿宋" w:hAnsi="仿宋" w:eastAsia="仿宋" w:cs="仿宋"/>
          <w:kern w:val="2"/>
        </w:rPr>
        <w:t>运距按</w:t>
      </w:r>
      <w:r>
        <w:rPr>
          <w:rFonts w:hint="eastAsia" w:ascii="仿宋" w:hAnsi="仿宋" w:eastAsia="仿宋" w:cs="仿宋"/>
          <w:kern w:val="2"/>
          <w:lang w:val="en-US" w:eastAsia="zh-CN"/>
        </w:rPr>
        <w:t>5</w:t>
      </w:r>
      <w:r>
        <w:rPr>
          <w:rFonts w:hint="eastAsia" w:ascii="仿宋" w:hAnsi="仿宋" w:eastAsia="仿宋" w:cs="仿宋"/>
          <w:kern w:val="2"/>
        </w:rPr>
        <w:t>km计算，投标人自行确定运距，自行确定</w:t>
      </w:r>
      <w:r>
        <w:rPr>
          <w:rFonts w:hint="eastAsia" w:ascii="仿宋" w:hAnsi="仿宋" w:eastAsia="仿宋" w:cs="仿宋"/>
          <w:kern w:val="2"/>
          <w:lang w:val="en-US" w:eastAsia="zh-CN"/>
        </w:rPr>
        <w:t>土方外运、</w:t>
      </w:r>
      <w:r>
        <w:rPr>
          <w:rFonts w:hint="eastAsia" w:ascii="仿宋" w:hAnsi="仿宋" w:eastAsia="仿宋" w:cs="仿宋"/>
          <w:kern w:val="2"/>
        </w:rPr>
        <w:t>建筑垃圾弃置场地、弃置费等，结算时不调整，投标报价均包含上述费用，工程结算时单价不予调整；</w:t>
      </w:r>
    </w:p>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bookmarkStart w:id="4" w:name="_Hlk164521028"/>
      <w:r>
        <w:rPr>
          <w:rFonts w:hint="eastAsia" w:ascii="仿宋" w:hAnsi="仿宋" w:eastAsia="仿宋" w:cs="仿宋"/>
          <w:kern w:val="2"/>
        </w:rPr>
        <w:t>本工程拆除工程施工时应做好其他原建筑物保护，如施工造成的建筑物破损、损坏等，施工单位应按原状恢复；</w:t>
      </w:r>
    </w:p>
    <w:bookmarkEnd w:id="2"/>
    <w:bookmarkEnd w:id="3"/>
    <w:bookmarkEnd w:id="4"/>
    <w:p>
      <w:pPr>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七、暂列金额及专业工程暂估价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本项目暂列金额</w:t>
      </w:r>
      <w:r>
        <w:rPr>
          <w:rFonts w:hint="eastAsia" w:ascii="仿宋" w:hAnsi="仿宋" w:eastAsia="仿宋" w:cs="仿宋"/>
          <w:sz w:val="24"/>
          <w:lang w:val="en-US" w:eastAsia="zh-CN"/>
        </w:rPr>
        <w:t>1.2</w:t>
      </w:r>
      <w:r>
        <w:rPr>
          <w:rFonts w:hint="eastAsia" w:ascii="仿宋" w:hAnsi="仿宋" w:eastAsia="仿宋" w:cs="仿宋"/>
          <w:sz w:val="24"/>
        </w:rPr>
        <w:t>万元、专业工程暂估价0万元。</w:t>
      </w:r>
    </w:p>
    <w:p>
      <w:pPr>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八、编制结论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最高投标限价小写：189647.62元，大写：</w:t>
      </w:r>
      <w:r>
        <w:rPr>
          <w:rFonts w:hint="eastAsia" w:ascii="仿宋" w:hAnsi="仿宋" w:eastAsia="仿宋" w:cs="仿宋"/>
          <w:sz w:val="24"/>
          <w:lang w:val="en-US" w:eastAsia="zh-CN"/>
        </w:rPr>
        <w:t>壹拾捌万玖仟陆佰肆拾柒元陆角贰分</w:t>
      </w:r>
      <w:r>
        <w:rPr>
          <w:rFonts w:hint="eastAsia" w:ascii="仿宋" w:hAnsi="仿宋" w:eastAsia="仿宋" w:cs="仿宋"/>
          <w:sz w:val="24"/>
        </w:rPr>
        <w:t xml:space="preserve">。 </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w:t>
      </w:r>
    </w:p>
    <w:p>
      <w:pPr>
        <w:pStyle w:val="2"/>
        <w:rPr>
          <w:rFonts w:hint="eastAsia" w:ascii="仿宋" w:hAnsi="仿宋" w:eastAsia="仿宋" w:cs="仿宋"/>
          <w:sz w:val="24"/>
        </w:rPr>
      </w:pPr>
    </w:p>
    <w:p>
      <w:pPr>
        <w:rPr>
          <w:rFonts w:hint="eastAsia" w:ascii="仿宋" w:hAnsi="仿宋" w:eastAsia="仿宋" w:cs="仿宋"/>
          <w:sz w:val="24"/>
        </w:rPr>
      </w:pPr>
    </w:p>
    <w:p>
      <w:pPr>
        <w:jc w:val="right"/>
        <w:rPr>
          <w:rFonts w:eastAsia="仿宋"/>
        </w:rPr>
      </w:pPr>
      <w:bookmarkStart w:id="5" w:name="_GoBack"/>
      <w:bookmarkEnd w:id="5"/>
      <w:r>
        <w:rPr>
          <w:rFonts w:hint="eastAsia" w:ascii="仿宋" w:hAnsi="仿宋" w:eastAsia="仿宋" w:cs="仿宋"/>
          <w:sz w:val="24"/>
        </w:rPr>
        <w:t>2025年</w:t>
      </w:r>
      <w:r>
        <w:rPr>
          <w:rFonts w:hint="eastAsia" w:ascii="仿宋" w:hAnsi="仿宋" w:eastAsia="仿宋" w:cs="仿宋"/>
          <w:sz w:val="24"/>
          <w:lang w:val="en-US" w:eastAsia="zh-CN"/>
        </w:rPr>
        <w:t>12</w:t>
      </w:r>
      <w:r>
        <w:rPr>
          <w:rFonts w:hint="eastAsia" w:ascii="仿宋" w:hAnsi="仿宋" w:eastAsia="仿宋" w:cs="仿宋"/>
          <w:sz w:val="24"/>
        </w:rPr>
        <w:t>月</w:t>
      </w:r>
      <w:r>
        <w:rPr>
          <w:rFonts w:hint="eastAsia" w:ascii="仿宋" w:hAnsi="仿宋" w:eastAsia="仿宋" w:cs="仿宋"/>
          <w:sz w:val="24"/>
          <w:lang w:val="en-US" w:eastAsia="zh-CN"/>
        </w:rPr>
        <w:t>26</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0D1CF"/>
    <w:multiLevelType w:val="singleLevel"/>
    <w:tmpl w:val="0490D1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k1NjU2YWEwZTg5NWUwOGE4MzE4ZDI0MjU5OWMzNGEifQ=="/>
    <w:docVar w:name="KSO_WPS_MARK_KEY" w:val="cf7e49e9-a102-4f1e-b188-b3851657f9f9"/>
  </w:docVars>
  <w:rsids>
    <w:rsidRoot w:val="00912A44"/>
    <w:rsid w:val="000573A6"/>
    <w:rsid w:val="0009689C"/>
    <w:rsid w:val="000A7180"/>
    <w:rsid w:val="000B3241"/>
    <w:rsid w:val="000D36D8"/>
    <w:rsid w:val="000E1730"/>
    <w:rsid w:val="000F14CD"/>
    <w:rsid w:val="00101EB3"/>
    <w:rsid w:val="001526C9"/>
    <w:rsid w:val="001812A7"/>
    <w:rsid w:val="00206E58"/>
    <w:rsid w:val="00237C18"/>
    <w:rsid w:val="002423B9"/>
    <w:rsid w:val="00251BBC"/>
    <w:rsid w:val="00263AD3"/>
    <w:rsid w:val="00285433"/>
    <w:rsid w:val="002C1F12"/>
    <w:rsid w:val="002E34D9"/>
    <w:rsid w:val="0032709A"/>
    <w:rsid w:val="0036201A"/>
    <w:rsid w:val="00443753"/>
    <w:rsid w:val="004500C1"/>
    <w:rsid w:val="00494500"/>
    <w:rsid w:val="004C32E4"/>
    <w:rsid w:val="0052000B"/>
    <w:rsid w:val="0056400C"/>
    <w:rsid w:val="006123C3"/>
    <w:rsid w:val="00617511"/>
    <w:rsid w:val="00620BE2"/>
    <w:rsid w:val="006464B0"/>
    <w:rsid w:val="00650E55"/>
    <w:rsid w:val="00661E74"/>
    <w:rsid w:val="006807BA"/>
    <w:rsid w:val="006C5349"/>
    <w:rsid w:val="00705603"/>
    <w:rsid w:val="00715763"/>
    <w:rsid w:val="00746723"/>
    <w:rsid w:val="00752FAF"/>
    <w:rsid w:val="007675E6"/>
    <w:rsid w:val="0077585B"/>
    <w:rsid w:val="007B3E86"/>
    <w:rsid w:val="007C6BEB"/>
    <w:rsid w:val="00821A4E"/>
    <w:rsid w:val="00847B30"/>
    <w:rsid w:val="008B450A"/>
    <w:rsid w:val="00912A44"/>
    <w:rsid w:val="009328BA"/>
    <w:rsid w:val="009347B0"/>
    <w:rsid w:val="009A3AF1"/>
    <w:rsid w:val="009C1456"/>
    <w:rsid w:val="009C2934"/>
    <w:rsid w:val="009C35D7"/>
    <w:rsid w:val="009D0BF8"/>
    <w:rsid w:val="009D2C84"/>
    <w:rsid w:val="00A114DC"/>
    <w:rsid w:val="00A476F5"/>
    <w:rsid w:val="00AD574A"/>
    <w:rsid w:val="00AF1115"/>
    <w:rsid w:val="00B03D07"/>
    <w:rsid w:val="00B31878"/>
    <w:rsid w:val="00B56AC1"/>
    <w:rsid w:val="00B765B2"/>
    <w:rsid w:val="00BB1B65"/>
    <w:rsid w:val="00BB1C51"/>
    <w:rsid w:val="00C306C9"/>
    <w:rsid w:val="00C30895"/>
    <w:rsid w:val="00C46D72"/>
    <w:rsid w:val="00D01CBF"/>
    <w:rsid w:val="00D1717B"/>
    <w:rsid w:val="00D1797D"/>
    <w:rsid w:val="00D566CA"/>
    <w:rsid w:val="00DA10C6"/>
    <w:rsid w:val="00DB57AD"/>
    <w:rsid w:val="00E164E6"/>
    <w:rsid w:val="00E24EF4"/>
    <w:rsid w:val="00E97B44"/>
    <w:rsid w:val="00ED1E53"/>
    <w:rsid w:val="00EE1492"/>
    <w:rsid w:val="00F074FF"/>
    <w:rsid w:val="00F11018"/>
    <w:rsid w:val="00F14E70"/>
    <w:rsid w:val="00F34D82"/>
    <w:rsid w:val="00FB058F"/>
    <w:rsid w:val="00FE7141"/>
    <w:rsid w:val="025F5E6B"/>
    <w:rsid w:val="02BE65C6"/>
    <w:rsid w:val="02E031C7"/>
    <w:rsid w:val="04233EDB"/>
    <w:rsid w:val="04710886"/>
    <w:rsid w:val="048C2CF2"/>
    <w:rsid w:val="04E96791"/>
    <w:rsid w:val="04F74542"/>
    <w:rsid w:val="04F9596A"/>
    <w:rsid w:val="051A04B6"/>
    <w:rsid w:val="0558691B"/>
    <w:rsid w:val="057534A8"/>
    <w:rsid w:val="05A866A1"/>
    <w:rsid w:val="062F6EE0"/>
    <w:rsid w:val="06595702"/>
    <w:rsid w:val="06A7239F"/>
    <w:rsid w:val="06B74EC6"/>
    <w:rsid w:val="08713341"/>
    <w:rsid w:val="08F655F4"/>
    <w:rsid w:val="091A7535"/>
    <w:rsid w:val="0B052B16"/>
    <w:rsid w:val="0B0E45DB"/>
    <w:rsid w:val="0B70168E"/>
    <w:rsid w:val="0B93580C"/>
    <w:rsid w:val="0BBC2A21"/>
    <w:rsid w:val="0BBE064B"/>
    <w:rsid w:val="0BC66564"/>
    <w:rsid w:val="0C1D5606"/>
    <w:rsid w:val="0C3954D4"/>
    <w:rsid w:val="0C420457"/>
    <w:rsid w:val="0C6E2D49"/>
    <w:rsid w:val="0D2E3E1D"/>
    <w:rsid w:val="0D364D6D"/>
    <w:rsid w:val="0D365F0E"/>
    <w:rsid w:val="0D4C13CD"/>
    <w:rsid w:val="0DE95727"/>
    <w:rsid w:val="0FAB7138"/>
    <w:rsid w:val="0FF95498"/>
    <w:rsid w:val="10730933"/>
    <w:rsid w:val="10BA5B9A"/>
    <w:rsid w:val="10C502F0"/>
    <w:rsid w:val="10FD06A8"/>
    <w:rsid w:val="117A14B8"/>
    <w:rsid w:val="11C72224"/>
    <w:rsid w:val="12044D63"/>
    <w:rsid w:val="12103BCB"/>
    <w:rsid w:val="12BA5CE6"/>
    <w:rsid w:val="12D81AC0"/>
    <w:rsid w:val="12E00C08"/>
    <w:rsid w:val="133B7529"/>
    <w:rsid w:val="13D413DF"/>
    <w:rsid w:val="14182B27"/>
    <w:rsid w:val="14CB3884"/>
    <w:rsid w:val="14ED6343"/>
    <w:rsid w:val="15AF7016"/>
    <w:rsid w:val="15C5065C"/>
    <w:rsid w:val="17FB294F"/>
    <w:rsid w:val="18786C87"/>
    <w:rsid w:val="19286289"/>
    <w:rsid w:val="1AB22AC3"/>
    <w:rsid w:val="1AC669C5"/>
    <w:rsid w:val="1B883BFA"/>
    <w:rsid w:val="1BCC3B0F"/>
    <w:rsid w:val="1C9C6787"/>
    <w:rsid w:val="1CE61C7E"/>
    <w:rsid w:val="1D101863"/>
    <w:rsid w:val="1D786740"/>
    <w:rsid w:val="1E016059"/>
    <w:rsid w:val="1E671D89"/>
    <w:rsid w:val="1E6A6411"/>
    <w:rsid w:val="1F46413A"/>
    <w:rsid w:val="20170D02"/>
    <w:rsid w:val="214712D7"/>
    <w:rsid w:val="216158DD"/>
    <w:rsid w:val="21986940"/>
    <w:rsid w:val="21F55869"/>
    <w:rsid w:val="222F7FAB"/>
    <w:rsid w:val="22490ADA"/>
    <w:rsid w:val="22D81928"/>
    <w:rsid w:val="22D94C19"/>
    <w:rsid w:val="230D426F"/>
    <w:rsid w:val="23433B63"/>
    <w:rsid w:val="239879A2"/>
    <w:rsid w:val="23A36468"/>
    <w:rsid w:val="23A74B25"/>
    <w:rsid w:val="24390D5F"/>
    <w:rsid w:val="252C2672"/>
    <w:rsid w:val="26A14D0A"/>
    <w:rsid w:val="26F13F98"/>
    <w:rsid w:val="27586F25"/>
    <w:rsid w:val="286D7528"/>
    <w:rsid w:val="28766E96"/>
    <w:rsid w:val="28883872"/>
    <w:rsid w:val="29235B3A"/>
    <w:rsid w:val="2987267E"/>
    <w:rsid w:val="299B081E"/>
    <w:rsid w:val="2A010115"/>
    <w:rsid w:val="2AB473E3"/>
    <w:rsid w:val="2AC4222E"/>
    <w:rsid w:val="2B052A81"/>
    <w:rsid w:val="2B150A38"/>
    <w:rsid w:val="2BC36CD5"/>
    <w:rsid w:val="2BFD0848"/>
    <w:rsid w:val="2C6A4377"/>
    <w:rsid w:val="2D577CE8"/>
    <w:rsid w:val="2D7E28F3"/>
    <w:rsid w:val="2D935407"/>
    <w:rsid w:val="2EB84112"/>
    <w:rsid w:val="2FC531EA"/>
    <w:rsid w:val="310B51BE"/>
    <w:rsid w:val="31101099"/>
    <w:rsid w:val="31972760"/>
    <w:rsid w:val="31DE5646"/>
    <w:rsid w:val="322357A1"/>
    <w:rsid w:val="322A618B"/>
    <w:rsid w:val="32494CEE"/>
    <w:rsid w:val="325F3A08"/>
    <w:rsid w:val="32872256"/>
    <w:rsid w:val="344F20D8"/>
    <w:rsid w:val="34991A91"/>
    <w:rsid w:val="3589141A"/>
    <w:rsid w:val="359E29CA"/>
    <w:rsid w:val="362A3F38"/>
    <w:rsid w:val="365A504C"/>
    <w:rsid w:val="368D0A96"/>
    <w:rsid w:val="37A524F8"/>
    <w:rsid w:val="38804D57"/>
    <w:rsid w:val="3A570EEA"/>
    <w:rsid w:val="3A85157A"/>
    <w:rsid w:val="3AE3016D"/>
    <w:rsid w:val="3AFE5F43"/>
    <w:rsid w:val="3B8A44AF"/>
    <w:rsid w:val="3BCB62A6"/>
    <w:rsid w:val="3C3D7AFF"/>
    <w:rsid w:val="3CA53FC3"/>
    <w:rsid w:val="3DA65E28"/>
    <w:rsid w:val="3E7C6B8A"/>
    <w:rsid w:val="405E4C20"/>
    <w:rsid w:val="40713985"/>
    <w:rsid w:val="40D32442"/>
    <w:rsid w:val="415C5B72"/>
    <w:rsid w:val="418A09F4"/>
    <w:rsid w:val="42002CDB"/>
    <w:rsid w:val="432D2338"/>
    <w:rsid w:val="441659FF"/>
    <w:rsid w:val="443E6856"/>
    <w:rsid w:val="4497183B"/>
    <w:rsid w:val="44C52EFC"/>
    <w:rsid w:val="45B20A8F"/>
    <w:rsid w:val="46B569DA"/>
    <w:rsid w:val="479003E6"/>
    <w:rsid w:val="47E726FC"/>
    <w:rsid w:val="490307A7"/>
    <w:rsid w:val="49A865D3"/>
    <w:rsid w:val="4AE86F32"/>
    <w:rsid w:val="4B3724BB"/>
    <w:rsid w:val="4B80075D"/>
    <w:rsid w:val="4BFB532D"/>
    <w:rsid w:val="4CCA3BA9"/>
    <w:rsid w:val="4CCB6D49"/>
    <w:rsid w:val="4D072910"/>
    <w:rsid w:val="4D115A20"/>
    <w:rsid w:val="4DB67604"/>
    <w:rsid w:val="4E5C386E"/>
    <w:rsid w:val="4EC352C6"/>
    <w:rsid w:val="4EF37883"/>
    <w:rsid w:val="4F251D5C"/>
    <w:rsid w:val="4F950654"/>
    <w:rsid w:val="4FC33721"/>
    <w:rsid w:val="4FC542D6"/>
    <w:rsid w:val="503209A0"/>
    <w:rsid w:val="50C755E3"/>
    <w:rsid w:val="514D7C78"/>
    <w:rsid w:val="516440DC"/>
    <w:rsid w:val="517E41AF"/>
    <w:rsid w:val="51C25A07"/>
    <w:rsid w:val="51CB51DB"/>
    <w:rsid w:val="51E54497"/>
    <w:rsid w:val="520E6AD8"/>
    <w:rsid w:val="5233019C"/>
    <w:rsid w:val="52623397"/>
    <w:rsid w:val="52B2497A"/>
    <w:rsid w:val="53402049"/>
    <w:rsid w:val="54FF3E42"/>
    <w:rsid w:val="550A578A"/>
    <w:rsid w:val="569E1F65"/>
    <w:rsid w:val="56BA0FDC"/>
    <w:rsid w:val="57C8653F"/>
    <w:rsid w:val="580A33C0"/>
    <w:rsid w:val="581540BD"/>
    <w:rsid w:val="58DE0B10"/>
    <w:rsid w:val="590F1857"/>
    <w:rsid w:val="593060C2"/>
    <w:rsid w:val="59A74B3D"/>
    <w:rsid w:val="5A39434D"/>
    <w:rsid w:val="5A9C5DB6"/>
    <w:rsid w:val="5B3B184B"/>
    <w:rsid w:val="5CE43D61"/>
    <w:rsid w:val="5D231B8B"/>
    <w:rsid w:val="5D420294"/>
    <w:rsid w:val="5EE66828"/>
    <w:rsid w:val="5FBE2F38"/>
    <w:rsid w:val="5FDE0C6D"/>
    <w:rsid w:val="6072561F"/>
    <w:rsid w:val="60AB7677"/>
    <w:rsid w:val="60C30AE4"/>
    <w:rsid w:val="61163C0C"/>
    <w:rsid w:val="631017F1"/>
    <w:rsid w:val="63544A9A"/>
    <w:rsid w:val="63624EAC"/>
    <w:rsid w:val="64F47002"/>
    <w:rsid w:val="657E123C"/>
    <w:rsid w:val="65960D62"/>
    <w:rsid w:val="661D1FE7"/>
    <w:rsid w:val="66787BF9"/>
    <w:rsid w:val="669716D4"/>
    <w:rsid w:val="673366EC"/>
    <w:rsid w:val="673441CB"/>
    <w:rsid w:val="68550B65"/>
    <w:rsid w:val="68E62BD5"/>
    <w:rsid w:val="691A06C6"/>
    <w:rsid w:val="6AB46045"/>
    <w:rsid w:val="6ABC2D30"/>
    <w:rsid w:val="6B0A2018"/>
    <w:rsid w:val="6B5C045C"/>
    <w:rsid w:val="6BEE2E0C"/>
    <w:rsid w:val="6C361AB7"/>
    <w:rsid w:val="6C801326"/>
    <w:rsid w:val="6D463EAB"/>
    <w:rsid w:val="6D466740"/>
    <w:rsid w:val="6EB4024E"/>
    <w:rsid w:val="6EF1212F"/>
    <w:rsid w:val="6FA06C08"/>
    <w:rsid w:val="70101F83"/>
    <w:rsid w:val="705B1CD4"/>
    <w:rsid w:val="70C97DF0"/>
    <w:rsid w:val="70D9318C"/>
    <w:rsid w:val="70DB62B7"/>
    <w:rsid w:val="71597A7D"/>
    <w:rsid w:val="71663887"/>
    <w:rsid w:val="71A4517F"/>
    <w:rsid w:val="720127B7"/>
    <w:rsid w:val="7212231F"/>
    <w:rsid w:val="723F0BC9"/>
    <w:rsid w:val="724369E1"/>
    <w:rsid w:val="73612AB3"/>
    <w:rsid w:val="73686789"/>
    <w:rsid w:val="73A3131E"/>
    <w:rsid w:val="73B2651C"/>
    <w:rsid w:val="74271BF7"/>
    <w:rsid w:val="74B2437C"/>
    <w:rsid w:val="75C041F2"/>
    <w:rsid w:val="76FE1523"/>
    <w:rsid w:val="77B85A14"/>
    <w:rsid w:val="785B04FA"/>
    <w:rsid w:val="78BD097C"/>
    <w:rsid w:val="7AB06C72"/>
    <w:rsid w:val="7C091598"/>
    <w:rsid w:val="7CD51E4B"/>
    <w:rsid w:val="7EFA4D5D"/>
    <w:rsid w:val="7EFB0260"/>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autoRedefine/>
    <w:qFormat/>
    <w:uiPriority w:val="0"/>
    <w:pPr>
      <w:keepNext/>
      <w:keepLines/>
      <w:spacing w:line="576" w:lineRule="auto"/>
      <w:outlineLvl w:val="0"/>
    </w:pPr>
    <w:rPr>
      <w:b/>
      <w:kern w:val="44"/>
      <w:sz w:val="44"/>
    </w:rPr>
  </w:style>
  <w:style w:type="paragraph" w:styleId="2">
    <w:name w:val="heading 2"/>
    <w:basedOn w:val="1"/>
    <w:next w:val="1"/>
    <w:link w:val="31"/>
    <w:autoRedefine/>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7"/>
    <w:autoRedefine/>
    <w:semiHidden/>
    <w:unhideWhenUsed/>
    <w:qFormat/>
    <w:uiPriority w:val="0"/>
    <w:pPr>
      <w:keepNext/>
      <w:keepLines/>
      <w:spacing w:line="413" w:lineRule="auto"/>
      <w:outlineLvl w:val="2"/>
    </w:pPr>
    <w:rPr>
      <w:b/>
      <w:sz w:val="32"/>
    </w:rPr>
  </w:style>
  <w:style w:type="paragraph" w:styleId="5">
    <w:name w:val="heading 4"/>
    <w:basedOn w:val="1"/>
    <w:next w:val="1"/>
    <w:link w:val="33"/>
    <w:autoRedefine/>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6">
    <w:name w:val="Body Text"/>
    <w:basedOn w:val="1"/>
    <w:link w:val="28"/>
    <w:autoRedefine/>
    <w:qFormat/>
    <w:uiPriority w:val="0"/>
  </w:style>
  <w:style w:type="paragraph" w:styleId="7">
    <w:name w:val="Body Text Indent"/>
    <w:basedOn w:val="1"/>
    <w:next w:val="8"/>
    <w:link w:val="32"/>
    <w:autoRedefine/>
    <w:qFormat/>
    <w:uiPriority w:val="0"/>
    <w:pPr>
      <w:ind w:left="420" w:leftChars="200"/>
    </w:pPr>
  </w:style>
  <w:style w:type="paragraph" w:styleId="8">
    <w:name w:val="envelope return"/>
    <w:basedOn w:val="1"/>
    <w:autoRedefine/>
    <w:qFormat/>
    <w:uiPriority w:val="0"/>
    <w:pPr>
      <w:snapToGrid w:val="0"/>
    </w:pPr>
    <w:rPr>
      <w:rFonts w:ascii="Arial" w:hAnsi="Arial"/>
    </w:rPr>
  </w:style>
  <w:style w:type="paragraph" w:styleId="9">
    <w:name w:val="Plain Text"/>
    <w:basedOn w:val="1"/>
    <w:link w:val="26"/>
    <w:autoRedefine/>
    <w:qFormat/>
    <w:uiPriority w:val="0"/>
    <w:rPr>
      <w:rFonts w:ascii="宋体" w:hAnsi="Courier New"/>
    </w:rPr>
  </w:style>
  <w:style w:type="paragraph" w:styleId="10">
    <w:name w:val="Date"/>
    <w:basedOn w:val="1"/>
    <w:next w:val="1"/>
    <w:link w:val="29"/>
    <w:autoRedefine/>
    <w:qFormat/>
    <w:uiPriority w:val="0"/>
    <w:pPr>
      <w:ind w:left="100" w:leftChars="2500"/>
    </w:pPr>
  </w:style>
  <w:style w:type="paragraph" w:styleId="11">
    <w:name w:val="Body Text Indent 2"/>
    <w:basedOn w:val="1"/>
    <w:link w:val="23"/>
    <w:autoRedefine/>
    <w:qFormat/>
    <w:uiPriority w:val="0"/>
    <w:pPr>
      <w:spacing w:line="480" w:lineRule="auto"/>
      <w:ind w:left="420" w:leftChars="200"/>
    </w:pPr>
  </w:style>
  <w:style w:type="paragraph" w:styleId="12">
    <w:name w:val="Balloon Text"/>
    <w:basedOn w:val="1"/>
    <w:link w:val="34"/>
    <w:autoRedefine/>
    <w:qFormat/>
    <w:uiPriority w:val="0"/>
    <w:rPr>
      <w:sz w:val="18"/>
    </w:rPr>
  </w:style>
  <w:style w:type="paragraph" w:styleId="13">
    <w:name w:val="footer"/>
    <w:basedOn w:val="1"/>
    <w:link w:val="37"/>
    <w:autoRedefine/>
    <w:qFormat/>
    <w:uiPriority w:val="0"/>
    <w:pPr>
      <w:tabs>
        <w:tab w:val="center" w:pos="4153"/>
        <w:tab w:val="right" w:pos="8306"/>
      </w:tabs>
      <w:snapToGrid w:val="0"/>
      <w:jc w:val="left"/>
    </w:pPr>
    <w:rPr>
      <w:sz w:val="18"/>
    </w:rPr>
  </w:style>
  <w:style w:type="paragraph" w:styleId="14">
    <w:name w:val="header"/>
    <w:basedOn w:val="1"/>
    <w:link w:val="35"/>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Body Text Indent 3"/>
    <w:basedOn w:val="1"/>
    <w:link w:val="30"/>
    <w:autoRedefine/>
    <w:qFormat/>
    <w:uiPriority w:val="0"/>
    <w:pPr>
      <w:ind w:left="420" w:leftChars="200"/>
    </w:pPr>
    <w:rPr>
      <w:sz w:val="16"/>
    </w:rPr>
  </w:style>
  <w:style w:type="paragraph" w:styleId="16">
    <w:name w:val="Body Text 2"/>
    <w:basedOn w:val="1"/>
    <w:link w:val="24"/>
    <w:autoRedefine/>
    <w:qFormat/>
    <w:uiPriority w:val="0"/>
    <w:pPr>
      <w:spacing w:line="480" w:lineRule="auto"/>
    </w:pPr>
  </w:style>
  <w:style w:type="paragraph" w:styleId="17">
    <w:name w:val="Normal (Web)"/>
    <w:basedOn w:val="1"/>
    <w:autoRedefine/>
    <w:qFormat/>
    <w:uiPriority w:val="0"/>
    <w:pPr>
      <w:spacing w:beforeAutospacing="1" w:afterAutospacing="1"/>
      <w:jc w:val="left"/>
    </w:pPr>
    <w:rPr>
      <w:kern w:val="0"/>
      <w:sz w:val="24"/>
    </w:rPr>
  </w:style>
  <w:style w:type="paragraph" w:styleId="18">
    <w:name w:val="Body Text First Indent 2"/>
    <w:basedOn w:val="7"/>
    <w:qFormat/>
    <w:uiPriority w:val="0"/>
    <w:pPr>
      <w:ind w:firstLine="420" w:firstLineChars="200"/>
    </w:pPr>
  </w:style>
  <w:style w:type="character" w:styleId="21">
    <w:name w:val="FollowedHyperlink"/>
    <w:basedOn w:val="20"/>
    <w:qFormat/>
    <w:uiPriority w:val="0"/>
    <w:rPr>
      <w:color w:val="800080"/>
      <w:u w:val="single"/>
    </w:rPr>
  </w:style>
  <w:style w:type="character" w:styleId="22">
    <w:name w:val="Hyperlink"/>
    <w:basedOn w:val="20"/>
    <w:autoRedefine/>
    <w:qFormat/>
    <w:uiPriority w:val="0"/>
    <w:rPr>
      <w:color w:val="0000FF"/>
      <w:u w:val="single"/>
    </w:rPr>
  </w:style>
  <w:style w:type="character" w:customStyle="1" w:styleId="23">
    <w:name w:val="正文文本缩进 2 字符"/>
    <w:basedOn w:val="20"/>
    <w:link w:val="11"/>
    <w:autoRedefine/>
    <w:qFormat/>
    <w:uiPriority w:val="0"/>
    <w:rPr>
      <w:rFonts w:hint="default" w:ascii="Times New Roman" w:hAnsi="Times New Roman" w:cs="Times New Roman"/>
    </w:rPr>
  </w:style>
  <w:style w:type="character" w:customStyle="1" w:styleId="24">
    <w:name w:val="正文文本 2 字符"/>
    <w:basedOn w:val="20"/>
    <w:link w:val="16"/>
    <w:autoRedefine/>
    <w:qFormat/>
    <w:uiPriority w:val="0"/>
    <w:rPr>
      <w:rFonts w:ascii="黑体" w:hAnsi="宋体" w:eastAsia="黑体" w:cs="黑体"/>
      <w:b/>
    </w:rPr>
  </w:style>
  <w:style w:type="character" w:customStyle="1" w:styleId="25">
    <w:name w:val="标题 1 字符"/>
    <w:basedOn w:val="20"/>
    <w:link w:val="3"/>
    <w:autoRedefine/>
    <w:qFormat/>
    <w:uiPriority w:val="0"/>
    <w:rPr>
      <w:b/>
    </w:rPr>
  </w:style>
  <w:style w:type="character" w:customStyle="1" w:styleId="26">
    <w:name w:val="纯文本 字符"/>
    <w:basedOn w:val="20"/>
    <w:link w:val="9"/>
    <w:autoRedefine/>
    <w:qFormat/>
    <w:uiPriority w:val="0"/>
    <w:rPr>
      <w:rFonts w:hint="eastAsia" w:ascii="宋体" w:hAnsi="宋体" w:eastAsia="宋体" w:cs="宋体"/>
    </w:rPr>
  </w:style>
  <w:style w:type="character" w:customStyle="1" w:styleId="27">
    <w:name w:val="标题 3 字符"/>
    <w:basedOn w:val="20"/>
    <w:link w:val="4"/>
    <w:autoRedefine/>
    <w:qFormat/>
    <w:uiPriority w:val="0"/>
    <w:rPr>
      <w:b/>
    </w:rPr>
  </w:style>
  <w:style w:type="character" w:customStyle="1" w:styleId="28">
    <w:name w:val="正文文本 字符"/>
    <w:basedOn w:val="20"/>
    <w:link w:val="6"/>
    <w:autoRedefine/>
    <w:qFormat/>
    <w:uiPriority w:val="0"/>
    <w:rPr>
      <w:rFonts w:ascii="仿宋_GB2312" w:eastAsia="仿宋_GB2312" w:cs="仿宋_GB2312"/>
    </w:rPr>
  </w:style>
  <w:style w:type="character" w:customStyle="1" w:styleId="29">
    <w:name w:val="日期 字符"/>
    <w:basedOn w:val="20"/>
    <w:link w:val="10"/>
    <w:autoRedefine/>
    <w:qFormat/>
    <w:uiPriority w:val="0"/>
  </w:style>
  <w:style w:type="character" w:customStyle="1" w:styleId="30">
    <w:name w:val="正文文本缩进 3 字符"/>
    <w:basedOn w:val="20"/>
    <w:link w:val="15"/>
    <w:qFormat/>
    <w:uiPriority w:val="0"/>
    <w:rPr>
      <w:rFonts w:hint="default" w:ascii="Times New Roman" w:hAnsi="Times New Roman" w:cs="Times New Roman"/>
      <w:shd w:val="clear" w:color="auto" w:fill="FFFFFF"/>
    </w:rPr>
  </w:style>
  <w:style w:type="character" w:customStyle="1" w:styleId="31">
    <w:name w:val="标题 2 字符"/>
    <w:basedOn w:val="20"/>
    <w:link w:val="2"/>
    <w:autoRedefine/>
    <w:qFormat/>
    <w:uiPriority w:val="0"/>
    <w:rPr>
      <w:rFonts w:ascii="等线 Light" w:hAnsi="等线 Light" w:eastAsia="等线 Light" w:cs="等线 Light"/>
      <w:b/>
    </w:rPr>
  </w:style>
  <w:style w:type="character" w:customStyle="1" w:styleId="32">
    <w:name w:val="正文文本缩进 字符"/>
    <w:basedOn w:val="20"/>
    <w:link w:val="7"/>
    <w:autoRedefine/>
    <w:qFormat/>
    <w:uiPriority w:val="0"/>
    <w:rPr>
      <w:rFonts w:hint="default" w:ascii="仿宋_GB2312" w:eastAsia="仿宋_GB2312" w:cs="仿宋_GB2312"/>
    </w:rPr>
  </w:style>
  <w:style w:type="character" w:customStyle="1" w:styleId="33">
    <w:name w:val="标题 4 字符"/>
    <w:basedOn w:val="20"/>
    <w:link w:val="5"/>
    <w:autoRedefine/>
    <w:qFormat/>
    <w:uiPriority w:val="0"/>
    <w:rPr>
      <w:rFonts w:hint="eastAsia" w:ascii="等线 Light" w:hAnsi="等线 Light" w:eastAsia="等线 Light" w:cs="等线 Light"/>
      <w:b/>
    </w:rPr>
  </w:style>
  <w:style w:type="character" w:customStyle="1" w:styleId="34">
    <w:name w:val="批注框文本 字符"/>
    <w:basedOn w:val="20"/>
    <w:link w:val="12"/>
    <w:autoRedefine/>
    <w:qFormat/>
    <w:uiPriority w:val="0"/>
  </w:style>
  <w:style w:type="character" w:customStyle="1" w:styleId="35">
    <w:name w:val="页眉 字符"/>
    <w:basedOn w:val="20"/>
    <w:link w:val="14"/>
    <w:autoRedefine/>
    <w:qFormat/>
    <w:uiPriority w:val="0"/>
    <w:rPr>
      <w:rFonts w:hint="default" w:ascii="Times New Roman" w:hAnsi="Times New Roman" w:cs="Times New Roman"/>
    </w:rPr>
  </w:style>
  <w:style w:type="character" w:customStyle="1" w:styleId="36">
    <w:name w:val="要点2"/>
    <w:basedOn w:val="20"/>
    <w:autoRedefine/>
    <w:qFormat/>
    <w:uiPriority w:val="0"/>
    <w:rPr>
      <w:b/>
      <w:color w:val="111111"/>
    </w:rPr>
  </w:style>
  <w:style w:type="character" w:customStyle="1" w:styleId="37">
    <w:name w:val="页脚 字符"/>
    <w:basedOn w:val="20"/>
    <w:link w:val="13"/>
    <w:autoRedefine/>
    <w:qFormat/>
    <w:uiPriority w:val="0"/>
    <w:rPr>
      <w:rFonts w:hint="default" w:ascii="Times New Roman" w:hAnsi="Times New Roman" w:cs="Times New Roman"/>
    </w:rPr>
  </w:style>
  <w:style w:type="paragraph" w:styleId="3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611</Words>
  <Characters>648</Characters>
  <Lines>32</Lines>
  <Paragraphs>43</Paragraphs>
  <TotalTime>4</TotalTime>
  <ScaleCrop>false</ScaleCrop>
  <LinksUpToDate>false</LinksUpToDate>
  <CharactersWithSpaces>1216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寻找伯乐的伯乐</cp:lastModifiedBy>
  <cp:lastPrinted>2025-06-19T02:07:00Z</cp:lastPrinted>
  <dcterms:modified xsi:type="dcterms:W3CDTF">2025-12-26T03:02:21Z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A30D2750BB454D87BF0A168667EB27DD</vt:lpwstr>
  </property>
</Properties>
</file>