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仿宋_GB2312" w:hAnsi="宋体" w:eastAsia="仿宋_GB2312"/>
          <w:b/>
          <w:sz w:val="24"/>
        </w:rPr>
      </w:pPr>
      <w:r>
        <w:rPr>
          <w:rFonts w:hint="eastAsia" w:ascii="仿宋_GB2312" w:hAnsi="宋体" w:eastAsia="仿宋_GB2312" w:cs="宋体"/>
          <w:b/>
          <w:bCs/>
          <w:color w:val="000000"/>
          <w:kern w:val="0"/>
          <w:sz w:val="32"/>
          <w:szCs w:val="32"/>
        </w:rPr>
        <w:t>工程量清单编制说明</w:t>
      </w:r>
    </w:p>
    <w:p>
      <w:pPr>
        <w:spacing w:line="360" w:lineRule="auto"/>
        <w:rPr>
          <w:rFonts w:hint="eastAsia" w:ascii="仿宋_GB2312" w:hAnsi="宋体" w:eastAsia="仿宋_GB2312"/>
          <w:b/>
          <w:sz w:val="24"/>
        </w:rPr>
      </w:pPr>
      <w:r>
        <w:rPr>
          <w:rFonts w:hint="eastAsia" w:ascii="仿宋_GB2312" w:hAnsi="宋体" w:eastAsia="仿宋_GB2312"/>
          <w:b/>
          <w:sz w:val="24"/>
        </w:rPr>
        <w:t>一、工程概况</w:t>
      </w:r>
    </w:p>
    <w:p>
      <w:pPr>
        <w:keepNext w:val="0"/>
        <w:keepLines w:val="0"/>
        <w:widowControl/>
        <w:suppressLineNumbers w:val="0"/>
        <w:ind w:firstLine="480" w:firstLineChars="200"/>
        <w:jc w:val="left"/>
        <w:rPr>
          <w:rFonts w:hint="eastAsia" w:ascii="仿宋" w:hAnsi="仿宋" w:eastAsia="仿宋" w:cs="仿宋"/>
          <w:kern w:val="2"/>
        </w:rPr>
      </w:pPr>
      <w:r>
        <w:rPr>
          <w:rFonts w:hint="eastAsia" w:ascii="仿宋" w:hAnsi="仿宋" w:eastAsia="仿宋" w:cs="仿宋"/>
          <w:kern w:val="2"/>
          <w:sz w:val="24"/>
          <w:szCs w:val="24"/>
          <w:lang w:val="en-US" w:eastAsia="zh-CN" w:bidi="ar-SA"/>
        </w:rPr>
        <w:t>工程名称：万达广场北侧便民疏导点大棚加固项目 ，本项目位于滁州市,主要内容为：新增钢柱、支撑、基础、预埋件、防火涂料等。</w:t>
      </w:r>
    </w:p>
    <w:p>
      <w:pPr>
        <w:spacing w:line="520" w:lineRule="exact"/>
        <w:rPr>
          <w:rFonts w:hint="eastAsia" w:asciiTheme="minorEastAsia" w:hAnsiTheme="minorEastAsia" w:eastAsiaTheme="minorEastAsia" w:cstheme="minorEastAsia"/>
          <w:b/>
          <w:bCs/>
          <w:sz w:val="24"/>
        </w:rPr>
      </w:pPr>
      <w:r>
        <w:rPr>
          <w:rFonts w:hint="eastAsia" w:asciiTheme="minorEastAsia" w:hAnsiTheme="minorEastAsia" w:eastAsiaTheme="minorEastAsia" w:cstheme="minorEastAsia"/>
          <w:b/>
          <w:bCs/>
          <w:sz w:val="24"/>
        </w:rPr>
        <w:t>二、编制范围</w:t>
      </w:r>
    </w:p>
    <w:p>
      <w:pPr>
        <w:pStyle w:val="17"/>
        <w:widowControl/>
        <w:spacing w:beforeAutospacing="0" w:afterAutospacing="0" w:line="440" w:lineRule="exact"/>
        <w:ind w:firstLine="480" w:firstLineChars="200"/>
        <w:rPr>
          <w:rFonts w:hint="eastAsia" w:ascii="仿宋" w:hAnsi="仿宋" w:eastAsia="仿宋" w:cs="仿宋"/>
          <w:kern w:val="2"/>
        </w:rPr>
      </w:pPr>
      <w:r>
        <w:rPr>
          <w:rFonts w:hint="eastAsia" w:ascii="仿宋" w:hAnsi="仿宋" w:eastAsia="仿宋" w:cs="仿宋"/>
          <w:kern w:val="2"/>
        </w:rPr>
        <w:t>编制范围：</w:t>
      </w:r>
      <w:r>
        <w:rPr>
          <w:rFonts w:hint="eastAsia" w:ascii="仿宋" w:hAnsi="仿宋" w:eastAsia="仿宋" w:cs="仿宋"/>
          <w:kern w:val="2"/>
          <w:sz w:val="24"/>
          <w:szCs w:val="24"/>
          <w:lang w:val="en-US" w:eastAsia="zh-CN" w:bidi="ar-SA"/>
        </w:rPr>
        <w:t>万达广场北侧便民疏导点大棚加固项目</w:t>
      </w:r>
      <w:r>
        <w:rPr>
          <w:rFonts w:hint="eastAsia" w:ascii="仿宋" w:hAnsi="仿宋" w:eastAsia="仿宋" w:cs="仿宋"/>
          <w:kern w:val="2"/>
        </w:rPr>
        <w:t>图纸全部内容。</w:t>
      </w:r>
    </w:p>
    <w:p>
      <w:pPr>
        <w:spacing w:line="360" w:lineRule="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b/>
          <w:sz w:val="24"/>
        </w:rPr>
        <w:t>三、工程量清单编制依据</w:t>
      </w:r>
      <w:r>
        <w:rPr>
          <w:rFonts w:hint="eastAsia" w:asciiTheme="minorEastAsia" w:hAnsiTheme="minorEastAsia" w:eastAsiaTheme="minorEastAsia" w:cstheme="minorEastAsia"/>
          <w:sz w:val="24"/>
        </w:rPr>
        <w:t>：</w:t>
      </w:r>
    </w:p>
    <w:p>
      <w:pPr>
        <w:spacing w:line="440" w:lineRule="exact"/>
        <w:ind w:firstLine="480" w:firstLineChars="200"/>
        <w:rPr>
          <w:rFonts w:hint="eastAsia" w:ascii="仿宋" w:hAnsi="仿宋" w:eastAsia="仿宋" w:cs="仿宋"/>
          <w:sz w:val="24"/>
        </w:rPr>
      </w:pPr>
      <w:r>
        <w:rPr>
          <w:rFonts w:hint="eastAsia" w:ascii="仿宋" w:hAnsi="仿宋" w:eastAsia="仿宋" w:cs="仿宋"/>
          <w:sz w:val="24"/>
        </w:rPr>
        <w:t>1、依据招标人提供的招标文件、施工图纸；</w:t>
      </w:r>
    </w:p>
    <w:p>
      <w:pPr>
        <w:spacing w:line="440" w:lineRule="exact"/>
        <w:ind w:firstLine="480" w:firstLineChars="200"/>
        <w:rPr>
          <w:rFonts w:hint="eastAsia" w:ascii="仿宋" w:hAnsi="仿宋" w:eastAsia="仿宋" w:cs="仿宋"/>
          <w:sz w:val="24"/>
        </w:rPr>
      </w:pPr>
      <w:r>
        <w:rPr>
          <w:rFonts w:hint="eastAsia" w:ascii="仿宋" w:hAnsi="仿宋" w:eastAsia="仿宋" w:cs="仿宋"/>
          <w:sz w:val="24"/>
        </w:rPr>
        <w:t>2、《建设工程工程量清单计价规范》(GB50500-2013)；</w:t>
      </w:r>
    </w:p>
    <w:p>
      <w:pPr>
        <w:spacing w:line="440" w:lineRule="exact"/>
        <w:ind w:firstLine="480" w:firstLineChars="200"/>
        <w:rPr>
          <w:rFonts w:hint="eastAsia" w:ascii="仿宋" w:hAnsi="仿宋" w:eastAsia="仿宋" w:cs="仿宋"/>
          <w:sz w:val="24"/>
        </w:rPr>
      </w:pPr>
      <w:r>
        <w:rPr>
          <w:rFonts w:hint="eastAsia" w:ascii="仿宋" w:hAnsi="仿宋" w:eastAsia="仿宋" w:cs="仿宋"/>
          <w:sz w:val="24"/>
        </w:rPr>
        <w:t>3、2018版《安徽省建设工程工程量清单计价办法》；</w:t>
      </w:r>
    </w:p>
    <w:p>
      <w:pPr>
        <w:spacing w:line="440" w:lineRule="exact"/>
        <w:ind w:firstLine="480" w:firstLineChars="200"/>
        <w:rPr>
          <w:rFonts w:hint="eastAsia" w:ascii="仿宋" w:hAnsi="仿宋" w:eastAsia="仿宋" w:cs="仿宋"/>
          <w:sz w:val="24"/>
        </w:rPr>
      </w:pPr>
      <w:r>
        <w:rPr>
          <w:rFonts w:hint="eastAsia" w:ascii="仿宋" w:hAnsi="仿宋" w:eastAsia="仿宋" w:cs="仿宋"/>
          <w:sz w:val="24"/>
        </w:rPr>
        <w:t>4、省、市截止2025年</w:t>
      </w:r>
      <w:r>
        <w:rPr>
          <w:rFonts w:hint="eastAsia" w:ascii="仿宋" w:hAnsi="仿宋" w:eastAsia="仿宋" w:cs="仿宋"/>
          <w:sz w:val="24"/>
          <w:lang w:val="en-US" w:eastAsia="zh-CN"/>
        </w:rPr>
        <w:t>12</w:t>
      </w:r>
      <w:r>
        <w:rPr>
          <w:rFonts w:hint="eastAsia" w:ascii="仿宋" w:hAnsi="仿宋" w:eastAsia="仿宋" w:cs="仿宋"/>
          <w:sz w:val="24"/>
        </w:rPr>
        <w:t>月的有关政策性文件。</w:t>
      </w:r>
    </w:p>
    <w:p>
      <w:pPr>
        <w:spacing w:line="440" w:lineRule="exact"/>
        <w:rPr>
          <w:rFonts w:hint="eastAsia" w:ascii="宋体" w:hAnsi="宋体" w:cs="宋体"/>
          <w:b/>
          <w:sz w:val="24"/>
        </w:rPr>
      </w:pPr>
      <w:r>
        <w:rPr>
          <w:rFonts w:hint="eastAsia" w:asciiTheme="minorEastAsia" w:hAnsiTheme="minorEastAsia" w:eastAsiaTheme="minorEastAsia" w:cstheme="minorEastAsia"/>
          <w:b/>
          <w:bCs/>
          <w:sz w:val="24"/>
        </w:rPr>
        <w:t>四、</w:t>
      </w:r>
      <w:r>
        <w:rPr>
          <w:rFonts w:hint="eastAsia" w:ascii="宋体" w:hAnsi="宋体" w:cs="宋体"/>
          <w:b/>
          <w:bCs/>
          <w:sz w:val="24"/>
        </w:rPr>
        <w:t>取费标准</w:t>
      </w:r>
      <w:r>
        <w:rPr>
          <w:rFonts w:hint="eastAsia" w:ascii="宋体" w:hAnsi="宋体" w:cs="宋体"/>
          <w:b/>
          <w:sz w:val="24"/>
        </w:rPr>
        <w:t>：</w:t>
      </w:r>
    </w:p>
    <w:p>
      <w:pPr>
        <w:spacing w:line="440" w:lineRule="exact"/>
        <w:ind w:firstLine="480" w:firstLineChars="200"/>
        <w:rPr>
          <w:rFonts w:hint="eastAsia" w:ascii="仿宋" w:hAnsi="仿宋" w:eastAsia="仿宋" w:cs="仿宋"/>
          <w:sz w:val="24"/>
        </w:rPr>
      </w:pPr>
      <w:r>
        <w:rPr>
          <w:rFonts w:hint="eastAsia" w:ascii="仿宋" w:hAnsi="仿宋" w:eastAsia="仿宋" w:cs="仿宋"/>
          <w:sz w:val="24"/>
        </w:rPr>
        <w:t>1、执行《安徽省建设工程计价依据动态调整(第1期)》；</w:t>
      </w:r>
    </w:p>
    <w:p>
      <w:pPr>
        <w:spacing w:line="440" w:lineRule="exact"/>
        <w:ind w:firstLine="480" w:firstLineChars="200"/>
        <w:rPr>
          <w:rFonts w:hint="eastAsia" w:ascii="仿宋" w:hAnsi="仿宋" w:eastAsia="仿宋" w:cs="仿宋"/>
          <w:sz w:val="24"/>
        </w:rPr>
      </w:pPr>
      <w:r>
        <w:rPr>
          <w:rFonts w:hint="eastAsia" w:ascii="仿宋" w:hAnsi="仿宋" w:eastAsia="仿宋" w:cs="仿宋"/>
          <w:sz w:val="24"/>
        </w:rPr>
        <w:t>2、税金执行造价【2019】7号文件按9%计入；</w:t>
      </w:r>
    </w:p>
    <w:p>
      <w:pPr>
        <w:spacing w:line="440" w:lineRule="exact"/>
        <w:ind w:firstLine="480" w:firstLineChars="200"/>
        <w:rPr>
          <w:rFonts w:hint="eastAsia" w:ascii="仿宋" w:hAnsi="仿宋" w:eastAsia="仿宋" w:cs="仿宋"/>
          <w:sz w:val="24"/>
        </w:rPr>
      </w:pPr>
      <w:r>
        <w:rPr>
          <w:rFonts w:hint="eastAsia" w:ascii="仿宋" w:hAnsi="仿宋" w:eastAsia="仿宋" w:cs="仿宋"/>
          <w:sz w:val="24"/>
        </w:rPr>
        <w:t>3、不可竞争费文件执行造价[2021]42号。</w:t>
      </w:r>
    </w:p>
    <w:p>
      <w:pPr>
        <w:pStyle w:val="17"/>
        <w:widowControl/>
        <w:spacing w:beforeAutospacing="0" w:afterAutospacing="0" w:line="440" w:lineRule="exact"/>
        <w:rPr>
          <w:rFonts w:hint="eastAsia" w:ascii="宋体" w:hAnsi="宋体" w:cs="宋体"/>
          <w:b/>
          <w:bCs/>
          <w:kern w:val="2"/>
        </w:rPr>
      </w:pPr>
      <w:r>
        <w:rPr>
          <w:rFonts w:hint="eastAsia" w:ascii="宋体" w:hAnsi="宋体" w:cs="宋体"/>
          <w:b/>
          <w:bCs/>
          <w:kern w:val="2"/>
        </w:rPr>
        <w:t>五、编制说明</w:t>
      </w:r>
    </w:p>
    <w:p>
      <w:pPr>
        <w:pStyle w:val="17"/>
        <w:widowControl/>
        <w:numPr>
          <w:ilvl w:val="0"/>
          <w:numId w:val="1"/>
        </w:numPr>
        <w:spacing w:beforeAutospacing="0" w:afterAutospacing="0" w:line="440" w:lineRule="exact"/>
        <w:ind w:firstLine="480" w:firstLineChars="200"/>
        <w:rPr>
          <w:rFonts w:hint="eastAsia" w:ascii="仿宋" w:hAnsi="仿宋" w:eastAsia="仿宋" w:cs="仿宋"/>
          <w:kern w:val="2"/>
        </w:rPr>
      </w:pPr>
      <w:bookmarkStart w:id="0" w:name="_Hlk164517072"/>
      <w:bookmarkStart w:id="1" w:name="_Hlk164517056"/>
      <w:bookmarkStart w:id="2" w:name="_Hlk201138390"/>
      <w:r>
        <w:rPr>
          <w:rFonts w:hint="eastAsia" w:ascii="仿宋" w:hAnsi="仿宋" w:eastAsia="仿宋" w:cs="仿宋"/>
          <w:kern w:val="2"/>
        </w:rPr>
        <w:t>工程量清单列出的每个项目已包括涉及与该细目有关的全部工程内容，投标人应将工程量清单与合同通用条款、专用条款以及技术规范和图纸一起对照阅读；</w:t>
      </w:r>
    </w:p>
    <w:p>
      <w:pPr>
        <w:pStyle w:val="17"/>
        <w:widowControl/>
        <w:numPr>
          <w:ilvl w:val="0"/>
          <w:numId w:val="1"/>
        </w:numPr>
        <w:spacing w:beforeAutospacing="0" w:afterAutospacing="0" w:line="440" w:lineRule="exact"/>
        <w:ind w:firstLine="480" w:firstLineChars="200"/>
        <w:rPr>
          <w:rFonts w:hint="eastAsia" w:ascii="仿宋" w:hAnsi="仿宋" w:eastAsia="仿宋" w:cs="仿宋"/>
          <w:kern w:val="2"/>
        </w:rPr>
      </w:pPr>
      <w:r>
        <w:rPr>
          <w:rFonts w:hint="eastAsia" w:ascii="仿宋" w:hAnsi="仿宋" w:eastAsia="仿宋" w:cs="仿宋"/>
          <w:kern w:val="2"/>
        </w:rPr>
        <w:t>除非合同另有规定，综合单价均应已包括完成相应该项目的工程内容所需的所有人工、设备、材料和其他伴随服务所发生的所有费用；</w:t>
      </w:r>
    </w:p>
    <w:bookmarkEnd w:id="0"/>
    <w:bookmarkEnd w:id="1"/>
    <w:p>
      <w:pPr>
        <w:pStyle w:val="17"/>
        <w:widowControl/>
        <w:numPr>
          <w:ilvl w:val="0"/>
          <w:numId w:val="1"/>
        </w:numPr>
        <w:spacing w:beforeAutospacing="0" w:afterAutospacing="0" w:line="440" w:lineRule="exact"/>
        <w:ind w:firstLine="480" w:firstLineChars="200"/>
        <w:rPr>
          <w:rFonts w:hint="eastAsia" w:ascii="仿宋" w:hAnsi="仿宋" w:eastAsia="仿宋" w:cs="仿宋"/>
          <w:kern w:val="2"/>
        </w:rPr>
      </w:pPr>
      <w:bookmarkStart w:id="3" w:name="_Hlk164521015"/>
      <w:r>
        <w:rPr>
          <w:rFonts w:hint="eastAsia" w:ascii="仿宋" w:hAnsi="仿宋" w:eastAsia="仿宋" w:cs="仿宋"/>
          <w:kern w:val="2"/>
          <w:lang w:val="en-US" w:eastAsia="zh-CN"/>
        </w:rPr>
        <w:t>土方弃置及建筑垃圾弃置</w:t>
      </w:r>
      <w:r>
        <w:rPr>
          <w:rFonts w:hint="eastAsia" w:ascii="仿宋" w:hAnsi="仿宋" w:eastAsia="仿宋" w:cs="仿宋"/>
          <w:kern w:val="2"/>
        </w:rPr>
        <w:t>运距按</w:t>
      </w:r>
      <w:r>
        <w:rPr>
          <w:rFonts w:hint="eastAsia" w:ascii="仿宋" w:hAnsi="仿宋" w:eastAsia="仿宋" w:cs="仿宋"/>
          <w:kern w:val="2"/>
          <w:lang w:val="en-US" w:eastAsia="zh-CN"/>
        </w:rPr>
        <w:t>5</w:t>
      </w:r>
      <w:r>
        <w:rPr>
          <w:rFonts w:hint="eastAsia" w:ascii="仿宋" w:hAnsi="仿宋" w:eastAsia="仿宋" w:cs="仿宋"/>
          <w:kern w:val="2"/>
        </w:rPr>
        <w:t>km计算，投标人自行确定运距，自行确定</w:t>
      </w:r>
      <w:r>
        <w:rPr>
          <w:rFonts w:hint="eastAsia" w:ascii="仿宋" w:hAnsi="仿宋" w:eastAsia="仿宋" w:cs="仿宋"/>
          <w:kern w:val="2"/>
          <w:lang w:val="en-US" w:eastAsia="zh-CN"/>
        </w:rPr>
        <w:t>土方外运、</w:t>
      </w:r>
      <w:r>
        <w:rPr>
          <w:rFonts w:hint="eastAsia" w:ascii="仿宋" w:hAnsi="仿宋" w:eastAsia="仿宋" w:cs="仿宋"/>
          <w:kern w:val="2"/>
        </w:rPr>
        <w:t>建筑垃圾弃置场地、弃置费等，结算时不调整，投标报价均包含上述费用，工程结算时单价不予调整；</w:t>
      </w:r>
    </w:p>
    <w:p>
      <w:pPr>
        <w:pStyle w:val="17"/>
        <w:widowControl/>
        <w:numPr>
          <w:ilvl w:val="0"/>
          <w:numId w:val="1"/>
        </w:numPr>
        <w:spacing w:beforeAutospacing="0" w:afterAutospacing="0" w:line="440" w:lineRule="exact"/>
        <w:ind w:firstLine="480" w:firstLineChars="200"/>
        <w:rPr>
          <w:rFonts w:hint="eastAsia" w:ascii="仿宋" w:hAnsi="仿宋" w:eastAsia="仿宋" w:cs="仿宋"/>
          <w:kern w:val="2"/>
        </w:rPr>
      </w:pPr>
      <w:bookmarkStart w:id="4" w:name="_Hlk164521028"/>
      <w:r>
        <w:rPr>
          <w:rFonts w:hint="eastAsia" w:ascii="仿宋" w:hAnsi="仿宋" w:eastAsia="仿宋" w:cs="仿宋"/>
          <w:kern w:val="2"/>
        </w:rPr>
        <w:t>本工程拆除工程施工时应做好其他原建筑物保护，如施工造成的建筑物破损、损坏等，施工单位应按原状恢复；</w:t>
      </w:r>
    </w:p>
    <w:bookmarkEnd w:id="2"/>
    <w:bookmarkEnd w:id="3"/>
    <w:bookmarkEnd w:id="4"/>
    <w:p>
      <w:pPr>
        <w:spacing w:line="360" w:lineRule="auto"/>
        <w:rPr>
          <w:rFonts w:hint="eastAsia" w:asciiTheme="minorEastAsia" w:hAnsiTheme="minorEastAsia" w:eastAsiaTheme="minorEastAsia" w:cstheme="minorEastAsia"/>
          <w:b/>
          <w:bCs/>
          <w:sz w:val="24"/>
        </w:rPr>
      </w:pPr>
      <w:r>
        <w:rPr>
          <w:rFonts w:hint="eastAsia" w:asciiTheme="minorEastAsia" w:hAnsiTheme="minorEastAsia" w:eastAsiaTheme="minorEastAsia" w:cstheme="minorEastAsia"/>
          <w:b/>
          <w:bCs/>
          <w:sz w:val="24"/>
        </w:rPr>
        <w:t>六、暂列金额及专业工程暂估价</w:t>
      </w:r>
    </w:p>
    <w:p>
      <w:pPr>
        <w:spacing w:line="360" w:lineRule="auto"/>
        <w:ind w:firstLine="480" w:firstLineChars="200"/>
        <w:rPr>
          <w:rFonts w:hint="eastAsia" w:ascii="仿宋" w:hAnsi="仿宋" w:eastAsia="仿宋" w:cs="仿宋"/>
          <w:sz w:val="24"/>
        </w:rPr>
      </w:pPr>
      <w:r>
        <w:rPr>
          <w:rFonts w:hint="eastAsia" w:ascii="仿宋" w:hAnsi="仿宋" w:eastAsia="仿宋" w:cs="仿宋"/>
          <w:sz w:val="24"/>
        </w:rPr>
        <w:t>本项目暂列金额1</w:t>
      </w:r>
      <w:r>
        <w:rPr>
          <w:rFonts w:hint="eastAsia" w:ascii="仿宋" w:hAnsi="仿宋" w:eastAsia="仿宋" w:cs="仿宋"/>
          <w:sz w:val="24"/>
          <w:lang w:val="en-US" w:eastAsia="zh-CN"/>
        </w:rPr>
        <w:t>.2</w:t>
      </w:r>
      <w:r>
        <w:rPr>
          <w:rFonts w:hint="eastAsia" w:ascii="仿宋" w:hAnsi="仿宋" w:eastAsia="仿宋" w:cs="仿宋"/>
          <w:sz w:val="24"/>
        </w:rPr>
        <w:t>万元、专业工程暂估价0万元。</w:t>
      </w:r>
    </w:p>
    <w:p>
      <w:pPr>
        <w:spacing w:line="360" w:lineRule="auto"/>
        <w:ind w:firstLine="480" w:firstLineChars="200"/>
        <w:rPr>
          <w:rFonts w:hint="eastAsia" w:ascii="仿宋" w:hAnsi="仿宋" w:eastAsia="仿宋" w:cs="仿宋"/>
          <w:sz w:val="24"/>
        </w:rPr>
      </w:pPr>
      <w:r>
        <w:rPr>
          <w:rFonts w:hint="eastAsia" w:ascii="仿宋" w:hAnsi="仿宋" w:eastAsia="仿宋" w:cs="仿宋"/>
          <w:sz w:val="24"/>
        </w:rPr>
        <w:t xml:space="preserve"> </w:t>
      </w:r>
    </w:p>
    <w:p>
      <w:pPr>
        <w:rPr>
          <w:rFonts w:hint="eastAsia" w:ascii="仿宋" w:hAnsi="仿宋" w:eastAsia="仿宋" w:cs="仿宋"/>
          <w:sz w:val="24"/>
        </w:rPr>
      </w:pPr>
    </w:p>
    <w:p>
      <w:pPr>
        <w:jc w:val="right"/>
      </w:pPr>
      <w:r>
        <w:rPr>
          <w:rFonts w:hint="eastAsia" w:ascii="仿宋" w:hAnsi="仿宋" w:eastAsia="仿宋" w:cs="仿宋"/>
          <w:sz w:val="24"/>
        </w:rPr>
        <w:t>2025年</w:t>
      </w:r>
      <w:r>
        <w:rPr>
          <w:rFonts w:hint="eastAsia" w:ascii="仿宋" w:hAnsi="仿宋" w:eastAsia="仿宋" w:cs="仿宋"/>
          <w:sz w:val="24"/>
          <w:lang w:val="en-US" w:eastAsia="zh-CN"/>
        </w:rPr>
        <w:t>12</w:t>
      </w:r>
      <w:r>
        <w:rPr>
          <w:rFonts w:hint="eastAsia" w:ascii="仿宋" w:hAnsi="仿宋" w:eastAsia="仿宋" w:cs="仿宋"/>
          <w:sz w:val="24"/>
        </w:rPr>
        <w:t>月</w:t>
      </w:r>
      <w:r>
        <w:rPr>
          <w:rFonts w:hint="eastAsia" w:ascii="仿宋" w:hAnsi="仿宋" w:eastAsia="仿宋" w:cs="仿宋"/>
          <w:sz w:val="24"/>
          <w:lang w:val="en-US" w:eastAsia="zh-CN"/>
        </w:rPr>
        <w:t>26</w:t>
      </w:r>
      <w:r>
        <w:rPr>
          <w:rFonts w:hint="eastAsia" w:ascii="仿宋" w:hAnsi="仿宋" w:eastAsia="仿宋" w:cs="仿宋"/>
          <w:sz w:val="24"/>
        </w:rPr>
        <w:t>日</w:t>
      </w:r>
      <w:bookmarkStart w:id="5" w:name="_GoBack"/>
      <w:bookmarkEnd w:id="5"/>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仿宋_GB2312">
    <w:panose1 w:val="02010609030101010101"/>
    <w:charset w:val="86"/>
    <w:family w:val="modern"/>
    <w:pitch w:val="default"/>
    <w:sig w:usb0="00000001" w:usb1="080E0000" w:usb2="00000000" w:usb3="00000000" w:csb0="00040000" w:csb1="00000000"/>
  </w:font>
  <w:font w:name="等线 Light">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490D1CF"/>
    <w:multiLevelType w:val="singleLevel"/>
    <w:tmpl w:val="0490D1CF"/>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NDk1NjU2YWEwZTg5NWUwOGE4MzE4ZDI0MjU5OWMzNGEifQ=="/>
    <w:docVar w:name="KSO_WPS_MARK_KEY" w:val="a52c34a5-9810-4715-9a1b-4f1475f581f3"/>
  </w:docVars>
  <w:rsids>
    <w:rsidRoot w:val="00912A44"/>
    <w:rsid w:val="00056195"/>
    <w:rsid w:val="000573A6"/>
    <w:rsid w:val="000801E5"/>
    <w:rsid w:val="000D1012"/>
    <w:rsid w:val="000D36D8"/>
    <w:rsid w:val="00101EB3"/>
    <w:rsid w:val="00136239"/>
    <w:rsid w:val="00212DB4"/>
    <w:rsid w:val="00237C18"/>
    <w:rsid w:val="002B4E5D"/>
    <w:rsid w:val="003A75C3"/>
    <w:rsid w:val="00405E66"/>
    <w:rsid w:val="004500C1"/>
    <w:rsid w:val="004C32E4"/>
    <w:rsid w:val="004F7598"/>
    <w:rsid w:val="005E2645"/>
    <w:rsid w:val="00620BE2"/>
    <w:rsid w:val="006814CD"/>
    <w:rsid w:val="00687627"/>
    <w:rsid w:val="006C7E18"/>
    <w:rsid w:val="00735AE6"/>
    <w:rsid w:val="0075286C"/>
    <w:rsid w:val="0075799D"/>
    <w:rsid w:val="007B3944"/>
    <w:rsid w:val="007E480B"/>
    <w:rsid w:val="00821A4E"/>
    <w:rsid w:val="00843A86"/>
    <w:rsid w:val="00845364"/>
    <w:rsid w:val="00847B30"/>
    <w:rsid w:val="008C091E"/>
    <w:rsid w:val="00912A44"/>
    <w:rsid w:val="009A3E1E"/>
    <w:rsid w:val="009C1456"/>
    <w:rsid w:val="009C2934"/>
    <w:rsid w:val="00A476F5"/>
    <w:rsid w:val="00AF1115"/>
    <w:rsid w:val="00AF60BF"/>
    <w:rsid w:val="00B765B2"/>
    <w:rsid w:val="00C46D72"/>
    <w:rsid w:val="00C82727"/>
    <w:rsid w:val="00CA285D"/>
    <w:rsid w:val="00CC20E3"/>
    <w:rsid w:val="00CC3F27"/>
    <w:rsid w:val="00D6710C"/>
    <w:rsid w:val="00E85F0F"/>
    <w:rsid w:val="00E97B44"/>
    <w:rsid w:val="00ED1E53"/>
    <w:rsid w:val="00F34D82"/>
    <w:rsid w:val="00FB00DC"/>
    <w:rsid w:val="025F5E6B"/>
    <w:rsid w:val="02BE65C6"/>
    <w:rsid w:val="02E031C7"/>
    <w:rsid w:val="04233EDB"/>
    <w:rsid w:val="04710886"/>
    <w:rsid w:val="048C2CF2"/>
    <w:rsid w:val="04E96791"/>
    <w:rsid w:val="04F74542"/>
    <w:rsid w:val="04F9596A"/>
    <w:rsid w:val="051A04B6"/>
    <w:rsid w:val="0558691B"/>
    <w:rsid w:val="057534A8"/>
    <w:rsid w:val="05A866A1"/>
    <w:rsid w:val="062F6EE0"/>
    <w:rsid w:val="06595702"/>
    <w:rsid w:val="06B74EC6"/>
    <w:rsid w:val="08C03285"/>
    <w:rsid w:val="08F655F4"/>
    <w:rsid w:val="091A7535"/>
    <w:rsid w:val="0B052B16"/>
    <w:rsid w:val="0B0E45DB"/>
    <w:rsid w:val="0B5631F1"/>
    <w:rsid w:val="0B70168E"/>
    <w:rsid w:val="0B93580C"/>
    <w:rsid w:val="0BBC2A21"/>
    <w:rsid w:val="0BBE064B"/>
    <w:rsid w:val="0BC66564"/>
    <w:rsid w:val="0C1D5606"/>
    <w:rsid w:val="0C3954D4"/>
    <w:rsid w:val="0C420457"/>
    <w:rsid w:val="0C6E2D49"/>
    <w:rsid w:val="0D2E3E1D"/>
    <w:rsid w:val="0D364D6D"/>
    <w:rsid w:val="0D365F0E"/>
    <w:rsid w:val="0D4C13CD"/>
    <w:rsid w:val="0DE95727"/>
    <w:rsid w:val="0EA5368E"/>
    <w:rsid w:val="0FAB7138"/>
    <w:rsid w:val="0FF95498"/>
    <w:rsid w:val="10730933"/>
    <w:rsid w:val="10BA5B9A"/>
    <w:rsid w:val="10C502F0"/>
    <w:rsid w:val="10FD06A8"/>
    <w:rsid w:val="117A14B8"/>
    <w:rsid w:val="11C72224"/>
    <w:rsid w:val="12044D63"/>
    <w:rsid w:val="12103BCB"/>
    <w:rsid w:val="12D81AC0"/>
    <w:rsid w:val="12E00C08"/>
    <w:rsid w:val="133B7529"/>
    <w:rsid w:val="13D413DF"/>
    <w:rsid w:val="14182B27"/>
    <w:rsid w:val="14CB3884"/>
    <w:rsid w:val="14ED6343"/>
    <w:rsid w:val="15AF7016"/>
    <w:rsid w:val="17FB294F"/>
    <w:rsid w:val="18786C87"/>
    <w:rsid w:val="19286289"/>
    <w:rsid w:val="19496C14"/>
    <w:rsid w:val="1AB22AC3"/>
    <w:rsid w:val="1AC669C5"/>
    <w:rsid w:val="1B883BFA"/>
    <w:rsid w:val="1BCC3B0F"/>
    <w:rsid w:val="1C9C6787"/>
    <w:rsid w:val="1CE61C7E"/>
    <w:rsid w:val="1D101863"/>
    <w:rsid w:val="1D786740"/>
    <w:rsid w:val="1E016059"/>
    <w:rsid w:val="1E671D89"/>
    <w:rsid w:val="1E6A6411"/>
    <w:rsid w:val="1E9C2E98"/>
    <w:rsid w:val="1F46413A"/>
    <w:rsid w:val="20170D02"/>
    <w:rsid w:val="214712D7"/>
    <w:rsid w:val="216158DD"/>
    <w:rsid w:val="21986940"/>
    <w:rsid w:val="21F55869"/>
    <w:rsid w:val="222F7FAB"/>
    <w:rsid w:val="22490ADA"/>
    <w:rsid w:val="22D81928"/>
    <w:rsid w:val="22D94C19"/>
    <w:rsid w:val="230D426F"/>
    <w:rsid w:val="23433B63"/>
    <w:rsid w:val="239879A2"/>
    <w:rsid w:val="23A36468"/>
    <w:rsid w:val="23A74B25"/>
    <w:rsid w:val="252C2672"/>
    <w:rsid w:val="26A14D0A"/>
    <w:rsid w:val="26F13F98"/>
    <w:rsid w:val="2710037A"/>
    <w:rsid w:val="27586F25"/>
    <w:rsid w:val="28766E96"/>
    <w:rsid w:val="28883872"/>
    <w:rsid w:val="29235B3A"/>
    <w:rsid w:val="2987267E"/>
    <w:rsid w:val="299B081E"/>
    <w:rsid w:val="2A010115"/>
    <w:rsid w:val="2AB473E3"/>
    <w:rsid w:val="2AC4222E"/>
    <w:rsid w:val="2B052A81"/>
    <w:rsid w:val="2B150A38"/>
    <w:rsid w:val="2B605D53"/>
    <w:rsid w:val="2BC36CD5"/>
    <w:rsid w:val="2BFD0848"/>
    <w:rsid w:val="2C6A4377"/>
    <w:rsid w:val="2D577CE8"/>
    <w:rsid w:val="2D7E28F3"/>
    <w:rsid w:val="2D935407"/>
    <w:rsid w:val="2E6E4998"/>
    <w:rsid w:val="2EB84112"/>
    <w:rsid w:val="2FC531EA"/>
    <w:rsid w:val="310B51BE"/>
    <w:rsid w:val="31101099"/>
    <w:rsid w:val="31972760"/>
    <w:rsid w:val="31DE5646"/>
    <w:rsid w:val="322357A1"/>
    <w:rsid w:val="322A618B"/>
    <w:rsid w:val="32494CEE"/>
    <w:rsid w:val="325F3A08"/>
    <w:rsid w:val="32872256"/>
    <w:rsid w:val="340B15B6"/>
    <w:rsid w:val="344F20D8"/>
    <w:rsid w:val="34991A91"/>
    <w:rsid w:val="3589141A"/>
    <w:rsid w:val="359E29CA"/>
    <w:rsid w:val="35EB480F"/>
    <w:rsid w:val="362A3F38"/>
    <w:rsid w:val="365A504C"/>
    <w:rsid w:val="368D0A96"/>
    <w:rsid w:val="37A524F8"/>
    <w:rsid w:val="38804D57"/>
    <w:rsid w:val="3A570EEA"/>
    <w:rsid w:val="3A85157A"/>
    <w:rsid w:val="3AE3016D"/>
    <w:rsid w:val="3AFE5F43"/>
    <w:rsid w:val="3B8A44AF"/>
    <w:rsid w:val="3C3D7AFF"/>
    <w:rsid w:val="3CA53FC3"/>
    <w:rsid w:val="3DA65E28"/>
    <w:rsid w:val="3E7C6B8A"/>
    <w:rsid w:val="405E4C20"/>
    <w:rsid w:val="40713985"/>
    <w:rsid w:val="40D32442"/>
    <w:rsid w:val="415C5B72"/>
    <w:rsid w:val="418A09F4"/>
    <w:rsid w:val="42002CDB"/>
    <w:rsid w:val="424F21A6"/>
    <w:rsid w:val="432D2338"/>
    <w:rsid w:val="43DF7B71"/>
    <w:rsid w:val="441659FF"/>
    <w:rsid w:val="443E6856"/>
    <w:rsid w:val="4497183B"/>
    <w:rsid w:val="44C52EFC"/>
    <w:rsid w:val="45B20A8F"/>
    <w:rsid w:val="46B569DA"/>
    <w:rsid w:val="479003E6"/>
    <w:rsid w:val="490307A7"/>
    <w:rsid w:val="49A865D3"/>
    <w:rsid w:val="4AE86F32"/>
    <w:rsid w:val="4B3724BB"/>
    <w:rsid w:val="4B80075D"/>
    <w:rsid w:val="4BFB532D"/>
    <w:rsid w:val="4D072910"/>
    <w:rsid w:val="4D115A20"/>
    <w:rsid w:val="4DB67604"/>
    <w:rsid w:val="4E5C386E"/>
    <w:rsid w:val="4EC352C6"/>
    <w:rsid w:val="4EF37883"/>
    <w:rsid w:val="4F251D5C"/>
    <w:rsid w:val="4F950654"/>
    <w:rsid w:val="4FC33721"/>
    <w:rsid w:val="4FC542D6"/>
    <w:rsid w:val="503209A0"/>
    <w:rsid w:val="50C755E3"/>
    <w:rsid w:val="514D7C78"/>
    <w:rsid w:val="516440DC"/>
    <w:rsid w:val="517E41AF"/>
    <w:rsid w:val="51C25A07"/>
    <w:rsid w:val="51CB51DB"/>
    <w:rsid w:val="51E54497"/>
    <w:rsid w:val="520E6AD8"/>
    <w:rsid w:val="5233019C"/>
    <w:rsid w:val="52623397"/>
    <w:rsid w:val="52B2497A"/>
    <w:rsid w:val="53402049"/>
    <w:rsid w:val="54FF3E42"/>
    <w:rsid w:val="550A578A"/>
    <w:rsid w:val="569E1F65"/>
    <w:rsid w:val="56BA0FDC"/>
    <w:rsid w:val="57C8653F"/>
    <w:rsid w:val="580A33C0"/>
    <w:rsid w:val="581540BD"/>
    <w:rsid w:val="58DE0B10"/>
    <w:rsid w:val="593060C2"/>
    <w:rsid w:val="59A74B3D"/>
    <w:rsid w:val="5A39434D"/>
    <w:rsid w:val="5A9C5DB6"/>
    <w:rsid w:val="5B3B184B"/>
    <w:rsid w:val="5BA7460B"/>
    <w:rsid w:val="5D231B8B"/>
    <w:rsid w:val="5D420294"/>
    <w:rsid w:val="5EE66828"/>
    <w:rsid w:val="5FBE2F38"/>
    <w:rsid w:val="5FDE0C6D"/>
    <w:rsid w:val="6072561F"/>
    <w:rsid w:val="60AB7677"/>
    <w:rsid w:val="60C30AE4"/>
    <w:rsid w:val="61163C0C"/>
    <w:rsid w:val="631017F1"/>
    <w:rsid w:val="63544A9A"/>
    <w:rsid w:val="63624EAC"/>
    <w:rsid w:val="64F47002"/>
    <w:rsid w:val="657E123C"/>
    <w:rsid w:val="65960D62"/>
    <w:rsid w:val="661D1FE7"/>
    <w:rsid w:val="66787BF9"/>
    <w:rsid w:val="669716D4"/>
    <w:rsid w:val="673366EC"/>
    <w:rsid w:val="673441CB"/>
    <w:rsid w:val="68550B65"/>
    <w:rsid w:val="68E62BD5"/>
    <w:rsid w:val="6AB46045"/>
    <w:rsid w:val="6ABC2D30"/>
    <w:rsid w:val="6B5C045C"/>
    <w:rsid w:val="6BEE2E0C"/>
    <w:rsid w:val="6C361AB7"/>
    <w:rsid w:val="6C801326"/>
    <w:rsid w:val="6D463EAB"/>
    <w:rsid w:val="6D466740"/>
    <w:rsid w:val="6EB4024E"/>
    <w:rsid w:val="6FA06C08"/>
    <w:rsid w:val="70101F83"/>
    <w:rsid w:val="705B1CD4"/>
    <w:rsid w:val="70C97DF0"/>
    <w:rsid w:val="70D9318C"/>
    <w:rsid w:val="70DB62B7"/>
    <w:rsid w:val="71597A7D"/>
    <w:rsid w:val="71663887"/>
    <w:rsid w:val="71A4517F"/>
    <w:rsid w:val="720127B7"/>
    <w:rsid w:val="7212231F"/>
    <w:rsid w:val="723F0BC9"/>
    <w:rsid w:val="724369E1"/>
    <w:rsid w:val="73612AB3"/>
    <w:rsid w:val="73686789"/>
    <w:rsid w:val="73A3131E"/>
    <w:rsid w:val="73CF2113"/>
    <w:rsid w:val="74271BF7"/>
    <w:rsid w:val="74B2437C"/>
    <w:rsid w:val="76FE1523"/>
    <w:rsid w:val="778E4093"/>
    <w:rsid w:val="77B85A14"/>
    <w:rsid w:val="785B04FA"/>
    <w:rsid w:val="78BD097C"/>
    <w:rsid w:val="7AB06C72"/>
    <w:rsid w:val="7C091598"/>
    <w:rsid w:val="7CD51E4B"/>
    <w:rsid w:val="7DAF0141"/>
    <w:rsid w:val="7EFA4D5D"/>
    <w:rsid w:val="7EFB0260"/>
    <w:rsid w:val="7FA4765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qFormat="1" w:unhideWhenUsed="0" w:uiPriority="0" w:semiHidden="0" w:name="Body Text Indent 2"/>
    <w:lsdException w:qFormat="1"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25"/>
    <w:qFormat/>
    <w:uiPriority w:val="0"/>
    <w:pPr>
      <w:keepNext/>
      <w:keepLines/>
      <w:spacing w:line="576" w:lineRule="auto"/>
      <w:outlineLvl w:val="0"/>
    </w:pPr>
    <w:rPr>
      <w:b/>
      <w:kern w:val="44"/>
      <w:sz w:val="44"/>
    </w:rPr>
  </w:style>
  <w:style w:type="paragraph" w:styleId="2">
    <w:name w:val="heading 2"/>
    <w:basedOn w:val="1"/>
    <w:next w:val="1"/>
    <w:link w:val="31"/>
    <w:unhideWhenUsed/>
    <w:qFormat/>
    <w:uiPriority w:val="0"/>
    <w:pPr>
      <w:keepNext/>
      <w:keepLines/>
      <w:spacing w:line="413" w:lineRule="auto"/>
      <w:outlineLvl w:val="1"/>
    </w:pPr>
    <w:rPr>
      <w:rFonts w:ascii="Arial" w:hAnsi="Arial" w:eastAsia="黑体"/>
      <w:b/>
      <w:sz w:val="32"/>
    </w:rPr>
  </w:style>
  <w:style w:type="paragraph" w:styleId="4">
    <w:name w:val="heading 3"/>
    <w:basedOn w:val="1"/>
    <w:next w:val="1"/>
    <w:link w:val="27"/>
    <w:semiHidden/>
    <w:unhideWhenUsed/>
    <w:qFormat/>
    <w:uiPriority w:val="0"/>
    <w:pPr>
      <w:keepNext/>
      <w:keepLines/>
      <w:spacing w:line="413" w:lineRule="auto"/>
      <w:outlineLvl w:val="2"/>
    </w:pPr>
    <w:rPr>
      <w:b/>
      <w:sz w:val="32"/>
    </w:rPr>
  </w:style>
  <w:style w:type="paragraph" w:styleId="5">
    <w:name w:val="heading 4"/>
    <w:basedOn w:val="1"/>
    <w:next w:val="1"/>
    <w:link w:val="33"/>
    <w:semiHidden/>
    <w:unhideWhenUsed/>
    <w:qFormat/>
    <w:uiPriority w:val="0"/>
    <w:pPr>
      <w:keepNext/>
      <w:keepLines/>
      <w:spacing w:line="372" w:lineRule="auto"/>
      <w:outlineLvl w:val="3"/>
    </w:pPr>
    <w:rPr>
      <w:rFonts w:ascii="Arial" w:hAnsi="Arial" w:eastAsia="黑体"/>
      <w:b/>
      <w:sz w:val="28"/>
    </w:rPr>
  </w:style>
  <w:style w:type="character" w:default="1" w:styleId="20">
    <w:name w:val="Default Paragraph Font"/>
    <w:semiHidden/>
    <w:unhideWhenUsed/>
    <w:uiPriority w:val="1"/>
  </w:style>
  <w:style w:type="table" w:default="1" w:styleId="19">
    <w:name w:val="Normal Table"/>
    <w:autoRedefine/>
    <w:semiHidden/>
    <w:unhideWhenUsed/>
    <w:uiPriority w:val="99"/>
    <w:tblPr>
      <w:tblCellMar>
        <w:top w:w="0" w:type="dxa"/>
        <w:left w:w="108" w:type="dxa"/>
        <w:bottom w:w="0" w:type="dxa"/>
        <w:right w:w="108" w:type="dxa"/>
      </w:tblCellMar>
    </w:tblPr>
  </w:style>
  <w:style w:type="paragraph" w:styleId="6">
    <w:name w:val="Body Text"/>
    <w:basedOn w:val="1"/>
    <w:link w:val="28"/>
    <w:qFormat/>
    <w:uiPriority w:val="0"/>
  </w:style>
  <w:style w:type="paragraph" w:styleId="7">
    <w:name w:val="Body Text Indent"/>
    <w:basedOn w:val="1"/>
    <w:next w:val="8"/>
    <w:link w:val="32"/>
    <w:qFormat/>
    <w:uiPriority w:val="0"/>
    <w:pPr>
      <w:ind w:left="420" w:leftChars="200"/>
    </w:pPr>
  </w:style>
  <w:style w:type="paragraph" w:styleId="8">
    <w:name w:val="envelope return"/>
    <w:basedOn w:val="1"/>
    <w:qFormat/>
    <w:uiPriority w:val="0"/>
    <w:pPr>
      <w:snapToGrid w:val="0"/>
    </w:pPr>
    <w:rPr>
      <w:rFonts w:ascii="Arial" w:hAnsi="Arial"/>
    </w:rPr>
  </w:style>
  <w:style w:type="paragraph" w:styleId="9">
    <w:name w:val="Plain Text"/>
    <w:basedOn w:val="1"/>
    <w:link w:val="26"/>
    <w:qFormat/>
    <w:uiPriority w:val="0"/>
    <w:rPr>
      <w:rFonts w:ascii="宋体" w:hAnsi="Courier New"/>
    </w:rPr>
  </w:style>
  <w:style w:type="paragraph" w:styleId="10">
    <w:name w:val="Date"/>
    <w:basedOn w:val="1"/>
    <w:next w:val="1"/>
    <w:link w:val="29"/>
    <w:qFormat/>
    <w:uiPriority w:val="0"/>
    <w:pPr>
      <w:ind w:left="100" w:leftChars="2500"/>
    </w:pPr>
  </w:style>
  <w:style w:type="paragraph" w:styleId="11">
    <w:name w:val="Body Text Indent 2"/>
    <w:basedOn w:val="1"/>
    <w:link w:val="23"/>
    <w:qFormat/>
    <w:uiPriority w:val="0"/>
    <w:pPr>
      <w:spacing w:line="480" w:lineRule="auto"/>
      <w:ind w:left="420" w:leftChars="200"/>
    </w:pPr>
  </w:style>
  <w:style w:type="paragraph" w:styleId="12">
    <w:name w:val="Balloon Text"/>
    <w:basedOn w:val="1"/>
    <w:link w:val="34"/>
    <w:autoRedefine/>
    <w:qFormat/>
    <w:uiPriority w:val="0"/>
    <w:rPr>
      <w:sz w:val="18"/>
    </w:rPr>
  </w:style>
  <w:style w:type="paragraph" w:styleId="13">
    <w:name w:val="footer"/>
    <w:basedOn w:val="1"/>
    <w:link w:val="37"/>
    <w:qFormat/>
    <w:uiPriority w:val="0"/>
    <w:pPr>
      <w:tabs>
        <w:tab w:val="center" w:pos="4153"/>
        <w:tab w:val="right" w:pos="8306"/>
      </w:tabs>
      <w:snapToGrid w:val="0"/>
      <w:jc w:val="left"/>
    </w:pPr>
    <w:rPr>
      <w:sz w:val="18"/>
    </w:rPr>
  </w:style>
  <w:style w:type="paragraph" w:styleId="14">
    <w:name w:val="header"/>
    <w:basedOn w:val="1"/>
    <w:link w:val="35"/>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15">
    <w:name w:val="Body Text Indent 3"/>
    <w:basedOn w:val="1"/>
    <w:link w:val="30"/>
    <w:autoRedefine/>
    <w:qFormat/>
    <w:uiPriority w:val="0"/>
    <w:pPr>
      <w:ind w:left="420" w:leftChars="200"/>
    </w:pPr>
    <w:rPr>
      <w:sz w:val="16"/>
    </w:rPr>
  </w:style>
  <w:style w:type="paragraph" w:styleId="16">
    <w:name w:val="Body Text 2"/>
    <w:basedOn w:val="1"/>
    <w:link w:val="24"/>
    <w:qFormat/>
    <w:uiPriority w:val="0"/>
    <w:pPr>
      <w:spacing w:line="480" w:lineRule="auto"/>
    </w:pPr>
  </w:style>
  <w:style w:type="paragraph" w:styleId="17">
    <w:name w:val="Normal (Web)"/>
    <w:basedOn w:val="1"/>
    <w:autoRedefine/>
    <w:qFormat/>
    <w:uiPriority w:val="0"/>
    <w:pPr>
      <w:spacing w:beforeAutospacing="1" w:afterAutospacing="1"/>
      <w:jc w:val="left"/>
    </w:pPr>
    <w:rPr>
      <w:kern w:val="0"/>
      <w:sz w:val="24"/>
    </w:rPr>
  </w:style>
  <w:style w:type="paragraph" w:styleId="18">
    <w:name w:val="Body Text First Indent 2"/>
    <w:basedOn w:val="7"/>
    <w:qFormat/>
    <w:uiPriority w:val="0"/>
    <w:pPr>
      <w:ind w:firstLine="420" w:firstLineChars="200"/>
    </w:pPr>
  </w:style>
  <w:style w:type="character" w:styleId="21">
    <w:name w:val="FollowedHyperlink"/>
    <w:basedOn w:val="20"/>
    <w:qFormat/>
    <w:uiPriority w:val="0"/>
    <w:rPr>
      <w:color w:val="800080"/>
      <w:u w:val="single"/>
    </w:rPr>
  </w:style>
  <w:style w:type="character" w:styleId="22">
    <w:name w:val="Hyperlink"/>
    <w:basedOn w:val="20"/>
    <w:qFormat/>
    <w:uiPriority w:val="0"/>
    <w:rPr>
      <w:color w:val="0000FF"/>
      <w:u w:val="single"/>
    </w:rPr>
  </w:style>
  <w:style w:type="character" w:customStyle="1" w:styleId="23">
    <w:name w:val="正文文本缩进 2 字符"/>
    <w:basedOn w:val="20"/>
    <w:link w:val="11"/>
    <w:qFormat/>
    <w:uiPriority w:val="0"/>
    <w:rPr>
      <w:rFonts w:hint="default" w:ascii="Times New Roman" w:hAnsi="Times New Roman" w:cs="Times New Roman"/>
    </w:rPr>
  </w:style>
  <w:style w:type="character" w:customStyle="1" w:styleId="24">
    <w:name w:val="正文文本 2 字符"/>
    <w:basedOn w:val="20"/>
    <w:link w:val="16"/>
    <w:qFormat/>
    <w:uiPriority w:val="0"/>
    <w:rPr>
      <w:rFonts w:ascii="黑体" w:hAnsi="宋体" w:eastAsia="黑体" w:cs="黑体"/>
      <w:b/>
    </w:rPr>
  </w:style>
  <w:style w:type="character" w:customStyle="1" w:styleId="25">
    <w:name w:val="标题 1 字符"/>
    <w:basedOn w:val="20"/>
    <w:link w:val="3"/>
    <w:qFormat/>
    <w:uiPriority w:val="0"/>
    <w:rPr>
      <w:b/>
    </w:rPr>
  </w:style>
  <w:style w:type="character" w:customStyle="1" w:styleId="26">
    <w:name w:val="纯文本 字符"/>
    <w:basedOn w:val="20"/>
    <w:link w:val="9"/>
    <w:autoRedefine/>
    <w:qFormat/>
    <w:uiPriority w:val="0"/>
    <w:rPr>
      <w:rFonts w:hint="eastAsia" w:ascii="宋体" w:hAnsi="宋体" w:eastAsia="宋体" w:cs="宋体"/>
    </w:rPr>
  </w:style>
  <w:style w:type="character" w:customStyle="1" w:styleId="27">
    <w:name w:val="标题 3 字符"/>
    <w:basedOn w:val="20"/>
    <w:link w:val="4"/>
    <w:autoRedefine/>
    <w:qFormat/>
    <w:uiPriority w:val="0"/>
    <w:rPr>
      <w:b/>
    </w:rPr>
  </w:style>
  <w:style w:type="character" w:customStyle="1" w:styleId="28">
    <w:name w:val="正文文本 字符"/>
    <w:basedOn w:val="20"/>
    <w:link w:val="6"/>
    <w:autoRedefine/>
    <w:qFormat/>
    <w:uiPriority w:val="0"/>
    <w:rPr>
      <w:rFonts w:ascii="仿宋_GB2312" w:eastAsia="仿宋_GB2312" w:cs="仿宋_GB2312"/>
    </w:rPr>
  </w:style>
  <w:style w:type="character" w:customStyle="1" w:styleId="29">
    <w:name w:val="日期 字符"/>
    <w:basedOn w:val="20"/>
    <w:link w:val="10"/>
    <w:qFormat/>
    <w:uiPriority w:val="0"/>
  </w:style>
  <w:style w:type="character" w:customStyle="1" w:styleId="30">
    <w:name w:val="正文文本缩进 3 字符"/>
    <w:basedOn w:val="20"/>
    <w:link w:val="15"/>
    <w:autoRedefine/>
    <w:qFormat/>
    <w:uiPriority w:val="0"/>
    <w:rPr>
      <w:rFonts w:hint="default" w:ascii="Times New Roman" w:hAnsi="Times New Roman" w:cs="Times New Roman"/>
      <w:shd w:val="clear" w:color="auto" w:fill="FFFFFF"/>
    </w:rPr>
  </w:style>
  <w:style w:type="character" w:customStyle="1" w:styleId="31">
    <w:name w:val="标题 2 字符"/>
    <w:basedOn w:val="20"/>
    <w:link w:val="2"/>
    <w:autoRedefine/>
    <w:qFormat/>
    <w:uiPriority w:val="0"/>
    <w:rPr>
      <w:rFonts w:ascii="等线 Light" w:hAnsi="等线 Light" w:eastAsia="等线 Light" w:cs="等线 Light"/>
      <w:b/>
    </w:rPr>
  </w:style>
  <w:style w:type="character" w:customStyle="1" w:styleId="32">
    <w:name w:val="正文文本缩进 字符"/>
    <w:basedOn w:val="20"/>
    <w:link w:val="7"/>
    <w:autoRedefine/>
    <w:qFormat/>
    <w:uiPriority w:val="0"/>
    <w:rPr>
      <w:rFonts w:hint="default" w:ascii="仿宋_GB2312" w:eastAsia="仿宋_GB2312" w:cs="仿宋_GB2312"/>
    </w:rPr>
  </w:style>
  <w:style w:type="character" w:customStyle="1" w:styleId="33">
    <w:name w:val="标题 4 字符"/>
    <w:basedOn w:val="20"/>
    <w:link w:val="5"/>
    <w:autoRedefine/>
    <w:qFormat/>
    <w:uiPriority w:val="0"/>
    <w:rPr>
      <w:rFonts w:hint="eastAsia" w:ascii="等线 Light" w:hAnsi="等线 Light" w:eastAsia="等线 Light" w:cs="等线 Light"/>
      <w:b/>
    </w:rPr>
  </w:style>
  <w:style w:type="character" w:customStyle="1" w:styleId="34">
    <w:name w:val="批注框文本 字符"/>
    <w:basedOn w:val="20"/>
    <w:link w:val="12"/>
    <w:autoRedefine/>
    <w:qFormat/>
    <w:uiPriority w:val="0"/>
  </w:style>
  <w:style w:type="character" w:customStyle="1" w:styleId="35">
    <w:name w:val="页眉 字符"/>
    <w:basedOn w:val="20"/>
    <w:link w:val="14"/>
    <w:autoRedefine/>
    <w:qFormat/>
    <w:uiPriority w:val="0"/>
    <w:rPr>
      <w:rFonts w:hint="default" w:ascii="Times New Roman" w:hAnsi="Times New Roman" w:cs="Times New Roman"/>
    </w:rPr>
  </w:style>
  <w:style w:type="character" w:customStyle="1" w:styleId="36">
    <w:name w:val="要点2"/>
    <w:basedOn w:val="20"/>
    <w:autoRedefine/>
    <w:qFormat/>
    <w:uiPriority w:val="0"/>
    <w:rPr>
      <w:b/>
      <w:color w:val="111111"/>
    </w:rPr>
  </w:style>
  <w:style w:type="character" w:customStyle="1" w:styleId="37">
    <w:name w:val="页脚 字符"/>
    <w:basedOn w:val="20"/>
    <w:link w:val="13"/>
    <w:autoRedefine/>
    <w:qFormat/>
    <w:uiPriority w:val="0"/>
    <w:rPr>
      <w:rFonts w:hint="default" w:ascii="Times New Roman" w:hAnsi="Times New Roman" w:cs="Times New Roman"/>
    </w:rPr>
  </w:style>
  <w:style w:type="paragraph" w:styleId="38">
    <w:name w:val="List Paragraph"/>
    <w:basedOn w:val="1"/>
    <w:autoRedefine/>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Pages>
  <Words>420</Words>
  <Characters>441</Characters>
  <Lines>22</Lines>
  <Paragraphs>27</Paragraphs>
  <TotalTime>0</TotalTime>
  <ScaleCrop>false</ScaleCrop>
  <LinksUpToDate>false</LinksUpToDate>
  <CharactersWithSpaces>834</CharactersWithSpaces>
  <Application>WPS Office_12.1.0.16399_F1E327BC-269C-435d-A152-05C5408002CA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2020-05-12T02:38:00Z</dcterms:created>
  <dc:creator>Administrator</dc:creator>
  <cp:lastModifiedBy>寻找伯乐的伯乐</cp:lastModifiedBy>
  <cp:lastPrinted>2025-06-18T03:27:00Z</cp:lastPrinted>
  <dcterms:modified xsi:type="dcterms:W3CDTF">2025-12-26T03:02:26Z</dcterms:modified>
  <cp:revision>21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2052-12.1.0.16399</vt:lpwstr>
  </property>
  <property fmtid="{D5CDD505-2E9C-101B-9397-08002B2CF9AE}" pid="3" name="ICV">
    <vt:lpwstr>A30D2750BB454D87BF0A168667EB27DD</vt:lpwstr>
  </property>
</Properties>
</file>