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8EFD">
      <w:pPr>
        <w:rPr>
          <w:rFonts w:hint="eastAsia"/>
          <w:color w:val="auto"/>
          <w:highlight w:val="none"/>
        </w:rPr>
      </w:pPr>
      <w:bookmarkStart w:id="0" w:name="OLE_LINK1"/>
    </w:p>
    <w:p w14:paraId="3102AEE1">
      <w:pPr>
        <w:keepNext w:val="0"/>
        <w:keepLines w:val="0"/>
        <w:pageBreakBefore w:val="0"/>
        <w:widowControl w:val="0"/>
        <w:kinsoku/>
        <w:wordWrap/>
        <w:overflowPunct/>
        <w:topLinePunct w:val="0"/>
        <w:autoSpaceDE/>
        <w:autoSpaceDN/>
        <w:bidi w:val="0"/>
        <w:adjustRightInd/>
        <w:snapToGrid w:val="0"/>
        <w:spacing w:before="313" w:beforeLines="100" w:after="313" w:afterLines="100" w:line="800" w:lineRule="exact"/>
        <w:jc w:val="center"/>
        <w:textAlignment w:val="auto"/>
        <w:rPr>
          <w:rFonts w:hint="default" w:eastAsia="宋体"/>
          <w:color w:val="auto"/>
          <w:sz w:val="22"/>
          <w:szCs w:val="28"/>
          <w:highlight w:val="none"/>
          <w:lang w:val="en-US" w:eastAsia="zh-CN"/>
        </w:rPr>
      </w:pPr>
      <w:r>
        <w:rPr>
          <w:rFonts w:hint="eastAsia" w:ascii="宋体" w:hAnsi="宋体" w:eastAsia="宋体" w:cs="宋体"/>
          <w:b/>
          <w:bCs/>
          <w:color w:val="auto"/>
          <w:w w:val="85"/>
          <w:sz w:val="48"/>
          <w:szCs w:val="48"/>
          <w:highlight w:val="none"/>
        </w:rPr>
        <w:t>滁州市军粮供应站有限公司车辆定点保险项目</w:t>
      </w:r>
      <w:r>
        <w:rPr>
          <w:rFonts w:hint="eastAsia" w:ascii="宋体" w:hAnsi="宋体" w:cs="宋体"/>
          <w:b/>
          <w:bCs/>
          <w:color w:val="auto"/>
          <w:w w:val="85"/>
          <w:sz w:val="48"/>
          <w:szCs w:val="48"/>
          <w:highlight w:val="none"/>
          <w:lang w:eastAsia="zh-CN"/>
        </w:rPr>
        <w:t>（</w:t>
      </w:r>
      <w:r>
        <w:rPr>
          <w:rFonts w:hint="eastAsia" w:ascii="宋体" w:hAnsi="宋体" w:cs="宋体"/>
          <w:b/>
          <w:bCs/>
          <w:color w:val="auto"/>
          <w:w w:val="85"/>
          <w:sz w:val="48"/>
          <w:szCs w:val="48"/>
          <w:highlight w:val="none"/>
          <w:lang w:val="en-US" w:eastAsia="zh-CN"/>
        </w:rPr>
        <w:t>三次）</w:t>
      </w:r>
    </w:p>
    <w:p w14:paraId="75346B9D">
      <w:pPr>
        <w:spacing w:after="156" w:afterLines="50"/>
        <w:ind w:left="-850" w:leftChars="-405" w:right="-625"/>
        <w:jc w:val="center"/>
        <w:rPr>
          <w:rFonts w:hint="eastAsia"/>
          <w:color w:val="auto"/>
          <w:sz w:val="24"/>
          <w:highlight w:val="none"/>
        </w:rPr>
      </w:pPr>
    </w:p>
    <w:p w14:paraId="5B3F2512">
      <w:pPr>
        <w:rPr>
          <w:rFonts w:hint="eastAsia" w:ascii="宋体"/>
          <w:bCs/>
          <w:color w:val="auto"/>
          <w:szCs w:val="21"/>
          <w:highlight w:val="none"/>
        </w:rPr>
      </w:pPr>
    </w:p>
    <w:p w14:paraId="3975FF69">
      <w:pPr>
        <w:rPr>
          <w:rFonts w:hint="eastAsia" w:ascii="宋体"/>
          <w:bCs/>
          <w:color w:val="auto"/>
          <w:szCs w:val="21"/>
          <w:highlight w:val="none"/>
        </w:rPr>
      </w:pPr>
    </w:p>
    <w:p w14:paraId="66796547">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4DF0B417">
      <w:pPr>
        <w:rPr>
          <w:rFonts w:hint="eastAsia" w:ascii="宋体" w:hAnsi="宋体"/>
          <w:b/>
          <w:color w:val="auto"/>
          <w:sz w:val="84"/>
          <w:szCs w:val="84"/>
          <w:highlight w:val="none"/>
        </w:rPr>
      </w:pPr>
    </w:p>
    <w:p w14:paraId="454AC2BD">
      <w:pPr>
        <w:pStyle w:val="36"/>
        <w:rPr>
          <w:rFonts w:hint="eastAsia"/>
          <w:color w:val="auto"/>
          <w:highlight w:val="none"/>
        </w:rPr>
      </w:pPr>
    </w:p>
    <w:p w14:paraId="2B4B50AE">
      <w:pPr>
        <w:rPr>
          <w:rFonts w:hint="eastAsia"/>
          <w:color w:val="auto"/>
          <w:highlight w:val="none"/>
        </w:rPr>
      </w:pPr>
    </w:p>
    <w:p w14:paraId="0A043D06">
      <w:pPr>
        <w:rPr>
          <w:rFonts w:hint="eastAsia" w:ascii="宋体"/>
          <w:color w:val="auto"/>
          <w:sz w:val="28"/>
          <w:szCs w:val="28"/>
          <w:highlight w:val="none"/>
        </w:rPr>
      </w:pPr>
    </w:p>
    <w:p w14:paraId="4F2646BA">
      <w:pPr>
        <w:pStyle w:val="24"/>
        <w:rPr>
          <w:rFonts w:hint="eastAsia"/>
          <w:color w:val="auto"/>
          <w:highlight w:val="none"/>
        </w:rPr>
      </w:pPr>
    </w:p>
    <w:p w14:paraId="4898C502">
      <w:pPr>
        <w:rPr>
          <w:rFonts w:hint="eastAsia" w:ascii="宋体"/>
          <w:b/>
          <w:color w:val="auto"/>
          <w:sz w:val="32"/>
          <w:szCs w:val="32"/>
          <w:highlight w:val="none"/>
        </w:rPr>
      </w:pPr>
    </w:p>
    <w:p w14:paraId="6E98E7EC">
      <w:pPr>
        <w:pStyle w:val="36"/>
        <w:rPr>
          <w:rFonts w:hint="eastAsia"/>
          <w:color w:val="auto"/>
          <w:highlight w:val="none"/>
        </w:rPr>
      </w:pPr>
    </w:p>
    <w:p w14:paraId="610B6BE1">
      <w:pPr>
        <w:pStyle w:val="30"/>
        <w:rPr>
          <w:rFonts w:hint="eastAsia"/>
          <w:color w:val="auto"/>
          <w:highlight w:val="none"/>
        </w:rPr>
      </w:pPr>
    </w:p>
    <w:p w14:paraId="4D216C92">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标</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滁州市军粮供应站有限公司</w:t>
      </w:r>
      <w:r>
        <w:rPr>
          <w:rFonts w:hint="eastAsia" w:ascii="宋体"/>
          <w:b/>
          <w:color w:val="auto"/>
          <w:sz w:val="32"/>
          <w:szCs w:val="32"/>
          <w:highlight w:val="none"/>
        </w:rPr>
        <w:t>（盖单位章）</w:t>
      </w:r>
    </w:p>
    <w:p w14:paraId="44C1C13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4684A3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12</w:t>
      </w:r>
      <w:r>
        <w:rPr>
          <w:rFonts w:hint="eastAsia" w:ascii="宋体"/>
          <w:b/>
          <w:color w:val="auto"/>
          <w:sz w:val="32"/>
          <w:szCs w:val="32"/>
          <w:highlight w:val="none"/>
        </w:rPr>
        <w:t>月</w:t>
      </w:r>
    </w:p>
    <w:p w14:paraId="5A5EBCBA">
      <w:pPr>
        <w:spacing w:line="360" w:lineRule="exact"/>
        <w:rPr>
          <w:rFonts w:hint="eastAsia"/>
          <w:b/>
          <w:color w:val="auto"/>
          <w:sz w:val="36"/>
          <w:highlight w:val="none"/>
        </w:rPr>
      </w:pPr>
    </w:p>
    <w:p w14:paraId="71163863">
      <w:pPr>
        <w:spacing w:line="360" w:lineRule="exact"/>
        <w:jc w:val="center"/>
        <w:rPr>
          <w:rFonts w:hint="eastAsia"/>
          <w:b/>
          <w:color w:val="auto"/>
          <w:sz w:val="36"/>
          <w:highlight w:val="none"/>
        </w:rPr>
      </w:pPr>
      <w:r>
        <w:rPr>
          <w:rFonts w:hint="eastAsia"/>
          <w:b/>
          <w:color w:val="auto"/>
          <w:sz w:val="36"/>
          <w:highlight w:val="none"/>
        </w:rPr>
        <w:br w:type="page"/>
      </w:r>
    </w:p>
    <w:p w14:paraId="646F9755">
      <w:pPr>
        <w:spacing w:line="360" w:lineRule="exact"/>
        <w:jc w:val="center"/>
        <w:rPr>
          <w:rFonts w:hint="eastAsia"/>
          <w:b/>
          <w:color w:val="auto"/>
          <w:sz w:val="36"/>
          <w:highlight w:val="none"/>
        </w:rPr>
      </w:pPr>
      <w:r>
        <w:rPr>
          <w:rFonts w:hint="eastAsia"/>
          <w:b/>
          <w:color w:val="auto"/>
          <w:sz w:val="36"/>
          <w:highlight w:val="none"/>
        </w:rPr>
        <w:t>目  录</w:t>
      </w:r>
    </w:p>
    <w:p w14:paraId="41D795BE">
      <w:pPr>
        <w:spacing w:line="360" w:lineRule="exact"/>
        <w:jc w:val="center"/>
        <w:rPr>
          <w:rFonts w:hint="eastAsia"/>
          <w:b/>
          <w:color w:val="auto"/>
          <w:sz w:val="36"/>
          <w:highlight w:val="none"/>
        </w:rPr>
      </w:pPr>
    </w:p>
    <w:p w14:paraId="7CF45282">
      <w:pPr>
        <w:pStyle w:val="28"/>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8"/>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8"/>
          <w:rFonts w:ascii="宋体" w:hAnsi="宋体"/>
          <w:color w:val="auto"/>
          <w:sz w:val="24"/>
          <w:highlight w:val="none"/>
        </w:rPr>
        <w:instrText xml:space="preserve"> </w:instrText>
      </w:r>
      <w:r>
        <w:rPr>
          <w:rFonts w:ascii="宋体" w:hAnsi="宋体"/>
          <w:color w:val="auto"/>
          <w:sz w:val="24"/>
          <w:highlight w:val="none"/>
        </w:rPr>
        <w:fldChar w:fldCharType="separate"/>
      </w:r>
      <w:r>
        <w:rPr>
          <w:rStyle w:val="48"/>
          <w:rFonts w:hint="eastAsia" w:ascii="宋体" w:hAnsi="宋体"/>
          <w:b/>
          <w:color w:val="auto"/>
          <w:sz w:val="24"/>
          <w:highlight w:val="none"/>
        </w:rPr>
        <w:t>第一章</w:t>
      </w:r>
      <w:r>
        <w:rPr>
          <w:rStyle w:val="48"/>
          <w:rFonts w:ascii="宋体" w:hAnsi="宋体"/>
          <w:b/>
          <w:color w:val="auto"/>
          <w:sz w:val="24"/>
          <w:highlight w:val="none"/>
        </w:rPr>
        <w:t xml:space="preserve"> </w:t>
      </w:r>
      <w:r>
        <w:rPr>
          <w:rStyle w:val="48"/>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0CF1839A">
      <w:pPr>
        <w:pStyle w:val="28"/>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8"/>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8"/>
          <w:rFonts w:hint="eastAsia" w:ascii="宋体" w:hAnsi="宋体"/>
          <w:b/>
          <w:color w:val="auto"/>
          <w:sz w:val="24"/>
          <w:highlight w:val="none"/>
        </w:rPr>
        <w:t>第二章</w:t>
      </w:r>
      <w:r>
        <w:rPr>
          <w:rStyle w:val="48"/>
          <w:rFonts w:ascii="宋体" w:hAnsi="宋体"/>
          <w:b/>
          <w:color w:val="auto"/>
          <w:sz w:val="24"/>
          <w:highlight w:val="none"/>
        </w:rPr>
        <w:t xml:space="preserve"> </w:t>
      </w:r>
      <w:r>
        <w:rPr>
          <w:rStyle w:val="48"/>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w:t>
      </w:r>
    </w:p>
    <w:p w14:paraId="36CBB0FA">
      <w:pPr>
        <w:pStyle w:val="28"/>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8"/>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8"/>
          <w:rFonts w:hint="eastAsia" w:ascii="宋体" w:hAnsi="宋体"/>
          <w:b/>
          <w:color w:val="auto"/>
          <w:sz w:val="24"/>
          <w:highlight w:val="none"/>
        </w:rPr>
        <w:t>第三章</w:t>
      </w:r>
      <w:r>
        <w:rPr>
          <w:rStyle w:val="48"/>
          <w:rFonts w:ascii="宋体" w:hAnsi="宋体"/>
          <w:b/>
          <w:color w:val="auto"/>
          <w:sz w:val="24"/>
          <w:highlight w:val="none"/>
        </w:rPr>
        <w:t xml:space="preserve"> </w:t>
      </w:r>
      <w:r>
        <w:rPr>
          <w:rStyle w:val="48"/>
          <w:rFonts w:hint="eastAsia" w:ascii="宋体" w:hAnsi="宋体"/>
          <w:b/>
          <w:color w:val="auto"/>
          <w:sz w:val="24"/>
          <w:highlight w:val="none"/>
        </w:rPr>
        <w:t>评标办法（综合评分法）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18</w:t>
      </w:r>
    </w:p>
    <w:p w14:paraId="05B8D3E4">
      <w:pPr>
        <w:pStyle w:val="28"/>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8"/>
          <w:rFonts w:ascii="宋体" w:hAnsi="宋体"/>
          <w:b/>
          <w:color w:val="auto"/>
          <w:sz w:val="24"/>
          <w:highlight w:val="none"/>
        </w:rPr>
        <w:instrText xml:space="preserve"> </w:instrText>
      </w:r>
      <w:r>
        <w:rPr>
          <w:rFonts w:ascii="宋体" w:hAnsi="宋体"/>
          <w:b/>
          <w:color w:val="auto"/>
          <w:sz w:val="24"/>
          <w:highlight w:val="none"/>
        </w:rPr>
        <w:instrText xml:space="preserve">HYPERLINK \l "_Toc58430328"</w:instrText>
      </w:r>
      <w:r>
        <w:rPr>
          <w:rStyle w:val="4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8"/>
          <w:rFonts w:hint="eastAsia" w:ascii="宋体" w:hAnsi="宋体"/>
          <w:b/>
          <w:color w:val="auto"/>
          <w:sz w:val="24"/>
          <w:highlight w:val="none"/>
        </w:rPr>
        <w:t>第四章</w:t>
      </w:r>
      <w:r>
        <w:rPr>
          <w:rStyle w:val="48"/>
          <w:rFonts w:ascii="宋体" w:hAnsi="宋体"/>
          <w:b/>
          <w:color w:val="auto"/>
          <w:sz w:val="24"/>
          <w:highlight w:val="none"/>
        </w:rPr>
        <w:t xml:space="preserve"> </w:t>
      </w:r>
      <w:r>
        <w:rPr>
          <w:rStyle w:val="48"/>
          <w:rFonts w:hint="eastAsia" w:ascii="宋体" w:hAnsi="宋体"/>
          <w:b/>
          <w:color w:val="auto"/>
          <w:sz w:val="24"/>
          <w:highlight w:val="none"/>
        </w:rPr>
        <w:t>采购需求</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23</w:t>
      </w:r>
    </w:p>
    <w:p w14:paraId="015E87B1">
      <w:pPr>
        <w:pStyle w:val="28"/>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第五章 合同格式（参考）</w:t>
      </w:r>
      <w:r>
        <w:rPr>
          <w:rFonts w:ascii="宋体" w:hAnsi="宋体"/>
          <w:b/>
          <w:color w:val="auto"/>
          <w:sz w:val="24"/>
          <w:highlight w:val="none"/>
        </w:rPr>
        <w:tab/>
      </w:r>
      <w:r>
        <w:rPr>
          <w:rFonts w:hint="eastAsia" w:ascii="宋体" w:hAnsi="宋体"/>
          <w:b/>
          <w:color w:val="auto"/>
          <w:sz w:val="24"/>
          <w:highlight w:val="none"/>
          <w:lang w:val="en-US" w:eastAsia="zh-CN"/>
        </w:rPr>
        <w:t>26</w:t>
      </w:r>
    </w:p>
    <w:p w14:paraId="27292367">
      <w:pPr>
        <w:pStyle w:val="28"/>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8"/>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8"/>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8"/>
          <w:rFonts w:hint="eastAsia" w:ascii="宋体" w:hAnsi="宋体"/>
          <w:b/>
          <w:color w:val="auto"/>
          <w:sz w:val="24"/>
          <w:highlight w:val="none"/>
        </w:rPr>
        <w:t>第</w:t>
      </w:r>
      <w:r>
        <w:rPr>
          <w:rStyle w:val="48"/>
          <w:rFonts w:hint="eastAsia" w:ascii="宋体" w:hAnsi="宋体"/>
          <w:b/>
          <w:color w:val="auto"/>
          <w:sz w:val="24"/>
          <w:highlight w:val="none"/>
          <w:lang w:val="en-US" w:eastAsia="zh-CN"/>
        </w:rPr>
        <w:t>六</w:t>
      </w:r>
      <w:r>
        <w:rPr>
          <w:rStyle w:val="48"/>
          <w:rFonts w:hint="eastAsia" w:ascii="宋体" w:hAnsi="宋体"/>
          <w:b/>
          <w:color w:val="auto"/>
          <w:sz w:val="24"/>
          <w:highlight w:val="none"/>
        </w:rPr>
        <w:t>章</w:t>
      </w:r>
      <w:r>
        <w:rPr>
          <w:rStyle w:val="48"/>
          <w:rFonts w:ascii="宋体" w:hAnsi="宋体"/>
          <w:b/>
          <w:color w:val="auto"/>
          <w:sz w:val="24"/>
          <w:highlight w:val="none"/>
        </w:rPr>
        <w:t xml:space="preserve"> </w:t>
      </w:r>
      <w:r>
        <w:rPr>
          <w:rStyle w:val="48"/>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32</w:t>
      </w:r>
    </w:p>
    <w:p w14:paraId="160017E2">
      <w:pPr>
        <w:pStyle w:val="28"/>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11EDBE1A">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3545CFDD">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bookmarkStart w:id="120" w:name="_GoBack"/>
      <w:r>
        <w:rPr>
          <w:rFonts w:hint="eastAsia" w:ascii="仿宋" w:hAnsi="仿宋" w:eastAsia="仿宋" w:cs="仿宋"/>
          <w:color w:val="auto"/>
          <w:sz w:val="28"/>
          <w:szCs w:val="28"/>
          <w:highlight w:val="none"/>
        </w:rPr>
        <w:t>项目概况</w:t>
      </w:r>
    </w:p>
    <w:p w14:paraId="2CDD145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滁州市军粮供应站有限公司车辆定点保险项目（三次） </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滁州市扬子工业投资集团有限公司官网（https://czyzgtjt.com/）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12</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19</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585B2F5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54BA8521">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滁州市军粮供应站有限公司车辆定点保险项目（三次）</w:t>
      </w:r>
    </w:p>
    <w:p w14:paraId="2D06523C">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约220000.00元</w:t>
      </w:r>
    </w:p>
    <w:p w14:paraId="52DCA986">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最高限价：承保机构商业险自主定价系数不得超过1.35(135%)</w:t>
      </w:r>
    </w:p>
    <w:p w14:paraId="0D44EA05">
      <w:pPr>
        <w:spacing w:before="0" w:beforeLines="0" w:line="240" w:lineRule="auto"/>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采购需求：车辆定点保险服务</w:t>
      </w:r>
    </w:p>
    <w:p w14:paraId="26C11FD0">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w:t>
      </w:r>
      <w:r>
        <w:rPr>
          <w:rFonts w:hint="eastAsia" w:ascii="仿宋" w:hAnsi="仿宋" w:eastAsia="仿宋" w:cs="仿宋"/>
          <w:color w:val="auto"/>
          <w:sz w:val="28"/>
          <w:szCs w:val="28"/>
          <w:highlight w:val="none"/>
          <w:shd w:val="clear" w:color="auto" w:fill="auto"/>
        </w:rPr>
        <w:t>自合同签订之日起</w:t>
      </w:r>
      <w:r>
        <w:rPr>
          <w:rFonts w:hint="eastAsia" w:ascii="仿宋" w:hAnsi="仿宋" w:eastAsia="仿宋" w:cs="仿宋"/>
          <w:color w:val="auto"/>
          <w:sz w:val="28"/>
          <w:szCs w:val="28"/>
          <w:highlight w:val="none"/>
          <w:shd w:val="clear" w:color="auto" w:fill="auto"/>
          <w:lang w:val="en-US" w:eastAsia="zh-CN"/>
        </w:rPr>
        <w:t>三年。</w:t>
      </w:r>
    </w:p>
    <w:p w14:paraId="1F109278">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17E7DFC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791"/>
      <w:bookmarkStart w:id="4" w:name="_Toc28359080"/>
      <w:bookmarkStart w:id="5" w:name="_Toc35393622"/>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7F0F0817">
      <w:pPr>
        <w:ind w:firstLine="560" w:firstLineChars="200"/>
        <w:rPr>
          <w:rFonts w:hint="eastAsia" w:ascii="仿宋" w:hAnsi="仿宋" w:eastAsia="仿宋"/>
          <w:color w:val="auto"/>
          <w:sz w:val="28"/>
          <w:szCs w:val="28"/>
          <w:highlight w:val="none"/>
          <w:lang w:eastAsia="zh-CN"/>
        </w:rPr>
      </w:pPr>
      <w:bookmarkStart w:id="7" w:name="_Toc35393623"/>
      <w:bookmarkStart w:id="8" w:name="_Toc35393792"/>
      <w:bookmarkStart w:id="9" w:name="_Toc28359004"/>
      <w:bookmarkStart w:id="10" w:name="_Toc28359081"/>
      <w:r>
        <w:rPr>
          <w:rFonts w:hint="eastAsia" w:ascii="仿宋" w:hAnsi="仿宋" w:eastAsia="仿宋"/>
          <w:color w:val="auto"/>
          <w:sz w:val="28"/>
          <w:szCs w:val="28"/>
          <w:highlight w:val="none"/>
        </w:rPr>
        <w:t>1.投标人须为经中国保险监督管理委员会批准具备经营本项目保险资格的保险公司市级分公司或中心支公司</w:t>
      </w:r>
      <w:r>
        <w:rPr>
          <w:rFonts w:hint="eastAsia" w:ascii="仿宋" w:hAnsi="仿宋" w:eastAsia="仿宋"/>
          <w:color w:val="auto"/>
          <w:sz w:val="28"/>
          <w:szCs w:val="28"/>
          <w:highlight w:val="none"/>
          <w:lang w:eastAsia="zh-CN"/>
        </w:rPr>
        <w:t>；</w:t>
      </w:r>
    </w:p>
    <w:p w14:paraId="158E14EE">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2.具有市级分公司或中心支公司经营保险业务许可证；</w:t>
      </w:r>
    </w:p>
    <w:p w14:paraId="56CB864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240C4FB5">
      <w:pPr>
        <w:ind w:firstLine="540"/>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时间：</w:t>
      </w:r>
      <w:r>
        <w:rPr>
          <w:rFonts w:hint="eastAsia" w:ascii="仿宋" w:hAnsi="仿宋" w:eastAsia="仿宋" w:cs="仿宋"/>
          <w:color w:val="auto"/>
          <w:sz w:val="28"/>
          <w:szCs w:val="28"/>
          <w:highlight w:val="none"/>
          <w:shd w:val="clear" w:color="auto" w:fill="FFFFFF"/>
        </w:rPr>
        <w:t>2025年</w:t>
      </w:r>
      <w:r>
        <w:rPr>
          <w:rFonts w:hint="eastAsia" w:ascii="仿宋" w:hAnsi="仿宋" w:eastAsia="仿宋" w:cs="仿宋"/>
          <w:color w:val="auto"/>
          <w:sz w:val="28"/>
          <w:szCs w:val="28"/>
          <w:highlight w:val="none"/>
          <w:shd w:val="clear" w:color="auto" w:fill="FFFFFF"/>
          <w:lang w:val="en-US" w:eastAsia="zh-CN"/>
        </w:rPr>
        <w:t>12</w:t>
      </w:r>
      <w:r>
        <w:rPr>
          <w:rFonts w:hint="eastAsia" w:ascii="仿宋" w:hAnsi="仿宋" w:eastAsia="仿宋" w:cs="仿宋"/>
          <w:color w:val="auto"/>
          <w:sz w:val="28"/>
          <w:szCs w:val="28"/>
          <w:highlight w:val="none"/>
          <w:shd w:val="clear" w:color="auto" w:fill="FFFFFF"/>
        </w:rPr>
        <w:t>月</w:t>
      </w:r>
      <w:r>
        <w:rPr>
          <w:rFonts w:hint="eastAsia" w:ascii="仿宋" w:hAnsi="仿宋" w:eastAsia="仿宋" w:cs="仿宋"/>
          <w:color w:val="auto"/>
          <w:sz w:val="28"/>
          <w:szCs w:val="28"/>
          <w:highlight w:val="none"/>
          <w:shd w:val="clear" w:color="auto" w:fill="FFFFFF"/>
          <w:lang w:val="en-US" w:eastAsia="zh-CN"/>
        </w:rPr>
        <w:t>10</w:t>
      </w:r>
      <w:r>
        <w:rPr>
          <w:rFonts w:hint="eastAsia" w:ascii="仿宋" w:hAnsi="仿宋" w:eastAsia="仿宋" w:cs="仿宋"/>
          <w:color w:val="auto"/>
          <w:sz w:val="28"/>
          <w:szCs w:val="28"/>
          <w:highlight w:val="none"/>
          <w:shd w:val="clear" w:color="auto" w:fill="FFFFFF"/>
        </w:rPr>
        <w:t>日至2025年</w:t>
      </w:r>
      <w:r>
        <w:rPr>
          <w:rFonts w:hint="eastAsia" w:ascii="仿宋" w:hAnsi="仿宋" w:eastAsia="仿宋" w:cs="仿宋"/>
          <w:color w:val="auto"/>
          <w:sz w:val="28"/>
          <w:szCs w:val="28"/>
          <w:highlight w:val="none"/>
          <w:shd w:val="clear" w:color="auto" w:fill="FFFFFF"/>
          <w:lang w:val="en-US" w:eastAsia="zh-CN"/>
        </w:rPr>
        <w:t>12</w:t>
      </w:r>
      <w:r>
        <w:rPr>
          <w:rFonts w:hint="eastAsia" w:ascii="仿宋" w:hAnsi="仿宋" w:eastAsia="仿宋" w:cs="仿宋"/>
          <w:color w:val="auto"/>
          <w:sz w:val="28"/>
          <w:szCs w:val="28"/>
          <w:highlight w:val="none"/>
          <w:shd w:val="clear" w:color="auto" w:fill="FFFFFF"/>
        </w:rPr>
        <w:t>月</w:t>
      </w:r>
      <w:r>
        <w:rPr>
          <w:rFonts w:hint="eastAsia" w:ascii="仿宋" w:hAnsi="仿宋" w:eastAsia="仿宋" w:cs="仿宋"/>
          <w:color w:val="auto"/>
          <w:sz w:val="28"/>
          <w:szCs w:val="28"/>
          <w:highlight w:val="none"/>
          <w:shd w:val="clear" w:color="auto" w:fill="FFFFFF"/>
          <w:lang w:val="en-US" w:eastAsia="zh-CN"/>
        </w:rPr>
        <w:t>19</w:t>
      </w:r>
      <w:r>
        <w:rPr>
          <w:rFonts w:hint="eastAsia" w:ascii="仿宋" w:hAnsi="仿宋" w:eastAsia="仿宋" w:cs="仿宋"/>
          <w:color w:val="auto"/>
          <w:sz w:val="28"/>
          <w:szCs w:val="28"/>
          <w:highlight w:val="none"/>
          <w:shd w:val="clear" w:color="auto" w:fill="FFFFFF"/>
        </w:rPr>
        <w:t>日</w:t>
      </w:r>
      <w:r>
        <w:rPr>
          <w:rFonts w:hint="eastAsia" w:ascii="仿宋" w:hAnsi="仿宋" w:eastAsia="仿宋" w:cs="仿宋"/>
          <w:color w:val="auto"/>
          <w:sz w:val="28"/>
          <w:szCs w:val="28"/>
          <w:highlight w:val="none"/>
          <w:shd w:val="clear" w:color="auto" w:fill="FFFFFF"/>
          <w:lang w:val="en-US" w:eastAsia="zh-CN"/>
        </w:rPr>
        <w:t>9</w:t>
      </w:r>
      <w:r>
        <w:rPr>
          <w:rFonts w:hint="eastAsia" w:ascii="仿宋" w:hAnsi="仿宋" w:eastAsia="仿宋" w:cs="仿宋"/>
          <w:color w:val="auto"/>
          <w:sz w:val="28"/>
          <w:szCs w:val="28"/>
          <w:highlight w:val="none"/>
          <w:shd w:val="clear" w:color="auto" w:fill="FFFFFF"/>
        </w:rPr>
        <w:t>时</w:t>
      </w:r>
      <w:r>
        <w:rPr>
          <w:rFonts w:hint="eastAsia" w:ascii="仿宋" w:hAnsi="仿宋" w:eastAsia="仿宋" w:cs="仿宋"/>
          <w:color w:val="auto"/>
          <w:sz w:val="28"/>
          <w:szCs w:val="28"/>
          <w:highlight w:val="none"/>
          <w:shd w:val="clear" w:color="auto" w:fill="FFFFFF"/>
          <w:lang w:val="en-US" w:eastAsia="zh-CN"/>
        </w:rPr>
        <w:t>00</w:t>
      </w:r>
      <w:r>
        <w:rPr>
          <w:rFonts w:hint="eastAsia" w:ascii="仿宋" w:hAnsi="仿宋" w:eastAsia="仿宋" w:cs="仿宋"/>
          <w:color w:val="auto"/>
          <w:sz w:val="28"/>
          <w:szCs w:val="28"/>
          <w:highlight w:val="none"/>
          <w:shd w:val="clear" w:color="auto" w:fill="FFFFFF"/>
        </w:rPr>
        <w:t>分</w:t>
      </w:r>
    </w:p>
    <w:p w14:paraId="49CE042D">
      <w:pPr>
        <w:ind w:firstLine="540"/>
        <w:rPr>
          <w:rFonts w:hint="eastAsia" w:ascii="仿宋" w:hAnsi="仿宋" w:eastAsia="仿宋" w:cs="宋体"/>
          <w:color w:val="auto"/>
          <w:sz w:val="28"/>
          <w:szCs w:val="28"/>
          <w:highlight w:val="none"/>
          <w:u w:val="single"/>
          <w:lang w:val="en-US" w:eastAsia="zh-CN"/>
        </w:rPr>
      </w:pPr>
      <w:r>
        <w:rPr>
          <w:rFonts w:hint="eastAsia" w:ascii="仿宋" w:hAnsi="仿宋" w:eastAsia="仿宋" w:cs="宋体"/>
          <w:color w:val="auto"/>
          <w:sz w:val="28"/>
          <w:szCs w:val="28"/>
          <w:highlight w:val="none"/>
        </w:rPr>
        <w:t>方式：网上下载</w:t>
      </w:r>
    </w:p>
    <w:p w14:paraId="73BC1C06">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58C7EEC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76284AC0">
      <w:pPr>
        <w:ind w:firstLine="540"/>
        <w:rPr>
          <w:rFonts w:hint="eastAsia" w:ascii="仿宋" w:hAnsi="仿宋" w:eastAsia="仿宋" w:cs="宋体"/>
          <w:color w:val="auto"/>
          <w:sz w:val="28"/>
          <w:szCs w:val="28"/>
          <w:highlight w:val="none"/>
          <w:lang w:eastAsia="zh-CN"/>
        </w:rPr>
      </w:pPr>
      <w:r>
        <w:rPr>
          <w:rFonts w:hint="eastAsia" w:ascii="仿宋" w:hAnsi="仿宋" w:eastAsia="仿宋" w:cs="宋体"/>
          <w:color w:val="auto"/>
          <w:sz w:val="28"/>
          <w:szCs w:val="28"/>
          <w:highlight w:val="none"/>
          <w:lang w:val="en-US" w:eastAsia="zh-CN"/>
        </w:rPr>
        <w:t>时间：</w:t>
      </w:r>
      <w:r>
        <w:rPr>
          <w:rFonts w:hint="eastAsia"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12</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19</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9</w:t>
      </w:r>
      <w:r>
        <w:rPr>
          <w:rFonts w:hint="eastAsia" w:ascii="仿宋" w:hAnsi="仿宋" w:eastAsia="仿宋" w:cs="宋体"/>
          <w:color w:val="auto"/>
          <w:sz w:val="28"/>
          <w:szCs w:val="28"/>
          <w:highlight w:val="none"/>
        </w:rPr>
        <w:t>点</w:t>
      </w:r>
      <w:r>
        <w:rPr>
          <w:rFonts w:hint="eastAsia" w:ascii="仿宋" w:hAnsi="仿宋" w:eastAsia="仿宋" w:cs="宋体"/>
          <w:color w:val="auto"/>
          <w:sz w:val="28"/>
          <w:szCs w:val="28"/>
          <w:highlight w:val="none"/>
          <w:lang w:val="en-US" w:eastAsia="zh-CN"/>
        </w:rPr>
        <w:t>00</w:t>
      </w:r>
      <w:r>
        <w:rPr>
          <w:rFonts w:hint="eastAsia" w:ascii="仿宋" w:hAnsi="仿宋" w:eastAsia="仿宋" w:cs="宋体"/>
          <w:color w:val="auto"/>
          <w:sz w:val="28"/>
          <w:szCs w:val="28"/>
          <w:highlight w:val="none"/>
        </w:rPr>
        <w:t>分</w:t>
      </w:r>
    </w:p>
    <w:p w14:paraId="3AAA6073">
      <w:pPr>
        <w:ind w:firstLine="540"/>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滁州市城投工程咨询管理有限公司603会议室（滁州市南谯区龙蟠大道109号房产大厦六楼）</w:t>
      </w:r>
    </w:p>
    <w:p w14:paraId="32F1878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4D56E9B2">
      <w:pPr>
        <w:pStyle w:val="130"/>
        <w:rPr>
          <w:color w:val="auto"/>
          <w:highlight w:val="none"/>
        </w:rPr>
      </w:pPr>
      <w:bookmarkStart w:id="15" w:name="_Toc35393626"/>
      <w:bookmarkStart w:id="16" w:name="_Toc35393795"/>
      <w:r>
        <w:rPr>
          <w:color w:val="auto"/>
          <w:highlight w:val="none"/>
        </w:rPr>
        <w:t>窗体顶端</w:t>
      </w:r>
    </w:p>
    <w:p w14:paraId="1E3A71C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bookmarkEnd w:id="15"/>
      <w:bookmarkEnd w:id="16"/>
    </w:p>
    <w:p w14:paraId="739C196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w:t>
      </w:r>
      <w:r>
        <w:rPr>
          <w:rFonts w:hint="eastAsia" w:ascii="黑体" w:hAnsi="黑体" w:eastAsia="黑体" w:cs="黑体"/>
          <w:color w:val="auto"/>
          <w:sz w:val="28"/>
          <w:szCs w:val="28"/>
          <w:highlight w:val="none"/>
        </w:rPr>
        <w:t>公告发布期限</w:t>
      </w:r>
    </w:p>
    <w:p w14:paraId="4C8C4E73">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自本公告发布之日起至投标截止时间止。</w:t>
      </w:r>
    </w:p>
    <w:p w14:paraId="5C0E03A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00E2201B">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5FC428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滁州市军粮供应站有限公司</w:t>
      </w:r>
    </w:p>
    <w:p w14:paraId="55CE62D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 xml:space="preserve">安徽省滁州市苏州北路379号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rPr>
        <w:t xml:space="preserve"> </w:t>
      </w:r>
    </w:p>
    <w:p w14:paraId="769FF50A">
      <w:pPr>
        <w:ind w:firstLine="560" w:firstLineChars="200"/>
        <w:jc w:val="left"/>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 xml:space="preserve">15375026152 </w:t>
      </w:r>
    </w:p>
    <w:p w14:paraId="6C2069E7">
      <w:pPr>
        <w:pStyle w:val="36"/>
        <w:ind w:left="0" w:leftChars="0" w:firstLine="560" w:firstLineChars="200"/>
        <w:rPr>
          <w:rFonts w:hint="default"/>
          <w:color w:val="auto"/>
          <w:highlight w:val="none"/>
          <w:lang w:val="en-US"/>
        </w:rPr>
      </w:pPr>
      <w:r>
        <w:rPr>
          <w:rFonts w:hint="eastAsia" w:ascii="仿宋" w:hAnsi="仿宋" w:eastAsia="仿宋" w:cs="仿宋"/>
          <w:color w:val="auto"/>
          <w:sz w:val="28"/>
          <w:szCs w:val="28"/>
          <w:highlight w:val="none"/>
          <w:u w:val="none"/>
          <w:lang w:val="en-US" w:eastAsia="zh-CN"/>
        </w:rPr>
        <w:t>监督电话：</w:t>
      </w:r>
      <w:r>
        <w:rPr>
          <w:rFonts w:hint="eastAsia" w:ascii="仿宋" w:hAnsi="仿宋" w:eastAsia="仿宋" w:cs="仿宋"/>
          <w:color w:val="auto"/>
          <w:sz w:val="28"/>
          <w:szCs w:val="28"/>
          <w:highlight w:val="none"/>
          <w:u w:val="single"/>
          <w:lang w:val="en-US" w:eastAsia="zh-CN"/>
        </w:rPr>
        <w:t>0550-3017855</w:t>
      </w:r>
    </w:p>
    <w:p w14:paraId="07B572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5E0614A3">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4FB0259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151802B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13BAF074">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16E3DA23">
      <w:pPr>
        <w:pStyle w:val="21"/>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钟庆阳、</w:t>
      </w:r>
      <w:r>
        <w:rPr>
          <w:rFonts w:hint="eastAsia" w:ascii="仿宋" w:hAnsi="仿宋" w:eastAsia="仿宋" w:cs="仿宋"/>
          <w:color w:val="auto"/>
          <w:sz w:val="28"/>
          <w:szCs w:val="28"/>
          <w:highlight w:val="none"/>
          <w:u w:val="single" w:color="auto"/>
        </w:rPr>
        <w:t>杨韦</w:t>
      </w:r>
    </w:p>
    <w:p w14:paraId="34A7C39D">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15375026152 、</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p>
    <w:bookmarkEnd w:id="120"/>
    <w:p w14:paraId="10E9FD09">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E6B667">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7"/>
        <w:tblW w:w="96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8"/>
        <w:gridCol w:w="1575"/>
        <w:gridCol w:w="7395"/>
      </w:tblGrid>
      <w:tr w14:paraId="706E0C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38" w:type="dxa"/>
            <w:noWrap w:val="0"/>
            <w:vAlign w:val="center"/>
          </w:tcPr>
          <w:p w14:paraId="1A3509D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575" w:type="dxa"/>
            <w:noWrap w:val="0"/>
            <w:vAlign w:val="center"/>
          </w:tcPr>
          <w:p w14:paraId="7BA5539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7395" w:type="dxa"/>
            <w:noWrap w:val="0"/>
            <w:vAlign w:val="center"/>
          </w:tcPr>
          <w:p w14:paraId="59DDC3F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2B4DAF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38" w:type="dxa"/>
            <w:noWrap w:val="0"/>
            <w:vAlign w:val="center"/>
          </w:tcPr>
          <w:p w14:paraId="6318A9A0">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75" w:type="dxa"/>
            <w:noWrap w:val="0"/>
            <w:vAlign w:val="center"/>
          </w:tcPr>
          <w:p w14:paraId="2CA371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395" w:type="dxa"/>
            <w:noWrap w:val="0"/>
            <w:vAlign w:val="center"/>
          </w:tcPr>
          <w:p w14:paraId="524A5409">
            <w:pPr>
              <w:pStyle w:val="21"/>
              <w:keepNext w:val="0"/>
              <w:keepLines w:val="0"/>
              <w:pageBreakBefore w:val="0"/>
              <w:kinsoku/>
              <w:overflowPunct/>
              <w:topLinePunct w:val="0"/>
              <w:autoSpaceDE/>
              <w:autoSpaceDN/>
              <w:bidi w:val="0"/>
              <w:adjustRightInd/>
              <w:spacing w:line="52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滁州市军粮供应站有限公司车辆定点保险项目</w:t>
            </w:r>
            <w:r>
              <w:rPr>
                <w:rFonts w:hint="eastAsia" w:hAnsi="宋体" w:cs="宋体"/>
                <w:color w:val="auto"/>
                <w:sz w:val="21"/>
                <w:szCs w:val="21"/>
                <w:highlight w:val="none"/>
                <w:lang w:val="en-US" w:eastAsia="zh-CN"/>
              </w:rPr>
              <w:t>（三次）</w:t>
            </w:r>
          </w:p>
        </w:tc>
      </w:tr>
      <w:tr w14:paraId="465BC3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638" w:type="dxa"/>
            <w:noWrap w:val="0"/>
            <w:vAlign w:val="center"/>
          </w:tcPr>
          <w:p w14:paraId="73295DA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75" w:type="dxa"/>
            <w:noWrap w:val="0"/>
            <w:vAlign w:val="center"/>
          </w:tcPr>
          <w:p w14:paraId="221F67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7395" w:type="dxa"/>
            <w:noWrap w:val="0"/>
            <w:vAlign w:val="center"/>
          </w:tcPr>
          <w:p w14:paraId="643C3D70">
            <w:pPr>
              <w:pStyle w:val="24"/>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年。</w:t>
            </w:r>
          </w:p>
        </w:tc>
      </w:tr>
      <w:tr w14:paraId="78E37B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638" w:type="dxa"/>
            <w:noWrap w:val="0"/>
            <w:vAlign w:val="center"/>
          </w:tcPr>
          <w:p w14:paraId="2CE19DC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75" w:type="dxa"/>
            <w:noWrap w:val="0"/>
            <w:vAlign w:val="center"/>
          </w:tcPr>
          <w:p w14:paraId="67A9646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7395" w:type="dxa"/>
            <w:noWrap w:val="0"/>
            <w:vAlign w:val="center"/>
          </w:tcPr>
          <w:p w14:paraId="71EEC963">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指定地点</w:t>
            </w:r>
          </w:p>
        </w:tc>
      </w:tr>
      <w:tr w14:paraId="7F4B4E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38" w:type="dxa"/>
            <w:noWrap w:val="0"/>
            <w:vAlign w:val="center"/>
          </w:tcPr>
          <w:p w14:paraId="50E43DD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75" w:type="dxa"/>
            <w:noWrap w:val="0"/>
            <w:vAlign w:val="center"/>
          </w:tcPr>
          <w:p w14:paraId="5B610DF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7395" w:type="dxa"/>
            <w:noWrap w:val="0"/>
            <w:vAlign w:val="center"/>
          </w:tcPr>
          <w:p w14:paraId="2B3A019D">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钟庆阳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15375026152</w:t>
            </w:r>
          </w:p>
        </w:tc>
      </w:tr>
      <w:tr w14:paraId="7F9E7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38" w:type="dxa"/>
            <w:noWrap w:val="0"/>
            <w:vAlign w:val="center"/>
          </w:tcPr>
          <w:p w14:paraId="33E688F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75" w:type="dxa"/>
            <w:noWrap w:val="0"/>
            <w:vAlign w:val="center"/>
          </w:tcPr>
          <w:p w14:paraId="41D596D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7395" w:type="dxa"/>
            <w:noWrap w:val="0"/>
            <w:vAlign w:val="center"/>
          </w:tcPr>
          <w:p w14:paraId="6377567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27D4BB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38" w:type="dxa"/>
            <w:noWrap w:val="0"/>
            <w:vAlign w:val="center"/>
          </w:tcPr>
          <w:p w14:paraId="3F82ED0A">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75" w:type="dxa"/>
            <w:noWrap w:val="0"/>
            <w:vAlign w:val="center"/>
          </w:tcPr>
          <w:p w14:paraId="3968C9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7395" w:type="dxa"/>
            <w:noWrap w:val="0"/>
            <w:vAlign w:val="center"/>
          </w:tcPr>
          <w:p w14:paraId="74A942F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5BC09B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38" w:type="dxa"/>
            <w:noWrap w:val="0"/>
            <w:vAlign w:val="center"/>
          </w:tcPr>
          <w:p w14:paraId="20C9780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75" w:type="dxa"/>
            <w:noWrap w:val="0"/>
            <w:vAlign w:val="center"/>
          </w:tcPr>
          <w:p w14:paraId="54D288A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7395" w:type="dxa"/>
            <w:noWrap w:val="0"/>
            <w:vAlign w:val="center"/>
          </w:tcPr>
          <w:p w14:paraId="7F9AA5A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约</w:t>
            </w:r>
            <w:r>
              <w:rPr>
                <w:rFonts w:hint="eastAsia" w:hAnsi="宋体" w:cs="宋体"/>
                <w:color w:val="auto"/>
                <w:sz w:val="21"/>
                <w:szCs w:val="21"/>
                <w:highlight w:val="none"/>
                <w:lang w:val="en-US" w:eastAsia="zh-CN"/>
              </w:rPr>
              <w:t>220000</w:t>
            </w:r>
            <w:r>
              <w:rPr>
                <w:rFonts w:hint="eastAsia" w:ascii="宋体" w:hAnsi="宋体" w:eastAsia="宋体" w:cs="宋体"/>
                <w:color w:val="auto"/>
                <w:sz w:val="21"/>
                <w:szCs w:val="21"/>
                <w:highlight w:val="none"/>
              </w:rPr>
              <w:t>元</w:t>
            </w:r>
          </w:p>
        </w:tc>
      </w:tr>
      <w:tr w14:paraId="00458A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273745C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575" w:type="dxa"/>
            <w:noWrap w:val="0"/>
            <w:vAlign w:val="center"/>
          </w:tcPr>
          <w:p w14:paraId="439D781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395" w:type="dxa"/>
            <w:noWrap w:val="0"/>
            <w:vAlign w:val="center"/>
          </w:tcPr>
          <w:p w14:paraId="644B641F">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承保机构商业险自主定价系数不得超过1.35(135%)；商业险自主定价系数报价高于最高投标限价的，否决其投标。</w:t>
            </w:r>
          </w:p>
        </w:tc>
      </w:tr>
      <w:tr w14:paraId="61945A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61F6093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575" w:type="dxa"/>
            <w:noWrap w:val="0"/>
            <w:vAlign w:val="center"/>
          </w:tcPr>
          <w:p w14:paraId="398E18B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395" w:type="dxa"/>
            <w:noWrap w:val="0"/>
            <w:vAlign w:val="center"/>
          </w:tcPr>
          <w:p w14:paraId="27879C6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本项目采购内容包括：详见《采购需求》</w:t>
            </w:r>
          </w:p>
        </w:tc>
      </w:tr>
      <w:tr w14:paraId="1B15F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38" w:type="dxa"/>
            <w:noWrap w:val="0"/>
            <w:vAlign w:val="center"/>
          </w:tcPr>
          <w:p w14:paraId="79998D5D">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75" w:type="dxa"/>
            <w:noWrap w:val="0"/>
            <w:vAlign w:val="center"/>
          </w:tcPr>
          <w:p w14:paraId="5CDEBF6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7395" w:type="dxa"/>
            <w:noWrap w:val="0"/>
            <w:vAlign w:val="center"/>
          </w:tcPr>
          <w:p w14:paraId="23CBC51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7D1220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38" w:type="dxa"/>
            <w:noWrap w:val="0"/>
            <w:vAlign w:val="center"/>
          </w:tcPr>
          <w:p w14:paraId="36FF8F54">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75" w:type="dxa"/>
            <w:noWrap w:val="0"/>
            <w:vAlign w:val="center"/>
          </w:tcPr>
          <w:p w14:paraId="481A039E">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7395" w:type="dxa"/>
            <w:noWrap w:val="0"/>
            <w:vAlign w:val="center"/>
          </w:tcPr>
          <w:p w14:paraId="46460C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2AF0CE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638" w:type="dxa"/>
            <w:noWrap w:val="0"/>
            <w:vAlign w:val="center"/>
          </w:tcPr>
          <w:p w14:paraId="767A5398">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75" w:type="dxa"/>
            <w:noWrap w:val="0"/>
            <w:vAlign w:val="center"/>
          </w:tcPr>
          <w:p w14:paraId="56AC511D">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7395" w:type="dxa"/>
            <w:noWrap w:val="0"/>
            <w:vAlign w:val="center"/>
          </w:tcPr>
          <w:p w14:paraId="28E125F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725914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EE1DDAF">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575" w:type="dxa"/>
            <w:noWrap w:val="0"/>
            <w:vAlign w:val="center"/>
          </w:tcPr>
          <w:p w14:paraId="152037C7">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395" w:type="dxa"/>
            <w:noWrap w:val="0"/>
            <w:vAlign w:val="center"/>
          </w:tcPr>
          <w:p w14:paraId="795FC84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08D77F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DCD0D0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575" w:type="dxa"/>
            <w:noWrap w:val="0"/>
            <w:vAlign w:val="center"/>
          </w:tcPr>
          <w:p w14:paraId="2F735089">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395" w:type="dxa"/>
            <w:noWrap w:val="0"/>
            <w:vAlign w:val="center"/>
          </w:tcPr>
          <w:p w14:paraId="637A846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7C80B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638" w:type="dxa"/>
            <w:noWrap w:val="0"/>
            <w:vAlign w:val="center"/>
          </w:tcPr>
          <w:p w14:paraId="6FB2E08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575" w:type="dxa"/>
            <w:noWrap w:val="0"/>
            <w:vAlign w:val="center"/>
          </w:tcPr>
          <w:p w14:paraId="6958E0E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7395" w:type="dxa"/>
            <w:noWrap w:val="0"/>
            <w:vAlign w:val="center"/>
          </w:tcPr>
          <w:p w14:paraId="54E6AF09">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646585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38" w:type="dxa"/>
            <w:noWrap w:val="0"/>
            <w:vAlign w:val="center"/>
          </w:tcPr>
          <w:p w14:paraId="5A15E81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75" w:type="dxa"/>
            <w:noWrap w:val="0"/>
            <w:vAlign w:val="center"/>
          </w:tcPr>
          <w:p w14:paraId="127CBEB6">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7395" w:type="dxa"/>
            <w:noWrap w:val="0"/>
            <w:vAlign w:val="center"/>
          </w:tcPr>
          <w:p w14:paraId="0DE9D365">
            <w:pPr>
              <w:keepNext w:val="0"/>
              <w:keepLines w:val="0"/>
              <w:pageBreakBefore w:val="0"/>
              <w:kinsoku/>
              <w:overflowPunct/>
              <w:topLinePunct w:val="0"/>
              <w:autoSpaceDE/>
              <w:autoSpaceDN/>
              <w:bidi w:val="0"/>
              <w:adjustRightInd/>
              <w:spacing w:line="5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5000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含专家评审费）</w:t>
            </w:r>
          </w:p>
          <w:p w14:paraId="0E8D1C9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9412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1B7ECF6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575" w:type="dxa"/>
            <w:noWrap w:val="0"/>
            <w:vAlign w:val="center"/>
          </w:tcPr>
          <w:p w14:paraId="2A9FA4A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7395" w:type="dxa"/>
            <w:noWrap w:val="0"/>
            <w:vAlign w:val="center"/>
          </w:tcPr>
          <w:p w14:paraId="01EC2342">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pacing w:val="-4"/>
                <w:szCs w:val="21"/>
                <w:highlight w:val="none"/>
              </w:rPr>
              <w:t>如投标人对招标文件有疑问，请于</w:t>
            </w:r>
            <w:r>
              <w:rPr>
                <w:rFonts w:hint="eastAsia" w:ascii="宋体" w:hAnsi="宋体" w:cs="宋体"/>
                <w:b/>
                <w:bCs/>
                <w:color w:val="auto"/>
                <w:spacing w:val="-4"/>
                <w:szCs w:val="21"/>
                <w:highlight w:val="none"/>
              </w:rPr>
              <w:t>2025年</w:t>
            </w:r>
            <w:r>
              <w:rPr>
                <w:rFonts w:hint="eastAsia" w:ascii="宋体" w:hAnsi="宋体" w:cs="宋体"/>
                <w:b/>
                <w:bCs/>
                <w:color w:val="auto"/>
                <w:spacing w:val="-4"/>
                <w:szCs w:val="21"/>
                <w:highlight w:val="none"/>
                <w:lang w:val="en-US" w:eastAsia="zh-CN"/>
              </w:rPr>
              <w:t>12</w:t>
            </w:r>
            <w:r>
              <w:rPr>
                <w:rFonts w:hint="eastAsia" w:ascii="宋体" w:hAnsi="宋体" w:cs="宋体"/>
                <w:b/>
                <w:bCs/>
                <w:color w:val="auto"/>
                <w:spacing w:val="-4"/>
                <w:szCs w:val="21"/>
                <w:highlight w:val="none"/>
              </w:rPr>
              <w:t>月</w:t>
            </w:r>
            <w:r>
              <w:rPr>
                <w:rFonts w:hint="eastAsia" w:ascii="宋体" w:hAnsi="宋体" w:cs="宋体"/>
                <w:b/>
                <w:bCs/>
                <w:color w:val="auto"/>
                <w:spacing w:val="-4"/>
                <w:szCs w:val="21"/>
                <w:highlight w:val="none"/>
                <w:lang w:val="en-US" w:eastAsia="zh-CN"/>
              </w:rPr>
              <w:t>15</w:t>
            </w:r>
            <w:r>
              <w:rPr>
                <w:rFonts w:hint="eastAsia" w:ascii="宋体" w:hAnsi="宋体" w:cs="宋体"/>
                <w:color w:val="auto"/>
                <w:spacing w:val="-4"/>
                <w:szCs w:val="21"/>
                <w:highlight w:val="none"/>
              </w:rPr>
              <w:fldChar w:fldCharType="begin"/>
            </w:r>
            <w:r>
              <w:rPr>
                <w:rFonts w:hint="eastAsia" w:ascii="宋体" w:hAnsi="宋体" w:cs="宋体"/>
                <w:color w:val="auto"/>
                <w:spacing w:val="-4"/>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cs="宋体"/>
                <w:color w:val="auto"/>
                <w:spacing w:val="-4"/>
                <w:szCs w:val="21"/>
                <w:highlight w:val="none"/>
              </w:rPr>
              <w:fldChar w:fldCharType="separate"/>
            </w:r>
            <w:r>
              <w:rPr>
                <w:rFonts w:hint="eastAsia" w:ascii="宋体" w:hAnsi="宋体" w:cs="宋体"/>
                <w:b/>
                <w:bCs/>
                <w:color w:val="auto"/>
                <w:spacing w:val="-4"/>
                <w:szCs w:val="21"/>
                <w:highlight w:val="none"/>
              </w:rPr>
              <w:t>日</w:t>
            </w:r>
            <w:r>
              <w:rPr>
                <w:rFonts w:hint="eastAsia" w:ascii="宋体" w:hAnsi="宋体" w:cs="宋体"/>
                <w:b/>
                <w:bCs/>
                <w:color w:val="auto"/>
                <w:spacing w:val="-4"/>
                <w:szCs w:val="21"/>
                <w:highlight w:val="none"/>
                <w:lang w:val="en-US" w:eastAsia="zh-CN"/>
              </w:rPr>
              <w:t>9</w:t>
            </w:r>
            <w:r>
              <w:rPr>
                <w:rFonts w:hint="eastAsia" w:ascii="宋体" w:hAnsi="宋体" w:cs="宋体"/>
                <w:b/>
                <w:bCs/>
                <w:color w:val="auto"/>
                <w:spacing w:val="-4"/>
                <w:szCs w:val="21"/>
                <w:highlight w:val="none"/>
              </w:rPr>
              <w:t>时前</w:t>
            </w:r>
            <w:r>
              <w:rPr>
                <w:rFonts w:hint="eastAsia" w:ascii="宋体" w:hAnsi="宋体" w:cs="宋体"/>
                <w:color w:val="auto"/>
                <w:szCs w:val="21"/>
                <w:highlight w:val="none"/>
                <w:lang w:val="en-US" w:eastAsia="zh-CN"/>
              </w:rPr>
              <w:t>将疑问内容发送至603727167@qq.com</w:t>
            </w:r>
            <w:r>
              <w:rPr>
                <w:rFonts w:hint="eastAsia" w:ascii="宋体" w:hAnsi="宋体" w:cs="宋体"/>
                <w:color w:val="auto"/>
                <w:spacing w:val="-4"/>
                <w:szCs w:val="21"/>
                <w:highlight w:val="none"/>
              </w:rPr>
              <w:t>，招标人将在</w:t>
            </w:r>
            <w:r>
              <w:rPr>
                <w:rFonts w:hint="eastAsia" w:ascii="宋体" w:hAnsi="宋体" w:cs="宋体"/>
                <w:b/>
                <w:bCs/>
                <w:color w:val="auto"/>
                <w:spacing w:val="-4"/>
                <w:szCs w:val="21"/>
                <w:highlight w:val="none"/>
              </w:rPr>
              <w:t>2025年</w:t>
            </w:r>
            <w:r>
              <w:rPr>
                <w:rFonts w:hint="eastAsia" w:ascii="宋体" w:hAnsi="宋体" w:cs="宋体"/>
                <w:b/>
                <w:bCs/>
                <w:color w:val="auto"/>
                <w:spacing w:val="-4"/>
                <w:szCs w:val="21"/>
                <w:highlight w:val="none"/>
                <w:lang w:val="en-US" w:eastAsia="zh-CN"/>
              </w:rPr>
              <w:t>12</w:t>
            </w:r>
            <w:r>
              <w:rPr>
                <w:rFonts w:hint="eastAsia" w:ascii="宋体" w:hAnsi="宋体" w:cs="宋体"/>
                <w:b/>
                <w:bCs/>
                <w:color w:val="auto"/>
                <w:spacing w:val="-4"/>
                <w:szCs w:val="21"/>
                <w:highlight w:val="none"/>
              </w:rPr>
              <w:t>月</w:t>
            </w:r>
            <w:r>
              <w:rPr>
                <w:rFonts w:hint="eastAsia" w:ascii="宋体" w:hAnsi="宋体" w:cs="宋体"/>
                <w:color w:val="auto"/>
                <w:spacing w:val="-4"/>
                <w:szCs w:val="21"/>
                <w:highlight w:val="none"/>
              </w:rPr>
              <w:fldChar w:fldCharType="end"/>
            </w:r>
            <w:r>
              <w:rPr>
                <w:rFonts w:hint="eastAsia" w:ascii="宋体" w:hAnsi="宋体" w:cs="宋体"/>
                <w:b/>
                <w:bCs/>
                <w:color w:val="auto"/>
                <w:spacing w:val="-4"/>
                <w:szCs w:val="21"/>
                <w:highlight w:val="none"/>
                <w:lang w:val="en-US" w:eastAsia="zh-CN"/>
              </w:rPr>
              <w:t>16</w:t>
            </w:r>
            <w:r>
              <w:rPr>
                <w:rFonts w:hint="eastAsia" w:ascii="宋体" w:hAnsi="宋体" w:cs="宋体"/>
                <w:b/>
                <w:bCs/>
                <w:color w:val="auto"/>
                <w:spacing w:val="-4"/>
                <w:szCs w:val="21"/>
                <w:highlight w:val="none"/>
              </w:rPr>
              <w:t>日17时</w:t>
            </w:r>
            <w:r>
              <w:rPr>
                <w:rFonts w:hint="eastAsia" w:ascii="宋体" w:hAnsi="宋体" w:cs="宋体"/>
                <w:color w:val="auto"/>
                <w:spacing w:val="-4"/>
                <w:szCs w:val="21"/>
                <w:highlight w:val="none"/>
              </w:rPr>
              <w:t>后</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滁州扬子工业投资集团有限公司官网（https://czyzgtjt.com/）</w:t>
            </w:r>
            <w:r>
              <w:rPr>
                <w:rFonts w:hint="eastAsia" w:ascii="宋体" w:hAnsi="宋体" w:eastAsia="宋体" w:cs="宋体"/>
                <w:color w:val="auto"/>
                <w:szCs w:val="21"/>
                <w:highlight w:val="none"/>
              </w:rPr>
              <w:t>网站发布，请各位投标人注意查看有关澄清内容，如不及时查看造成后果由投标人自负。</w:t>
            </w:r>
          </w:p>
        </w:tc>
      </w:tr>
      <w:tr w14:paraId="3A6E12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1170B0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575" w:type="dxa"/>
            <w:noWrap w:val="0"/>
            <w:vAlign w:val="center"/>
          </w:tcPr>
          <w:p w14:paraId="25281D9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7395" w:type="dxa"/>
            <w:noWrap w:val="0"/>
            <w:vAlign w:val="center"/>
          </w:tcPr>
          <w:p w14:paraId="3E554A3E">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51998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8" w:type="dxa"/>
            <w:noWrap w:val="0"/>
            <w:vAlign w:val="center"/>
          </w:tcPr>
          <w:p w14:paraId="2B29037D">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575" w:type="dxa"/>
            <w:noWrap w:val="0"/>
            <w:vAlign w:val="center"/>
          </w:tcPr>
          <w:p w14:paraId="4A17999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7395" w:type="dxa"/>
            <w:noWrap w:val="0"/>
            <w:vAlign w:val="top"/>
          </w:tcPr>
          <w:p w14:paraId="1FFAD352">
            <w:pPr>
              <w:keepNext w:val="0"/>
              <w:keepLines w:val="0"/>
              <w:pageBreakBefore w:val="0"/>
              <w:widowControl/>
              <w:shd w:val="clear" w:color="auto" w:fill="FFFFFF"/>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277ABA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638" w:type="dxa"/>
            <w:noWrap w:val="0"/>
            <w:vAlign w:val="center"/>
          </w:tcPr>
          <w:p w14:paraId="4AA4CCB3">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575" w:type="dxa"/>
            <w:noWrap w:val="0"/>
            <w:vAlign w:val="center"/>
          </w:tcPr>
          <w:p w14:paraId="6F00881E">
            <w:pPr>
              <w:pStyle w:val="21"/>
              <w:keepNext w:val="0"/>
              <w:keepLines w:val="0"/>
              <w:pageBreakBefore w:val="0"/>
              <w:kinsoku/>
              <w:overflowPunct/>
              <w:topLinePunct w:val="0"/>
              <w:autoSpaceDE/>
              <w:autoSpaceDN/>
              <w:bidi w:val="0"/>
              <w:adjustRightInd/>
              <w:spacing w:line="5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份数及密封要求</w:t>
            </w:r>
          </w:p>
        </w:tc>
        <w:tc>
          <w:tcPr>
            <w:tcW w:w="7395" w:type="dxa"/>
            <w:noWrap w:val="0"/>
            <w:vAlign w:val="center"/>
          </w:tcPr>
          <w:p w14:paraId="7D86F341">
            <w:pPr>
              <w:keepNext w:val="0"/>
              <w:keepLines w:val="0"/>
              <w:pageBreakBefore w:val="0"/>
              <w:numPr>
                <w:ilvl w:val="0"/>
                <w:numId w:val="0"/>
              </w:numPr>
              <w:kinsoku/>
              <w:overflowPunct/>
              <w:topLinePunct w:val="0"/>
              <w:autoSpaceDE/>
              <w:autoSpaceDN/>
              <w:bidi w:val="0"/>
              <w:adjustRightInd/>
              <w:spacing w:line="520" w:lineRule="exac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1.份数：正本：一份；副本：一份。</w:t>
            </w:r>
          </w:p>
          <w:p w14:paraId="3824AC52">
            <w:pPr>
              <w:keepNext w:val="0"/>
              <w:keepLines w:val="0"/>
              <w:pageBreakBefore w:val="0"/>
              <w:numPr>
                <w:ilvl w:val="0"/>
                <w:numId w:val="0"/>
              </w:numPr>
              <w:kinsoku/>
              <w:overflowPunct/>
              <w:topLinePunct w:val="0"/>
              <w:autoSpaceDE/>
              <w:autoSpaceDN/>
              <w:bidi w:val="0"/>
              <w:adjustRightInd/>
              <w:spacing w:line="520" w:lineRule="exac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2.投标文件正本、副本密封在投标文件袋内。</w:t>
            </w:r>
          </w:p>
        </w:tc>
      </w:tr>
      <w:tr w14:paraId="42C6F3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2F0B69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575" w:type="dxa"/>
            <w:noWrap w:val="0"/>
            <w:vAlign w:val="center"/>
          </w:tcPr>
          <w:p w14:paraId="08F5FCC9">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395" w:type="dxa"/>
            <w:noWrap w:val="0"/>
            <w:vAlign w:val="center"/>
          </w:tcPr>
          <w:p w14:paraId="6CD65EB5">
            <w:pPr>
              <w:keepNext w:val="0"/>
              <w:keepLines w:val="0"/>
              <w:pageBreakBefore w:val="0"/>
              <w:widowControl/>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271CE2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638" w:type="dxa"/>
            <w:noWrap w:val="0"/>
            <w:vAlign w:val="center"/>
          </w:tcPr>
          <w:p w14:paraId="659754A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575" w:type="dxa"/>
            <w:noWrap w:val="0"/>
            <w:vAlign w:val="center"/>
          </w:tcPr>
          <w:p w14:paraId="1B1DA8F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w:t>
            </w:r>
          </w:p>
        </w:tc>
        <w:tc>
          <w:tcPr>
            <w:tcW w:w="7395" w:type="dxa"/>
            <w:noWrap w:val="0"/>
            <w:vAlign w:val="center"/>
          </w:tcPr>
          <w:p w14:paraId="120DD33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tc>
      </w:tr>
      <w:tr w14:paraId="38D19F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38" w:type="dxa"/>
            <w:noWrap w:val="0"/>
            <w:vAlign w:val="center"/>
          </w:tcPr>
          <w:p w14:paraId="78FD8872">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575" w:type="dxa"/>
            <w:noWrap w:val="0"/>
            <w:vAlign w:val="center"/>
          </w:tcPr>
          <w:p w14:paraId="04E841C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395" w:type="dxa"/>
            <w:noWrap w:val="0"/>
            <w:vAlign w:val="center"/>
          </w:tcPr>
          <w:p w14:paraId="76F073E4">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6C63D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67B8FE2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575" w:type="dxa"/>
            <w:noWrap w:val="0"/>
            <w:vAlign w:val="center"/>
          </w:tcPr>
          <w:p w14:paraId="7DA0A024">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7395" w:type="dxa"/>
            <w:noWrap w:val="0"/>
            <w:vAlign w:val="center"/>
          </w:tcPr>
          <w:p w14:paraId="1389D5A1">
            <w:pPr>
              <w:keepNext w:val="0"/>
              <w:keepLines w:val="0"/>
              <w:pageBreakBefore w:val="0"/>
              <w:kinsoku/>
              <w:overflowPunct/>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分（北京时间）</w:t>
            </w:r>
          </w:p>
          <w:p w14:paraId="2741CCA4">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color w:val="auto"/>
                <w:sz w:val="21"/>
                <w:szCs w:val="21"/>
                <w:highlight w:val="none"/>
                <w:lang w:val="en-US" w:eastAsia="zh-CN" w:bidi="ar-SA"/>
              </w:rPr>
              <w:t>滁州市城投工程咨询管理有限公司603会议室（滁州市南谯区龙蟠大道109号房产大厦六楼）</w:t>
            </w:r>
          </w:p>
        </w:tc>
      </w:tr>
      <w:tr w14:paraId="45A8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0FA27AD1">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1575" w:type="dxa"/>
            <w:noWrap w:val="0"/>
            <w:vAlign w:val="center"/>
          </w:tcPr>
          <w:p w14:paraId="53226F8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7395" w:type="dxa"/>
            <w:noWrap w:val="0"/>
            <w:vAlign w:val="center"/>
          </w:tcPr>
          <w:p w14:paraId="5F0C5340">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先进行符合性审查，再进行综合评审。</w:t>
            </w:r>
          </w:p>
        </w:tc>
      </w:tr>
      <w:tr w14:paraId="30951C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38" w:type="dxa"/>
            <w:noWrap w:val="0"/>
            <w:vAlign w:val="center"/>
          </w:tcPr>
          <w:p w14:paraId="07BB26A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575" w:type="dxa"/>
            <w:noWrap w:val="0"/>
            <w:vAlign w:val="center"/>
          </w:tcPr>
          <w:p w14:paraId="606D69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395" w:type="dxa"/>
            <w:noWrap w:val="0"/>
            <w:vAlign w:val="top"/>
          </w:tcPr>
          <w:p w14:paraId="04199F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597C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62FE491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1575" w:type="dxa"/>
            <w:noWrap w:val="0"/>
            <w:vAlign w:val="center"/>
          </w:tcPr>
          <w:p w14:paraId="1A16FA7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395" w:type="dxa"/>
            <w:noWrap w:val="0"/>
            <w:vAlign w:val="center"/>
          </w:tcPr>
          <w:p w14:paraId="6DEF9F3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1C94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46E549F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1575" w:type="dxa"/>
            <w:shd w:val="clear" w:color="auto" w:fill="auto"/>
            <w:noWrap w:val="0"/>
            <w:vAlign w:val="center"/>
          </w:tcPr>
          <w:p w14:paraId="33E4491C">
            <w:pPr>
              <w:pStyle w:val="21"/>
              <w:spacing w:line="560" w:lineRule="exact"/>
              <w:jc w:val="both"/>
              <w:rPr>
                <w:rFonts w:hint="eastAsia" w:ascii="宋体" w:hAnsi="宋体" w:eastAsia="宋体" w:cs="宋体"/>
                <w:color w:val="auto"/>
                <w:kern w:val="2"/>
                <w:sz w:val="21"/>
                <w:szCs w:val="21"/>
                <w:highlight w:val="none"/>
                <w:u w:val="none" w:color="000000"/>
                <w:lang w:val="en-US" w:eastAsia="zh-CN" w:bidi="ar-SA"/>
              </w:rPr>
            </w:pPr>
            <w:r>
              <w:rPr>
                <w:rFonts w:hint="eastAsia" w:hAnsi="宋体" w:cs="宋体"/>
                <w:color w:val="auto"/>
                <w:szCs w:val="21"/>
                <w:highlight w:val="none"/>
              </w:rPr>
              <w:t>中标结果公告媒介</w:t>
            </w:r>
          </w:p>
        </w:tc>
        <w:tc>
          <w:tcPr>
            <w:tcW w:w="7395" w:type="dxa"/>
            <w:shd w:val="clear" w:color="auto" w:fill="auto"/>
            <w:noWrap w:val="0"/>
            <w:vAlign w:val="center"/>
          </w:tcPr>
          <w:p w14:paraId="40A04F3E">
            <w:pPr>
              <w:pStyle w:val="21"/>
              <w:spacing w:line="560" w:lineRule="exact"/>
              <w:jc w:val="both"/>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szCs w:val="21"/>
                <w:highlight w:val="none"/>
                <w:lang w:val="en-US" w:eastAsia="zh-CN"/>
              </w:rPr>
              <w:t>滁州扬子工业投资集团有限公司官网（https://czyzgtjt.com/）</w:t>
            </w:r>
            <w:r>
              <w:rPr>
                <w:rFonts w:hint="eastAsia" w:ascii="宋体" w:hAnsi="宋体" w:eastAsia="宋体" w:cs="宋体"/>
                <w:color w:val="auto"/>
                <w:szCs w:val="21"/>
                <w:highlight w:val="none"/>
              </w:rPr>
              <w:t>网站</w:t>
            </w:r>
          </w:p>
        </w:tc>
      </w:tr>
      <w:tr w14:paraId="296024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38" w:type="dxa"/>
            <w:noWrap w:val="0"/>
            <w:vAlign w:val="center"/>
          </w:tcPr>
          <w:p w14:paraId="2CFC2FC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1575" w:type="dxa"/>
            <w:noWrap w:val="0"/>
            <w:vAlign w:val="center"/>
          </w:tcPr>
          <w:p w14:paraId="3CBCCE1A">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7395" w:type="dxa"/>
            <w:noWrap w:val="0"/>
            <w:vAlign w:val="center"/>
          </w:tcPr>
          <w:p w14:paraId="6F8DCB7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4BCD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5BA2400B">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1575" w:type="dxa"/>
            <w:noWrap w:val="0"/>
            <w:vAlign w:val="center"/>
          </w:tcPr>
          <w:p w14:paraId="24E2A900">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395" w:type="dxa"/>
            <w:noWrap w:val="0"/>
            <w:vAlign w:val="center"/>
          </w:tcPr>
          <w:p w14:paraId="64D89344">
            <w:pPr>
              <w:keepNext w:val="0"/>
              <w:keepLines w:val="0"/>
              <w:pageBreakBefore w:val="0"/>
              <w:kinsoku/>
              <w:wordWrap w:val="0"/>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71DB17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74116FF0">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1575" w:type="dxa"/>
            <w:noWrap w:val="0"/>
            <w:vAlign w:val="center"/>
          </w:tcPr>
          <w:p w14:paraId="4B3AF3E6">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付款方式、时间、条件</w:t>
            </w:r>
          </w:p>
        </w:tc>
        <w:tc>
          <w:tcPr>
            <w:tcW w:w="7395" w:type="dxa"/>
            <w:noWrap w:val="0"/>
            <w:vAlign w:val="center"/>
          </w:tcPr>
          <w:p w14:paraId="3F1E672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依据见费出单的规定，本项目按每月实际出单保险费用全额支付。</w:t>
            </w:r>
          </w:p>
        </w:tc>
      </w:tr>
      <w:tr w14:paraId="62DEA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9608" w:type="dxa"/>
            <w:gridSpan w:val="3"/>
            <w:shd w:val="clear" w:color="auto" w:fill="auto"/>
            <w:noWrap w:val="0"/>
            <w:vAlign w:val="center"/>
          </w:tcPr>
          <w:p w14:paraId="1AF8FC9B">
            <w:pPr>
              <w:keepNext w:val="0"/>
              <w:keepLines w:val="0"/>
              <w:pageBreakBefore w:val="0"/>
              <w:kinsoku/>
              <w:wordWrap w:val="0"/>
              <w:overflowPunct/>
              <w:topLinePunct w:val="0"/>
              <w:autoSpaceDE/>
              <w:autoSpaceDN/>
              <w:bidi w:val="0"/>
              <w:spacing w:line="520" w:lineRule="exact"/>
              <w:jc w:val="both"/>
              <w:textAlignment w:val="auto"/>
              <w:rPr>
                <w:rFonts w:hint="eastAsia" w:ascii="宋体" w:hAnsi="宋体" w:eastAsia="宋体" w:cs="宋体"/>
                <w:color w:val="auto"/>
                <w:kern w:val="2"/>
                <w:sz w:val="21"/>
                <w:szCs w:val="21"/>
                <w:highlight w:val="none"/>
                <w:lang w:val="en-US" w:eastAsia="zh-CN" w:bidi="ar-SA"/>
              </w:rPr>
            </w:pPr>
            <w:bookmarkStart w:id="19" w:name="_Toc58430315"/>
            <w:bookmarkStart w:id="20" w:name="_Toc449028866"/>
            <w:r>
              <w:rPr>
                <w:rFonts w:hint="eastAsia" w:ascii="宋体" w:hAnsi="宋体" w:eastAsia="宋体" w:cs="宋体"/>
                <w:b/>
                <w:bCs/>
                <w:color w:val="auto"/>
                <w:sz w:val="21"/>
                <w:szCs w:val="21"/>
                <w:highlight w:val="none"/>
                <w:lang w:val="en-US" w:eastAsia="zh-CN"/>
              </w:rPr>
              <w:t>特别</w:t>
            </w:r>
            <w:r>
              <w:rPr>
                <w:rFonts w:hint="eastAsia" w:ascii="宋体" w:hAnsi="宋体" w:eastAsia="宋体" w:cs="宋体"/>
                <w:b/>
                <w:bCs/>
                <w:color w:val="auto"/>
                <w:sz w:val="21"/>
                <w:szCs w:val="21"/>
                <w:highlight w:val="none"/>
              </w:rPr>
              <w:t>说</w:t>
            </w:r>
            <w:r>
              <w:rPr>
                <w:rFonts w:hint="eastAsia" w:ascii="宋体" w:hAnsi="宋体" w:eastAsia="宋体" w:cs="宋体"/>
                <w:b/>
                <w:bCs/>
                <w:color w:val="auto"/>
                <w:sz w:val="21"/>
                <w:szCs w:val="21"/>
                <w:highlight w:val="none"/>
              </w:rPr>
              <w:t>明</w:t>
            </w:r>
            <w:r>
              <w:rPr>
                <w:rFonts w:hint="eastAsia" w:ascii="宋体" w:hAnsi="宋体" w:eastAsia="宋体" w:cs="宋体"/>
                <w:b/>
                <w:bCs/>
                <w:color w:val="auto"/>
                <w:sz w:val="21"/>
                <w:szCs w:val="21"/>
                <w:highlight w:val="none"/>
                <w:lang w:val="en-US" w:eastAsia="zh-CN"/>
              </w:rPr>
              <w:t>：投标文件内需要法定代表人签字或盖章的地方；可以由分公司的法人或项目负责人签字或盖章。</w:t>
            </w:r>
          </w:p>
        </w:tc>
      </w:tr>
    </w:tbl>
    <w:p w14:paraId="3303EFDE">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22BE6FD1">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501DA0AE">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14:paraId="0497645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1.1本次招标采购项目名称：见投标人须知前附表。</w:t>
      </w:r>
    </w:p>
    <w:p w14:paraId="6810837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项目编号：见投标人须知前附表。</w:t>
      </w:r>
    </w:p>
    <w:p w14:paraId="66FB5E8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招 标 人：见投标人须知前附表。</w:t>
      </w:r>
    </w:p>
    <w:p w14:paraId="677D596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期：见投标人须知前附表。</w:t>
      </w:r>
    </w:p>
    <w:p w14:paraId="637735A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地点：见投标人须知前附表。</w:t>
      </w:r>
    </w:p>
    <w:p w14:paraId="2AF6B1C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及联系人: 见投标人须知前附表。</w:t>
      </w:r>
    </w:p>
    <w:p w14:paraId="03253F0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采购代理机构及联系人: 见投标人须知前附表。</w:t>
      </w:r>
    </w:p>
    <w:p w14:paraId="3028E02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5490DA6B">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1E33333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0D47EDA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2.招标范围：</w:t>
      </w:r>
    </w:p>
    <w:p w14:paraId="67CAA76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采购内容：见投标人须知前附表。</w:t>
      </w:r>
    </w:p>
    <w:p w14:paraId="2807C6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技术要求：详见招标文件第四章采购需求。</w:t>
      </w:r>
    </w:p>
    <w:p w14:paraId="549756D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3.标包划分：</w:t>
      </w:r>
    </w:p>
    <w:p w14:paraId="355B1DC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3.1本项目划分：见投标人须知前附表。</w:t>
      </w:r>
    </w:p>
    <w:p w14:paraId="4BBADE5B">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4.招标方式：</w:t>
      </w:r>
    </w:p>
    <w:p w14:paraId="2FD0D80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4.1本项目招标方式：见投标人须知前附表。</w:t>
      </w:r>
    </w:p>
    <w:p w14:paraId="1E0700C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5.计价方式：</w:t>
      </w:r>
    </w:p>
    <w:p w14:paraId="5D6444E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5.1本次招标项目合同采用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单价合同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2F231CE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6.评标办法：</w:t>
      </w:r>
    </w:p>
    <w:p w14:paraId="01ED961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6.1本次招标评标采用</w:t>
      </w:r>
      <w:r>
        <w:rPr>
          <w:rFonts w:hint="eastAsia" w:ascii="宋体" w:hAnsi="宋体" w:eastAsia="宋体" w:cs="宋体"/>
          <w:color w:val="auto"/>
          <w:szCs w:val="21"/>
          <w:highlight w:val="none"/>
          <w:u w:val="single"/>
        </w:rPr>
        <w:t xml:space="preserve"> 综合评分法 </w:t>
      </w:r>
      <w:r>
        <w:rPr>
          <w:rFonts w:hint="eastAsia" w:ascii="宋体" w:hAnsi="宋体" w:eastAsia="宋体" w:cs="宋体"/>
          <w:color w:val="auto"/>
          <w:szCs w:val="21"/>
          <w:highlight w:val="none"/>
        </w:rPr>
        <w:t>（详见第三章评标办法）</w:t>
      </w:r>
    </w:p>
    <w:p w14:paraId="41356C17">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7.投标人资格：</w:t>
      </w:r>
    </w:p>
    <w:p w14:paraId="0E185A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7.1本项目投标人资格：见投标人须知前附表。</w:t>
      </w:r>
    </w:p>
    <w:p w14:paraId="0233770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投标费用</w:t>
      </w:r>
    </w:p>
    <w:p w14:paraId="5491ECD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8.1投标人准备和参加投标活动发生的费用自理。</w:t>
      </w:r>
    </w:p>
    <w:p w14:paraId="252D0ED2">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bookmarkStart w:id="22" w:name="_Toc144974507"/>
      <w:bookmarkStart w:id="23" w:name="_Toc247513962"/>
      <w:bookmarkStart w:id="24" w:name="_Toc152042315"/>
      <w:bookmarkStart w:id="25" w:name="_Toc152045539"/>
      <w:bookmarkStart w:id="26" w:name="_Toc247592876"/>
      <w:bookmarkStart w:id="27" w:name="_Toc247527563"/>
      <w:bookmarkStart w:id="28" w:name="_Toc296602429"/>
      <w:r>
        <w:rPr>
          <w:rFonts w:hint="eastAsia" w:ascii="宋体" w:hAnsi="宋体" w:eastAsia="宋体" w:cs="宋体"/>
          <w:b/>
          <w:color w:val="auto"/>
          <w:szCs w:val="21"/>
          <w:highlight w:val="none"/>
        </w:rPr>
        <w:t xml:space="preserve"> 踏勘现场</w:t>
      </w:r>
      <w:bookmarkEnd w:id="22"/>
      <w:bookmarkEnd w:id="23"/>
      <w:bookmarkEnd w:id="24"/>
      <w:bookmarkEnd w:id="25"/>
      <w:bookmarkEnd w:id="26"/>
      <w:bookmarkEnd w:id="27"/>
      <w:bookmarkEnd w:id="28"/>
    </w:p>
    <w:p w14:paraId="191AB87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9.1 投标人须知前附表规定组织踏勘现场的，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 xml:space="preserve">按投标人须知前附表规定的时间、地点组织投标人踏勘项目现场。 </w:t>
      </w:r>
    </w:p>
    <w:p w14:paraId="6BBB0DA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投标人踏勘现场发生的费用自理。</w:t>
      </w:r>
    </w:p>
    <w:p w14:paraId="0C2C36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的原因外，投标人自行负责在踏勘现场中所发生的人员伤亡和财产损失。</w:t>
      </w:r>
    </w:p>
    <w:p w14:paraId="5B430D2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在踏勘现场中介绍的场地和相关的周边环境情况，供投标人在编制投标文件时参考，</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不对投标人据此作出的判断和决策负责。</w:t>
      </w:r>
      <w:bookmarkStart w:id="29" w:name="_Toc247592877"/>
      <w:bookmarkStart w:id="30" w:name="_Toc144974508"/>
      <w:bookmarkStart w:id="31" w:name="_Toc152042316"/>
      <w:bookmarkStart w:id="32" w:name="_Toc296602430"/>
      <w:bookmarkStart w:id="33" w:name="_Toc247513963"/>
      <w:bookmarkStart w:id="34" w:name="_Toc152045540"/>
      <w:bookmarkStart w:id="35" w:name="_Toc247527564"/>
    </w:p>
    <w:p w14:paraId="71EF853A">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eastAsia="宋体" w:cs="宋体"/>
          <w:b/>
          <w:color w:val="auto"/>
          <w:szCs w:val="21"/>
          <w:highlight w:val="none"/>
        </w:rPr>
        <w:t>（本项目不采用）</w:t>
      </w:r>
    </w:p>
    <w:p w14:paraId="5FB0662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10.1投标人须知前附表规定召开投标预备会的，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按投标人须知前附表规定的时间和地点召开投标预备会，澄清投标人提出的问题。</w:t>
      </w:r>
    </w:p>
    <w:p w14:paraId="196DBE49">
      <w:pPr>
        <w:keepNext w:val="0"/>
        <w:keepLines w:val="0"/>
        <w:pageBreakBefore w:val="0"/>
        <w:numPr>
          <w:ilvl w:val="0"/>
          <w:numId w:val="8"/>
        </w:numPr>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联合投标、合同分包（本项目不采用）</w:t>
      </w:r>
    </w:p>
    <w:p w14:paraId="6390FF5E">
      <w:pPr>
        <w:keepNext w:val="0"/>
        <w:keepLines w:val="0"/>
        <w:pageBreakBefore w:val="0"/>
        <w:numPr>
          <w:ilvl w:val="0"/>
          <w:numId w:val="0"/>
        </w:numP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两个以上投标人可以组成一个投标联合体，以一个投标人的身份投标。以联合体形式参加投标的，联合体各方均应当符合《</w:t>
      </w:r>
      <w:r>
        <w:rPr>
          <w:rFonts w:hint="eastAsia" w:ascii="宋体" w:hAnsi="宋体" w:eastAsia="宋体" w:cs="宋体"/>
          <w:color w:val="auto"/>
          <w:highlight w:val="none"/>
        </w:rPr>
        <w:t>中华人民共和国政府采购法</w:t>
      </w:r>
      <w:r>
        <w:rPr>
          <w:rFonts w:hint="eastAsia" w:ascii="宋体" w:hAnsi="宋体" w:eastAsia="宋体" w:cs="宋体"/>
          <w:color w:val="auto"/>
          <w:szCs w:val="21"/>
          <w:highlight w:val="none"/>
        </w:rPr>
        <w:t>》第二十二条规定的条件。</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根据采购项目的特殊要求规定投标人特定条件的，联合体各方中至少应当有一方符合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规定的特定条件。</w:t>
      </w:r>
    </w:p>
    <w:p w14:paraId="1E76C5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。联合体各方签订共同投标协议后，不得再以自己名义单独在同一项目中投标，也不得组成新的联合体参加同一项目投标。</w:t>
      </w:r>
    </w:p>
    <w:p w14:paraId="668E7D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联合体应当确定其中一个单位为投标的全权代表，负责参加投标的一切事务，并承担投标及履约中应承担的全部责任与义务。</w:t>
      </w:r>
    </w:p>
    <w:p w14:paraId="36192B7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联合体各方应当共同与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签订采购合同，就采购合同约定的事项对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承担连带责任。</w:t>
      </w:r>
    </w:p>
    <w:p w14:paraId="27C5FF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联合体中有同类资质的供应商按照联合体分工承担相同工作的，应当按照资质等级较低的供应商确定资质等级。</w:t>
      </w:r>
    </w:p>
    <w:p w14:paraId="73FE4194">
      <w:pPr>
        <w:pStyle w:val="36"/>
        <w:keepNext w:val="0"/>
        <w:keepLines w:val="0"/>
        <w:pageBreakBefore w:val="0"/>
        <w:kinsoku/>
        <w:wordWrap/>
        <w:overflowPunct/>
        <w:topLinePunct w:val="0"/>
        <w:autoSpaceDE/>
        <w:autoSpaceDN/>
        <w:bidi w:val="0"/>
        <w:adjustRightInd/>
        <w:spacing w:after="0" w:line="440" w:lineRule="exact"/>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11.6 非专门面向中小企业采购项目是否允许大中型企业向一家或者多家小微企业分包见投标人须知前附表。</w:t>
      </w:r>
    </w:p>
    <w:p w14:paraId="6DBD6CED">
      <w:pPr>
        <w:keepNext w:val="0"/>
        <w:keepLines w:val="0"/>
        <w:pageBreakBefore w:val="0"/>
        <w:kinsoku/>
        <w:wordWrap/>
        <w:overflowPunct/>
        <w:topLinePunct w:val="0"/>
        <w:autoSpaceDE/>
        <w:autoSpaceDN/>
        <w:bidi w:val="0"/>
        <w:adjustRightInd/>
        <w:spacing w:line="440" w:lineRule="exact"/>
        <w:ind w:firstLine="422" w:firstLineChars="200"/>
        <w:jc w:val="lef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12.招标代理费和</w:t>
      </w:r>
      <w:r>
        <w:rPr>
          <w:rFonts w:hint="eastAsia" w:ascii="宋体" w:hAnsi="宋体" w:eastAsia="宋体" w:cs="宋体"/>
          <w:b/>
          <w:color w:val="auto"/>
          <w:szCs w:val="21"/>
          <w:highlight w:val="none"/>
          <w:lang w:val="en-US" w:eastAsia="zh-CN"/>
        </w:rPr>
        <w:t>其他费用</w:t>
      </w:r>
    </w:p>
    <w:p w14:paraId="4C2057A3">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12.1</w:t>
      </w:r>
      <w:r>
        <w:rPr>
          <w:rFonts w:hint="eastAsia" w:ascii="宋体" w:hAnsi="宋体" w:eastAsia="宋体" w:cs="宋体"/>
          <w:color w:val="auto"/>
          <w:szCs w:val="21"/>
          <w:highlight w:val="none"/>
        </w:rPr>
        <w:t>见投标人须知前附表。</w:t>
      </w:r>
    </w:p>
    <w:p w14:paraId="62FFBAF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13.投标人应注意的事项</w:t>
      </w:r>
    </w:p>
    <w:p w14:paraId="46B5BD1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458EBB0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13.2投标人对采购内容中规定的技术参数、规格、数量和要求等必须最大限度的满足招标文件的相关要求。</w:t>
      </w:r>
    </w:p>
    <w:p w14:paraId="55A6B85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rPr>
        <w:t>单位负责人为同一人或者存在直接控股、管理关系的不同投标人，不得参加同一合同项下的政府采购活动。</w:t>
      </w:r>
      <w:r>
        <w:rPr>
          <w:rFonts w:hint="eastAsia" w:ascii="宋体" w:hAnsi="宋体" w:eastAsia="宋体" w:cs="宋体"/>
          <w:color w:val="auto"/>
          <w:szCs w:val="21"/>
          <w:highlight w:val="none"/>
        </w:rPr>
        <w:t>为采购项目提供整体设计、规范编制或者项目管理、监理、检测等服务的投标人，不得再参加该采购项目的其他采购活动。</w:t>
      </w:r>
    </w:p>
    <w:p w14:paraId="426B0532">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投标人被视为充分熟悉本招标项目所在地的与履行合同有关的各种情况，包括但不限于：</w:t>
      </w:r>
    </w:p>
    <w:p w14:paraId="24DFD3D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（1）国家对本次投标货物和服务的生产、安装调试、验收、维修等有关法律、法规及行业管理标准；</w:t>
      </w:r>
    </w:p>
    <w:p w14:paraId="63C4A56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（2）安徽省及滁州市等有关管理部门的相关规定；</w:t>
      </w:r>
    </w:p>
    <w:p w14:paraId="34CFA31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的相关场地情况、基础建设、电力供应情况及相关设计标准。</w:t>
      </w:r>
    </w:p>
    <w:p w14:paraId="4A06F9C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本招标文件不再对上述情况进行描述。</w:t>
      </w:r>
    </w:p>
    <w:p w14:paraId="7A2D30B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中标候选人无正当理由放弃中标候选人资格的，其将被记不良信息记录。</w:t>
      </w:r>
    </w:p>
    <w:p w14:paraId="53EC0B87">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3087474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1C9EAC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相关法律法规和规章及部、省、市级规范性文件的规定，编制本招标文件。</w:t>
      </w:r>
    </w:p>
    <w:p w14:paraId="15F12B8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797DABB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7CBCB9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41AEC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20D922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33371EE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09F0BF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第五章  合同条款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w:t>
      </w:r>
    </w:p>
    <w:p w14:paraId="336906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27478D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10BFD5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15.3投标人应仔细阅读和检查招标文件的全部内容。如发现缺页或附件不全，应及时向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3135726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15.4 投标人</w:t>
      </w:r>
      <w:r>
        <w:rPr>
          <w:rFonts w:hint="eastAsia" w:ascii="宋体" w:hAnsi="宋体" w:cs="宋体"/>
          <w:color w:val="auto"/>
          <w:szCs w:val="21"/>
          <w:highlight w:val="none"/>
          <w:lang w:val="en-US" w:eastAsia="zh-CN"/>
        </w:rPr>
        <w:t>可以将疑问内容发送至603727167@qq.com，</w:t>
      </w:r>
      <w:r>
        <w:rPr>
          <w:rFonts w:hint="eastAsia" w:ascii="宋体" w:hAnsi="宋体" w:cs="宋体"/>
          <w:color w:val="auto"/>
          <w:szCs w:val="21"/>
          <w:highlight w:val="none"/>
        </w:rPr>
        <w:t>招标文件的澄清</w:t>
      </w:r>
      <w:r>
        <w:rPr>
          <w:rFonts w:hint="eastAsia" w:ascii="宋体" w:hAnsi="宋体" w:cs="宋体"/>
          <w:color w:val="auto"/>
          <w:szCs w:val="21"/>
          <w:highlight w:val="none"/>
          <w:lang w:val="en-US" w:eastAsia="zh-CN"/>
        </w:rPr>
        <w:t>将以更正公告形式在滁州扬子工业投资集团有限公司官网（https://czyzgtjt.com/）予以公布</w:t>
      </w:r>
      <w:r>
        <w:rPr>
          <w:rFonts w:hint="eastAsia" w:ascii="宋体" w:hAnsi="宋体" w:cs="宋体"/>
          <w:color w:val="auto"/>
          <w:szCs w:val="21"/>
          <w:highlight w:val="none"/>
        </w:rPr>
        <w:t>，但不指明澄清问题的来源。如果澄清内容影响投标文件编制的，将相应延长投标截止时间。</w:t>
      </w:r>
    </w:p>
    <w:p w14:paraId="031B0D9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557047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 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在滁州市扬子工业投资集团有限公司官网（https://czyzgtjt.com/）予以公布。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7ADC3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16.</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招标文件的解释</w:t>
      </w:r>
    </w:p>
    <w:p w14:paraId="72E41B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2370AA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64765D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65B5F9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078E0E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F92F7F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17. 招标文件的发出</w:t>
      </w:r>
    </w:p>
    <w:p w14:paraId="5C7981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17.1招标文件、招标文件的澄清、修改、补充及招标答疑等均应报公共资源交易监督管理机构备案后，方可发出。</w:t>
      </w:r>
    </w:p>
    <w:p w14:paraId="1C2B4EA1">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11DBF3B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.投标的语言及度量衡单位</w:t>
      </w:r>
    </w:p>
    <w:p w14:paraId="5E55F77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33BBE3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2除招标文件中另有规定外，投标文件所使用的度量衡均须采用法定计量单位。</w:t>
      </w:r>
    </w:p>
    <w:p w14:paraId="3449A44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19</w:t>
      </w:r>
      <w:r>
        <w:rPr>
          <w:rFonts w:hint="eastAsia" w:ascii="宋体" w:hAnsi="宋体" w:cs="宋体"/>
          <w:b/>
          <w:color w:val="auto"/>
          <w:szCs w:val="21"/>
          <w:highlight w:val="none"/>
        </w:rPr>
        <w:t>.投标文件的组成</w:t>
      </w:r>
    </w:p>
    <w:p w14:paraId="7C4A63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具体内容详见第六章投标文件格式内容。</w:t>
      </w:r>
    </w:p>
    <w:p w14:paraId="59AB93A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3EEF9F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.1投标报价文件中</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采用人民币表示。投标人的报价应含有服务（货物）、利润、税金、政策性文件规定及合同包含的所有风险、责任、义务等，即为完成招标文件要求的服务（货物）内容所包含的一切应有费用，中标价格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后期不再追加费用，投标供应商自行考虑投标风险。</w:t>
      </w:r>
    </w:p>
    <w:p w14:paraId="7DCE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42EA4FD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57E30F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6B50143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投标有效期</w:t>
      </w:r>
    </w:p>
    <w:p w14:paraId="500F4BC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投标有效期见投标人须知前附表。</w:t>
      </w:r>
    </w:p>
    <w:p w14:paraId="634821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.2在投标有效期内，投标人撤销或修改其投标文件的，应承担招标文件和法律规定的责任。</w:t>
      </w:r>
    </w:p>
    <w:p w14:paraId="258D4D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7D2743E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投标保证金</w:t>
      </w:r>
    </w:p>
    <w:p w14:paraId="445F77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.1本项目不缴纳投标保证金。</w:t>
      </w:r>
    </w:p>
    <w:p w14:paraId="35951FBA">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4E8134E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 投标文件的份数和签署</w:t>
      </w:r>
    </w:p>
    <w:p w14:paraId="007772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投标文件份数：正本一份，副本一份</w:t>
      </w:r>
      <w:r>
        <w:rPr>
          <w:rFonts w:hint="eastAsia" w:ascii="宋体" w:hAnsi="宋体" w:cs="宋体"/>
          <w:color w:val="auto"/>
          <w:szCs w:val="21"/>
          <w:highlight w:val="none"/>
        </w:rPr>
        <w:t>。</w:t>
      </w:r>
    </w:p>
    <w:p w14:paraId="37A37A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23.2投标文件须按格式文件要求签字或盖章，否则经评委会一致认定后, 按照无效投标处理。</w:t>
      </w:r>
    </w:p>
    <w:p w14:paraId="0DB363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投标文件的提交</w:t>
      </w:r>
    </w:p>
    <w:p w14:paraId="5BD0D0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24.1</w:t>
      </w:r>
      <w:r>
        <w:rPr>
          <w:rFonts w:hint="eastAsia" w:ascii="宋体" w:hAnsi="宋体" w:eastAsia="宋体" w:cs="宋体"/>
          <w:color w:val="auto"/>
          <w:sz w:val="21"/>
          <w:szCs w:val="21"/>
          <w:highlight w:val="none"/>
          <w:lang w:val="en-US" w:eastAsia="zh-CN"/>
        </w:rPr>
        <w:t>投标人应在投标截止时间前将投标文件递交至招标人或招标代理机构。</w:t>
      </w:r>
    </w:p>
    <w:p w14:paraId="2689C8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24.2</w:t>
      </w:r>
      <w:r>
        <w:rPr>
          <w:rFonts w:hint="eastAsia" w:ascii="宋体" w:hAnsi="宋体" w:eastAsia="宋体" w:cs="宋体"/>
          <w:color w:val="auto"/>
          <w:sz w:val="21"/>
          <w:szCs w:val="21"/>
          <w:highlight w:val="none"/>
          <w:lang w:val="en-US" w:eastAsia="zh-CN"/>
        </w:rPr>
        <w:t>投</w:t>
      </w:r>
      <w:r>
        <w:rPr>
          <w:rFonts w:hint="eastAsia" w:ascii="宋体" w:hAnsi="宋体" w:cs="宋体"/>
          <w:color w:val="auto"/>
          <w:szCs w:val="21"/>
          <w:highlight w:val="none"/>
        </w:rPr>
        <w:t>标人应当在投标截止时间前完成投标文件的递交， 并可以补充、修改或者撤回投标文件。投标截止时间前未完成投标文件递交的，视为撤回投标文件。未按规定</w:t>
      </w:r>
      <w:r>
        <w:rPr>
          <w:rFonts w:hint="eastAsia" w:ascii="宋体" w:hAnsi="宋体" w:cs="宋体"/>
          <w:color w:val="auto"/>
          <w:szCs w:val="21"/>
          <w:highlight w:val="none"/>
          <w:lang w:val="en-US" w:eastAsia="zh-CN"/>
        </w:rPr>
        <w:t>密封</w:t>
      </w:r>
      <w:r>
        <w:rPr>
          <w:rFonts w:hint="eastAsia" w:ascii="宋体" w:hAnsi="宋体" w:cs="宋体"/>
          <w:color w:val="auto"/>
          <w:szCs w:val="21"/>
          <w:highlight w:val="none"/>
        </w:rPr>
        <w:t>或投标截止时间后递交投标文件的，应当拒收，投标无效。</w:t>
      </w:r>
    </w:p>
    <w:p w14:paraId="38EA15A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．投标文件的修改与撤回</w:t>
      </w:r>
    </w:p>
    <w:p w14:paraId="2066F0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rPr>
        <w:t>.1</w:t>
      </w:r>
      <w:r>
        <w:rPr>
          <w:rFonts w:hint="eastAsia" w:ascii="宋体" w:hAnsi="宋体" w:eastAsia="宋体" w:cs="宋体"/>
          <w:b w:val="0"/>
          <w:bCs w:val="0"/>
          <w:color w:val="auto"/>
          <w:szCs w:val="21"/>
          <w:highlight w:val="none"/>
        </w:rPr>
        <w:t>在规定的投标截止时间前，投标人可以自行撤回已递交的投标文件，并可修改后重新</w:t>
      </w:r>
      <w:r>
        <w:rPr>
          <w:rFonts w:hint="eastAsia" w:ascii="宋体" w:hAnsi="宋体" w:cs="宋体"/>
          <w:b w:val="0"/>
          <w:bCs w:val="0"/>
          <w:color w:val="auto"/>
          <w:szCs w:val="21"/>
          <w:highlight w:val="none"/>
          <w:lang w:val="en-US" w:eastAsia="zh-CN"/>
        </w:rPr>
        <w:t>递交</w:t>
      </w:r>
      <w:r>
        <w:rPr>
          <w:rFonts w:hint="eastAsia" w:ascii="宋体" w:hAnsi="宋体" w:eastAsia="宋体" w:cs="宋体"/>
          <w:b w:val="0"/>
          <w:bCs w:val="0"/>
          <w:color w:val="auto"/>
          <w:szCs w:val="21"/>
          <w:highlight w:val="none"/>
        </w:rPr>
        <w:t>，开标时以投标截止时间前投标人最终</w:t>
      </w:r>
      <w:r>
        <w:rPr>
          <w:rFonts w:hint="eastAsia" w:ascii="宋体" w:hAnsi="宋体" w:cs="宋体"/>
          <w:b w:val="0"/>
          <w:bCs w:val="0"/>
          <w:color w:val="auto"/>
          <w:szCs w:val="21"/>
          <w:highlight w:val="none"/>
          <w:lang w:val="en-US" w:eastAsia="zh-CN"/>
        </w:rPr>
        <w:t>递交</w:t>
      </w:r>
      <w:r>
        <w:rPr>
          <w:rFonts w:hint="eastAsia" w:ascii="宋体" w:hAnsi="宋体" w:eastAsia="宋体" w:cs="宋体"/>
          <w:b w:val="0"/>
          <w:bCs w:val="0"/>
          <w:color w:val="auto"/>
          <w:szCs w:val="21"/>
          <w:highlight w:val="none"/>
        </w:rPr>
        <w:t>的投标文件为准。</w:t>
      </w:r>
    </w:p>
    <w:p w14:paraId="49A5D768">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C17E632">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 开标</w:t>
      </w:r>
    </w:p>
    <w:p w14:paraId="305E570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.1开标的时间和地点</w:t>
      </w:r>
    </w:p>
    <w:p w14:paraId="389E8B2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.1.1招标人在投标人须知前附表规定的投标截止时间（开标时间）和地点公开开标。</w:t>
      </w:r>
    </w:p>
    <w:p w14:paraId="543B5AE4">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开标程序</w:t>
      </w:r>
    </w:p>
    <w:p w14:paraId="7289A5E3">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rPr>
        <w:t xml:space="preserve">开标会议由采购代理机构主持。 </w:t>
      </w:r>
    </w:p>
    <w:p w14:paraId="426CF4C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40" w:name="_Toc15058877"/>
      <w:r>
        <w:rPr>
          <w:rFonts w:hint="eastAsia" w:ascii="宋体" w:hAnsi="宋体" w:eastAsia="宋体" w:cs="宋体"/>
          <w:color w:val="auto"/>
          <w:szCs w:val="21"/>
          <w:highlight w:val="none"/>
        </w:rPr>
        <w:t>（1）宣布开标纪律；</w:t>
      </w:r>
      <w:bookmarkEnd w:id="40"/>
    </w:p>
    <w:p w14:paraId="6521FD7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41" w:name="_Toc15058878"/>
      <w:r>
        <w:rPr>
          <w:rFonts w:hint="eastAsia" w:ascii="宋体" w:hAnsi="宋体" w:eastAsia="宋体" w:cs="宋体"/>
          <w:color w:val="auto"/>
          <w:szCs w:val="21"/>
          <w:highlight w:val="none"/>
        </w:rPr>
        <w:t>（2）宣布招标人、代理机构主持人等有关人员姓名；</w:t>
      </w:r>
      <w:bookmarkEnd w:id="41"/>
    </w:p>
    <w:p w14:paraId="18AFA2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42" w:name="_Toc15058879"/>
      <w:r>
        <w:rPr>
          <w:rFonts w:hint="eastAsia" w:ascii="宋体" w:hAnsi="宋体" w:eastAsia="宋体" w:cs="宋体"/>
          <w:color w:val="auto"/>
          <w:szCs w:val="21"/>
          <w:highlight w:val="none"/>
        </w:rPr>
        <w:t>（3）公布递交投标文件的投标人名称等；</w:t>
      </w:r>
      <w:bookmarkEnd w:id="42"/>
      <w:r>
        <w:rPr>
          <w:rFonts w:hint="eastAsia" w:ascii="宋体" w:hAnsi="宋体" w:eastAsia="宋体" w:cs="宋体"/>
          <w:color w:val="auto"/>
          <w:szCs w:val="21"/>
          <w:highlight w:val="none"/>
        </w:rPr>
        <w:t xml:space="preserve"> </w:t>
      </w:r>
    </w:p>
    <w:p w14:paraId="016BC1E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43" w:name="_Toc15058880"/>
      <w:r>
        <w:rPr>
          <w:rFonts w:hint="eastAsia" w:ascii="宋体" w:hAnsi="宋体" w:eastAsia="宋体" w:cs="宋体"/>
          <w:color w:val="auto"/>
          <w:szCs w:val="21"/>
          <w:highlight w:val="none"/>
        </w:rPr>
        <w:t>（4）公布投标人投标报价、工期及其他内容，并记录在案</w:t>
      </w:r>
      <w:r>
        <w:rPr>
          <w:rFonts w:hint="eastAsia" w:ascii="宋体" w:hAnsi="宋体" w:eastAsia="宋体" w:cs="宋体"/>
          <w:color w:val="auto"/>
          <w:szCs w:val="21"/>
          <w:highlight w:val="none"/>
          <w:lang w:eastAsia="zh-CN"/>
        </w:rPr>
        <w:t>；</w:t>
      </w:r>
      <w:bookmarkEnd w:id="43"/>
      <w:bookmarkStart w:id="44" w:name="_Toc15058881"/>
    </w:p>
    <w:p w14:paraId="471682C4">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bookmarkEnd w:id="44"/>
      <w:r>
        <w:rPr>
          <w:rFonts w:hint="eastAsia" w:ascii="宋体" w:hAnsi="宋体" w:eastAsia="宋体" w:cs="宋体"/>
          <w:color w:val="auto"/>
          <w:szCs w:val="21"/>
          <w:highlight w:val="none"/>
          <w:lang w:val="en-US" w:eastAsia="zh-CN"/>
        </w:rPr>
        <w:t>评标委员会对投标文件进行评审，公布评审结果</w:t>
      </w:r>
      <w:r>
        <w:rPr>
          <w:rFonts w:hint="eastAsia" w:ascii="宋体" w:hAnsi="宋体" w:eastAsia="宋体" w:cs="宋体"/>
          <w:color w:val="auto"/>
          <w:szCs w:val="21"/>
          <w:highlight w:val="none"/>
        </w:rPr>
        <w:t>；</w:t>
      </w:r>
    </w:p>
    <w:p w14:paraId="6F55B94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45" w:name="_Toc15058882"/>
      <w:r>
        <w:rPr>
          <w:rFonts w:hint="eastAsia" w:ascii="宋体" w:hAnsi="宋体" w:eastAsia="宋体" w:cs="宋体"/>
          <w:color w:val="auto"/>
          <w:szCs w:val="21"/>
          <w:highlight w:val="none"/>
        </w:rPr>
        <w:t>（6）开标结束。</w:t>
      </w:r>
      <w:bookmarkEnd w:id="45"/>
    </w:p>
    <w:p w14:paraId="7E535077">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.4开标异议</w:t>
      </w:r>
    </w:p>
    <w:p w14:paraId="61A3FD8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w:t>
      </w:r>
      <w:r>
        <w:rPr>
          <w:rFonts w:hint="eastAsia" w:ascii="宋体" w:hAnsi="宋体" w:cs="宋体"/>
          <w:color w:val="auto"/>
          <w:szCs w:val="21"/>
          <w:highlight w:val="none"/>
          <w:lang w:val="en-US" w:eastAsia="zh-CN"/>
        </w:rPr>
        <w:t>现场</w:t>
      </w:r>
      <w:r>
        <w:rPr>
          <w:rFonts w:hint="eastAsia" w:ascii="宋体" w:hAnsi="宋体" w:cs="宋体"/>
          <w:color w:val="auto"/>
          <w:szCs w:val="21"/>
          <w:highlight w:val="none"/>
        </w:rPr>
        <w:t>提出，招标人当场作出答复，并制作记录。</w:t>
      </w:r>
    </w:p>
    <w:p w14:paraId="51D057A6">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.评标委员会</w:t>
      </w:r>
    </w:p>
    <w:p w14:paraId="23F5480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  评标委员会的组成</w:t>
      </w:r>
    </w:p>
    <w:p w14:paraId="34A543F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.1.1评标由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w:t>
      </w:r>
    </w:p>
    <w:p w14:paraId="1E389BE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.1.2评标委员会负责人依法推荐或确定。</w:t>
      </w:r>
    </w:p>
    <w:p w14:paraId="7E64B60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27.2</w:t>
      </w:r>
      <w:r>
        <w:rPr>
          <w:rFonts w:hint="eastAsia" w:ascii="宋体" w:hAnsi="宋体" w:eastAsia="宋体" w:cs="宋体"/>
          <w:color w:val="auto"/>
          <w:sz w:val="21"/>
          <w:szCs w:val="21"/>
          <w:highlight w:val="none"/>
        </w:rPr>
        <w:t>评标委员会成员名单在中标结果确定前应当保密。</w:t>
      </w:r>
    </w:p>
    <w:p w14:paraId="4B33CFD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27.3</w:t>
      </w:r>
      <w:r>
        <w:rPr>
          <w:rFonts w:hint="eastAsia" w:ascii="宋体" w:hAnsi="宋体" w:eastAsia="宋体" w:cs="宋体"/>
          <w:color w:val="auto"/>
          <w:sz w:val="21"/>
          <w:szCs w:val="21"/>
          <w:highlight w:val="none"/>
        </w:rPr>
        <w:t>评标委员会成员有下述情形的，应当主动提出回避：</w:t>
      </w:r>
    </w:p>
    <w:p w14:paraId="35F7FDB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（1）供应商或供应商主要负责人的近亲属；</w:t>
      </w:r>
    </w:p>
    <w:p w14:paraId="399C676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（2）项目主管部门或者行政监督部门的人员；</w:t>
      </w:r>
    </w:p>
    <w:p w14:paraId="316EA37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（3）与供应商有经济利益关系；</w:t>
      </w:r>
    </w:p>
    <w:p w14:paraId="5D6A0B5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（4）曾因在招标、评标以及其他与招标投标有关活动中从事违法行为而受过行政处罚或刑事处罚的；</w:t>
      </w:r>
    </w:p>
    <w:p w14:paraId="66E347F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（5）与供应商有其他利害关系。</w:t>
      </w:r>
    </w:p>
    <w:p w14:paraId="02FFF5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27.4</w:t>
      </w:r>
      <w:r>
        <w:rPr>
          <w:rFonts w:hint="eastAsia" w:ascii="宋体" w:hAnsi="宋体" w:eastAsia="宋体" w:cs="宋体"/>
          <w:color w:val="auto"/>
          <w:sz w:val="21"/>
          <w:szCs w:val="21"/>
          <w:highlight w:val="none"/>
        </w:rPr>
        <w:t>评标委员会应当向</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提出书面评标报告，并抄送有关行政监督部门。评标报告应当如实记载以下内容：</w:t>
      </w:r>
    </w:p>
    <w:p w14:paraId="278132F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（1）基本情况和数据表；</w:t>
      </w:r>
    </w:p>
    <w:p w14:paraId="45C6D2B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（2）评标委员会成员名单；</w:t>
      </w:r>
    </w:p>
    <w:p w14:paraId="03C4C77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（3）开标记录；</w:t>
      </w:r>
    </w:p>
    <w:p w14:paraId="79BBDD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（4）符合要求的供应商一览表；</w:t>
      </w:r>
    </w:p>
    <w:p w14:paraId="6137CF0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（5）无效情况说明；</w:t>
      </w:r>
    </w:p>
    <w:p w14:paraId="6806827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（6）评标标准、评标方法或者评标因素一览表；</w:t>
      </w:r>
    </w:p>
    <w:p w14:paraId="67CA8C1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（7）经评审的价格或者评分比较一览表；</w:t>
      </w:r>
    </w:p>
    <w:p w14:paraId="0B99038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（8）供应商串标、围标等违规行为的确认报告；</w:t>
      </w:r>
    </w:p>
    <w:p w14:paraId="16195BE2">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（9）经评审的供应商排序；</w:t>
      </w:r>
    </w:p>
    <w:p w14:paraId="7B70826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（10）推荐的中标候选人名单；</w:t>
      </w:r>
    </w:p>
    <w:p w14:paraId="00A447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（11）澄清、说明、补正事项纪要。</w:t>
      </w:r>
    </w:p>
    <w:p w14:paraId="4F3F49C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.5评标委员会接受</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授权对供应商资格进行审查。</w:t>
      </w:r>
    </w:p>
    <w:p w14:paraId="3ADDDFB7">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宋体" w:cs="宋体"/>
          <w:b/>
          <w:color w:val="auto"/>
          <w:szCs w:val="21"/>
          <w:highlight w:val="none"/>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.6评标委员会应自觉接受有关监督管理部门的现场监督，评标委员会成</w:t>
      </w:r>
      <w:r>
        <w:rPr>
          <w:rFonts w:hint="eastAsia" w:ascii="宋体" w:hAnsi="宋体" w:eastAsia="宋体" w:cs="宋体"/>
          <w:color w:val="auto"/>
          <w:sz w:val="21"/>
          <w:szCs w:val="21"/>
          <w:highlight w:val="none"/>
          <w:lang w:eastAsia="zh-CN"/>
        </w:rPr>
        <w:t>员和</w:t>
      </w:r>
      <w:r>
        <w:rPr>
          <w:rFonts w:hint="eastAsia" w:ascii="宋体" w:hAnsi="宋体" w:eastAsia="宋体" w:cs="宋体"/>
          <w:color w:val="auto"/>
          <w:sz w:val="21"/>
          <w:szCs w:val="21"/>
          <w:highlight w:val="none"/>
        </w:rPr>
        <w:t>与评标活动有关的工作人员和监督人员不得向他人透露对投标文件的评审和比较、中标候选人的推荐以及与评标有关的其他情况。投标文件及与评标有关的资料应当保密。</w:t>
      </w:r>
    </w:p>
    <w:p w14:paraId="1FE93A2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评标</w:t>
      </w:r>
    </w:p>
    <w:p w14:paraId="7E999B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.1评标准备工作</w:t>
      </w:r>
    </w:p>
    <w:p w14:paraId="6811C5E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.1.1阅读由</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或招标代理单位编写的招标项目情况的说明材料；</w:t>
      </w:r>
    </w:p>
    <w:p w14:paraId="4B770C2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.1.2阅读、研究招标文件和相关评标资料，获取评标所需要的重要信息和数据；</w:t>
      </w:r>
    </w:p>
    <w:p w14:paraId="29DE4DAB">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.1.3熟悉招标文件规定的评标方法及在评标过程中需要考虑的相关因素；</w:t>
      </w:r>
    </w:p>
    <w:p w14:paraId="51029DC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.1.4核对评标工作用表。</w:t>
      </w:r>
    </w:p>
    <w:p w14:paraId="663AD5C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.2评标办法</w:t>
      </w:r>
    </w:p>
    <w:p w14:paraId="6BC0DDB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小组按照第三章“评标办法”规定的方法、评审因素、标准和程序对投标文件进行评审。第三章“评标办法”没有规定的方法、评审因素和标准，不作为评标依据。</w:t>
      </w:r>
    </w:p>
    <w:p w14:paraId="41B44F7D">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.2.2评标原则：遵循公平、公正、科学和择优的原则。</w:t>
      </w:r>
    </w:p>
    <w:p w14:paraId="3FA097F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.3投标文件的澄清</w:t>
      </w:r>
    </w:p>
    <w:p w14:paraId="281CFE8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.3.1在评审过程中，</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认为需要，可要求投标人对投标文件中的有关问题进行澄清或提供补充说明及有关资料，投标人应做出书面答复。</w:t>
      </w:r>
    </w:p>
    <w:p w14:paraId="1F19991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.3.2书面答复须经投标人法定代表人或其委托代理人签字或盖章，签字或盖章的书面答复将被视为投标文件的组成部分。</w:t>
      </w:r>
    </w:p>
    <w:p w14:paraId="40273E6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.4报价合理性的判断</w:t>
      </w:r>
    </w:p>
    <w:p w14:paraId="36CABB4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应当将其作为无效投标处理。</w:t>
      </w:r>
    </w:p>
    <w:p w14:paraId="288D5E3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.5评审意见分歧的处理办法</w:t>
      </w:r>
    </w:p>
    <w:p w14:paraId="792C615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应当对投标人提供的报告、证明材料及详细说明认真研究。对存在意见分歧的，可采用投票方式表决决定（按多数评委意见为准）；</w:t>
      </w:r>
    </w:p>
    <w:p w14:paraId="7FDF0571">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.6评标报告的签署</w:t>
      </w:r>
    </w:p>
    <w:p w14:paraId="4790D8F3">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应当编制书面评标报告,所有成员应签字确认。对评标结论持有异议的</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成员可以书面方式阐述其不同意见和理由。</w:t>
      </w: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rPr>
        <w:t>成员拒绝在评标报告上签字且不陈述其不同意见和理由的，视为同意评标结论。</w:t>
      </w:r>
    </w:p>
    <w:p w14:paraId="713142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.7评标过程的保密</w:t>
      </w:r>
    </w:p>
    <w:p w14:paraId="16608DB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评审小组</w:t>
      </w:r>
      <w:r>
        <w:rPr>
          <w:rFonts w:hint="eastAsia" w:ascii="宋体" w:hAnsi="宋体" w:eastAsia="宋体" w:cs="宋体"/>
          <w:color w:val="auto"/>
          <w:sz w:val="21"/>
          <w:szCs w:val="21"/>
          <w:highlight w:val="none"/>
          <w:lang w:val="en-US" w:eastAsia="zh-CN"/>
        </w:rPr>
        <w:t>成</w:t>
      </w:r>
      <w:r>
        <w:rPr>
          <w:rFonts w:hint="eastAsia" w:ascii="宋体" w:hAnsi="宋体" w:eastAsia="宋体" w:cs="宋体"/>
          <w:color w:val="auto"/>
          <w:sz w:val="21"/>
          <w:szCs w:val="21"/>
          <w:highlight w:val="none"/>
        </w:rPr>
        <w:t xml:space="preserve">员和与评标活动有关的工作人员不得透露对投标文件的评审和比较、中标候选人的推荐情况以及与评标有关的其他情况。 </w:t>
      </w:r>
    </w:p>
    <w:p w14:paraId="35C868A8">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29</w:t>
      </w:r>
      <w:r>
        <w:rPr>
          <w:rFonts w:hint="eastAsia" w:ascii="宋体" w:hAnsi="宋体" w:cs="宋体"/>
          <w:b/>
          <w:color w:val="auto"/>
          <w:szCs w:val="21"/>
          <w:highlight w:val="none"/>
        </w:rPr>
        <w:t>. 定标</w:t>
      </w:r>
    </w:p>
    <w:p w14:paraId="07ECDBE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 中标人的确定</w:t>
      </w:r>
    </w:p>
    <w:p w14:paraId="520D50F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依据评标委员会推荐的</w:t>
      </w:r>
      <w:r>
        <w:rPr>
          <w:rFonts w:hint="eastAsia" w:ascii="宋体" w:hAnsi="宋体" w:eastAsia="宋体" w:cs="宋体"/>
          <w:color w:val="auto"/>
          <w:sz w:val="21"/>
          <w:szCs w:val="21"/>
          <w:highlight w:val="none"/>
          <w:lang w:val="en-US" w:eastAsia="zh-CN"/>
        </w:rPr>
        <w:t>第一</w:t>
      </w:r>
      <w:r>
        <w:rPr>
          <w:rFonts w:hint="eastAsia" w:ascii="宋体" w:hAnsi="宋体" w:eastAsia="宋体" w:cs="宋体"/>
          <w:color w:val="auto"/>
          <w:sz w:val="21"/>
          <w:szCs w:val="21"/>
          <w:highlight w:val="none"/>
        </w:rPr>
        <w:t>中标候选人确定</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中标人，排名第一的中标候选人放弃中标、因不可抗力提出不能履约合同，或者招标文件规定应当提交履约保证金而在规定的期限内未能提交的或存在弄虚作假等其他违法行为骗取中标的，或合同履行过程中，被终止协议的，</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可以确定排名第二的中标候选人为中标人，</w:t>
      </w:r>
      <w:r>
        <w:rPr>
          <w:rFonts w:hint="eastAsia" w:ascii="宋体" w:hAnsi="宋体" w:eastAsia="宋体" w:cs="宋体"/>
          <w:color w:val="auto"/>
          <w:sz w:val="21"/>
          <w:szCs w:val="21"/>
          <w:highlight w:val="none"/>
          <w:lang w:eastAsia="zh-CN"/>
        </w:rPr>
        <w:t>以此类推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也可依法重新组织招标。</w:t>
      </w:r>
    </w:p>
    <w:p w14:paraId="5B30AC4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29.1.2</w:t>
      </w:r>
      <w:r>
        <w:rPr>
          <w:rFonts w:hint="eastAsia" w:ascii="宋体" w:hAnsi="宋体" w:eastAsia="宋体" w:cs="宋体"/>
          <w:color w:val="auto"/>
          <w:sz w:val="21"/>
          <w:szCs w:val="21"/>
          <w:highlight w:val="none"/>
        </w:rPr>
        <w:t>中标人确定后，</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应将中标人名单在前附表规定的网站进行网上公示。</w:t>
      </w:r>
    </w:p>
    <w:p w14:paraId="16AA40FD">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 中标通知书</w:t>
      </w:r>
    </w:p>
    <w:p w14:paraId="4C7D994E">
      <w:pPr>
        <w:pStyle w:val="12"/>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或采购代理机构应在中标人确定之日起2个工作日内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1BB80BC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608C3E59">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 开评标异常情况处理</w:t>
      </w:r>
    </w:p>
    <w:p w14:paraId="3EC168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0</w:t>
      </w:r>
      <w:r>
        <w:rPr>
          <w:rFonts w:hint="eastAsia" w:ascii="宋体" w:hAnsi="宋体" w:cs="宋体"/>
          <w:color w:val="auto"/>
          <w:kern w:val="10"/>
          <w:szCs w:val="21"/>
          <w:highlight w:val="none"/>
        </w:rPr>
        <w:t>.1废标（重新招标）</w:t>
      </w:r>
    </w:p>
    <w:p w14:paraId="2967204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7F4DF2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(1)投标截止时间止，投标人少于三个的； </w:t>
      </w:r>
    </w:p>
    <w:p w14:paraId="4DD60D9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szCs w:val="21"/>
          <w:highlight w:val="none"/>
          <w:shd w:val="clear" w:color="auto" w:fill="FFFFFF"/>
        </w:rPr>
        <w:t>符合专业条件的供应商或者对招标文件作实质响应的供应商不足三家的</w:t>
      </w:r>
      <w:r>
        <w:rPr>
          <w:rFonts w:hint="eastAsia" w:ascii="宋体" w:hAnsi="宋体" w:cs="宋体"/>
          <w:color w:val="auto"/>
          <w:kern w:val="10"/>
          <w:szCs w:val="21"/>
          <w:highlight w:val="none"/>
        </w:rPr>
        <w:t>；</w:t>
      </w:r>
    </w:p>
    <w:p w14:paraId="768CBC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(3)出现影响采购公正的违法、违规行为的；</w:t>
      </w:r>
    </w:p>
    <w:p w14:paraId="15638BE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35136F5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w:t>
      </w:r>
      <w:r>
        <w:rPr>
          <w:rFonts w:hint="eastAsia" w:ascii="宋体" w:hAnsi="宋体" w:eastAsia="宋体" w:cs="宋体"/>
          <w:color w:val="auto"/>
          <w:kern w:val="10"/>
          <w:szCs w:val="21"/>
          <w:highlight w:val="none"/>
          <w:lang w:val="en-US" w:eastAsia="zh-CN"/>
        </w:rPr>
        <w:t>5</w:t>
      </w:r>
      <w:r>
        <w:rPr>
          <w:rFonts w:hint="eastAsia" w:ascii="宋体" w:hAnsi="宋体" w:eastAsia="宋体" w:cs="宋体"/>
          <w:color w:val="auto"/>
          <w:kern w:val="10"/>
          <w:szCs w:val="21"/>
          <w:highlight w:val="none"/>
        </w:rPr>
        <w:t>)因重大变故，采购任务取消的。</w:t>
      </w:r>
    </w:p>
    <w:p w14:paraId="1851004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w:t>
      </w:r>
      <w:r>
        <w:rPr>
          <w:rFonts w:hint="eastAsia" w:ascii="宋体" w:hAnsi="宋体" w:eastAsia="宋体" w:cs="宋体"/>
          <w:color w:val="auto"/>
          <w:kern w:val="10"/>
          <w:szCs w:val="21"/>
          <w:highlight w:val="none"/>
          <w:lang w:val="en-US" w:eastAsia="zh-CN"/>
        </w:rPr>
        <w:t>0</w:t>
      </w:r>
      <w:r>
        <w:rPr>
          <w:rFonts w:hint="eastAsia" w:ascii="宋体" w:hAnsi="宋体" w:eastAsia="宋体" w:cs="宋体"/>
          <w:color w:val="auto"/>
          <w:kern w:val="10"/>
          <w:szCs w:val="21"/>
          <w:highlight w:val="none"/>
        </w:rPr>
        <w:t>.2变更采购方式</w:t>
      </w:r>
    </w:p>
    <w:p w14:paraId="3DEA25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kern w:val="10"/>
          <w:szCs w:val="21"/>
          <w:highlight w:val="none"/>
          <w:lang w:val="en-US" w:eastAsia="zh-CN"/>
        </w:rPr>
      </w:pPr>
      <w:bookmarkStart w:id="46" w:name="_Toc449028873"/>
      <w:r>
        <w:rPr>
          <w:rFonts w:hint="eastAsia" w:ascii="宋体" w:hAnsi="宋体" w:eastAsia="宋体" w:cs="宋体"/>
          <w:color w:val="auto"/>
          <w:kern w:val="10"/>
          <w:szCs w:val="21"/>
          <w:highlight w:val="none"/>
          <w:lang w:val="en-US" w:eastAsia="zh-CN"/>
        </w:rPr>
        <w:t>截止投标时间提交投标文件的投标人不足3家或经评审后有效投标人不足3家，根据项目具体情况，经招标人确认后可现场转为竞争性谈判。</w:t>
      </w:r>
    </w:p>
    <w:p w14:paraId="024D34C0">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6"/>
    </w:p>
    <w:p w14:paraId="6503E8B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.合同授予标准</w:t>
      </w:r>
    </w:p>
    <w:p w14:paraId="37DE534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 本招标项目的合同将授予按本投标须知第</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 xml:space="preserve">条规定所确定的中标人。 </w:t>
      </w:r>
    </w:p>
    <w:p w14:paraId="403032C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.合同协议书的签订</w:t>
      </w:r>
    </w:p>
    <w:p w14:paraId="0B02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与中标人将于中标通知书发出之日起7个工作日内，按照招标文件和中标人的投标文件订立书面采购合同。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7CBFD5D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6B58AC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中标人如不按本投标须知第31条的规定与招标人订立合同，依法承担民事责任，同时依法承担相应法律责任。</w:t>
      </w:r>
    </w:p>
    <w:p w14:paraId="513DED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.4中标人应当按照合同约定履行义务，完成中标项目，不得将中标项目转让（转包）给他人。</w:t>
      </w:r>
    </w:p>
    <w:p w14:paraId="6EAE48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bookmarkStart w:id="47" w:name="_Toc217446068"/>
      <w:r>
        <w:rPr>
          <w:rFonts w:hint="eastAsia" w:ascii="宋体" w:hAnsi="宋体" w:cs="宋体"/>
          <w:b/>
          <w:color w:val="auto"/>
          <w:szCs w:val="21"/>
          <w:highlight w:val="none"/>
        </w:rPr>
        <w:t>履约保证金</w:t>
      </w:r>
      <w:bookmarkEnd w:id="47"/>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1A6302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50FDC3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 中标人不能按本章第3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DDCF8D5">
      <w:pPr>
        <w:spacing w:before="312" w:beforeLines="100" w:after="312" w:afterLines="100" w:line="440" w:lineRule="exact"/>
        <w:jc w:val="center"/>
        <w:rPr>
          <w:rFonts w:hint="eastAsia" w:ascii="宋体" w:hAnsi="宋体" w:eastAsia="宋体" w:cs="宋体"/>
          <w:b/>
          <w:color w:val="auto"/>
          <w:sz w:val="28"/>
          <w:szCs w:val="28"/>
          <w:highlight w:val="none"/>
        </w:rPr>
      </w:pPr>
      <w:bookmarkStart w:id="48" w:name="_Toc449028874"/>
      <w:r>
        <w:rPr>
          <w:rFonts w:hint="eastAsia" w:ascii="宋体" w:hAnsi="宋体" w:eastAsia="宋体" w:cs="宋体"/>
          <w:b/>
          <w:color w:val="auto"/>
          <w:sz w:val="28"/>
          <w:szCs w:val="28"/>
          <w:highlight w:val="none"/>
        </w:rPr>
        <w:t>（七）纪律和监督</w:t>
      </w:r>
      <w:bookmarkEnd w:id="48"/>
    </w:p>
    <w:p w14:paraId="1BF8F3EB">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5E211F0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4</w:t>
      </w:r>
      <w:r>
        <w:rPr>
          <w:rFonts w:hint="eastAsia" w:ascii="宋体" w:hAnsi="宋体" w:cs="宋体"/>
          <w:color w:val="auto"/>
          <w:kern w:val="10"/>
          <w:szCs w:val="21"/>
          <w:highlight w:val="none"/>
        </w:rPr>
        <w:t>.1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2FAFAD3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 xml:space="preserve"> 对投标人的纪律要求 </w:t>
      </w:r>
    </w:p>
    <w:p w14:paraId="360CF9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5</w:t>
      </w:r>
      <w:r>
        <w:rPr>
          <w:rFonts w:hint="eastAsia" w:ascii="宋体" w:hAnsi="宋体" w:cs="宋体"/>
          <w:color w:val="auto"/>
          <w:kern w:val="10"/>
          <w:szCs w:val="21"/>
          <w:highlight w:val="none"/>
        </w:rPr>
        <w:t>.1投标人不得相互串通投标或者与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55B8F791">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 xml:space="preserve">. 对评标委员会成员的纪律要求 </w:t>
      </w:r>
    </w:p>
    <w:p w14:paraId="4AE1A07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6</w:t>
      </w:r>
      <w:r>
        <w:rPr>
          <w:rFonts w:hint="eastAsia" w:ascii="宋体" w:hAnsi="宋体" w:cs="宋体"/>
          <w:color w:val="auto"/>
          <w:kern w:val="10"/>
          <w:szCs w:val="21"/>
          <w:highlight w:val="none"/>
        </w:rPr>
        <w:t>.1评标委员会成员不得收受他人的财物或者其他好处，不得向他人透漏对投标文件的评审和比较、中标候选人的推荐情况以及评标有关的其他情况。</w:t>
      </w:r>
    </w:p>
    <w:p w14:paraId="4278D7D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6</w:t>
      </w:r>
      <w:r>
        <w:rPr>
          <w:rFonts w:hint="eastAsia" w:ascii="宋体" w:hAnsi="宋体" w:cs="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24FE0A04">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 xml:space="preserve">. 对与评标活动有关的工作人员的纪律要求 </w:t>
      </w:r>
    </w:p>
    <w:p w14:paraId="2A21000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7</w:t>
      </w:r>
      <w:r>
        <w:rPr>
          <w:rFonts w:hint="eastAsia" w:ascii="宋体" w:hAnsi="宋体" w:cs="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0D21476">
      <w:pPr>
        <w:spacing w:before="312" w:beforeLines="100" w:after="312" w:afterLines="100" w:line="440" w:lineRule="exact"/>
        <w:jc w:val="center"/>
        <w:rPr>
          <w:rFonts w:hint="eastAsia" w:ascii="宋体" w:hAnsi="宋体" w:eastAsia="宋体" w:cs="宋体"/>
          <w:b/>
          <w:color w:val="auto"/>
          <w:sz w:val="28"/>
          <w:szCs w:val="28"/>
          <w:highlight w:val="none"/>
        </w:rPr>
      </w:pPr>
      <w:bookmarkStart w:id="49" w:name="_Toc449028875"/>
      <w:r>
        <w:rPr>
          <w:rFonts w:hint="eastAsia" w:ascii="宋体" w:hAnsi="宋体" w:eastAsia="宋体" w:cs="宋体"/>
          <w:b/>
          <w:color w:val="auto"/>
          <w:sz w:val="28"/>
          <w:szCs w:val="28"/>
          <w:highlight w:val="none"/>
        </w:rPr>
        <w:t>（八）质疑与投诉</w:t>
      </w:r>
      <w:bookmarkEnd w:id="49"/>
    </w:p>
    <w:p w14:paraId="7BD937C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询问、质疑</w:t>
      </w:r>
    </w:p>
    <w:p w14:paraId="1B216D1F">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eastAsia="宋体" w:cs="宋体"/>
          <w:color w:val="auto"/>
          <w:kern w:val="10"/>
          <w:sz w:val="21"/>
          <w:szCs w:val="21"/>
          <w:highlight w:val="none"/>
          <w:lang w:eastAsia="zh-CN"/>
        </w:rPr>
        <w:t>若投标人或者其他利害关系人对</w:t>
      </w:r>
      <w:r>
        <w:rPr>
          <w:rFonts w:hint="eastAsia" w:ascii="宋体" w:hAnsi="宋体" w:eastAsia="宋体" w:cs="宋体"/>
          <w:color w:val="auto"/>
          <w:kern w:val="10"/>
          <w:sz w:val="21"/>
          <w:szCs w:val="21"/>
          <w:highlight w:val="none"/>
          <w:lang w:val="en-US" w:eastAsia="zh-CN"/>
        </w:rPr>
        <w:t>中标</w:t>
      </w:r>
      <w:r>
        <w:rPr>
          <w:rFonts w:hint="eastAsia" w:ascii="宋体" w:hAnsi="宋体" w:eastAsia="宋体" w:cs="宋体"/>
          <w:color w:val="auto"/>
          <w:kern w:val="10"/>
          <w:sz w:val="21"/>
          <w:szCs w:val="21"/>
          <w:highlight w:val="none"/>
          <w:lang w:eastAsia="zh-CN"/>
        </w:rPr>
        <w:t>结果有异议，可在公示期内以书面形式，并在工作时间内（上午8:00-12:00,下午2:30-5:30）向招标人或招标代理机构提出异议。</w:t>
      </w:r>
    </w:p>
    <w:p w14:paraId="0A2AC6D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异议应以书面形式实名提出，书面异议材料应当包括以下内容： </w:t>
      </w:r>
    </w:p>
    <w:p w14:paraId="039C0B3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（1）异议人的名称、地址、有效联系方式； </w:t>
      </w:r>
    </w:p>
    <w:p w14:paraId="257C3E87">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（2）项目名称、项目编号、标段号（如有）； </w:t>
      </w:r>
    </w:p>
    <w:p w14:paraId="7965E18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（3）被异议人名称； </w:t>
      </w:r>
    </w:p>
    <w:p w14:paraId="76B96196">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（4）具体的异议事项、基本事实及必要的证明材料； </w:t>
      </w:r>
    </w:p>
    <w:p w14:paraId="11ED671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（5）明确的请求及主张； </w:t>
      </w:r>
    </w:p>
    <w:p w14:paraId="3652963E">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（6）提起异议的日期。 </w:t>
      </w:r>
    </w:p>
    <w:p w14:paraId="1DC7774A">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（7）异议人为法人的，应当由法定代表人或授权代表签字并加盖公章；为其他组织或个人的，异议材料须由其主要负责人或者异议人本人签字，并附有效身份证明复印件。 </w:t>
      </w:r>
    </w:p>
    <w:p w14:paraId="6CD082B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（8）异议人需要修改、补充异议材料的，应当在招标人或招标代理机构规定的期限内提交修改或补充材料。 </w:t>
      </w:r>
    </w:p>
    <w:p w14:paraId="7276EE1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.2 </w:t>
      </w:r>
      <w:r>
        <w:rPr>
          <w:rFonts w:hint="eastAsia" w:ascii="宋体" w:hAnsi="宋体" w:eastAsia="宋体" w:cs="宋体"/>
          <w:color w:val="auto"/>
          <w:kern w:val="10"/>
          <w:sz w:val="21"/>
          <w:szCs w:val="21"/>
          <w:highlight w:val="none"/>
          <w:lang w:eastAsia="zh-CN"/>
        </w:rPr>
        <w:t>有下列情形之一的，不予受理： </w:t>
      </w:r>
    </w:p>
    <w:p w14:paraId="077771CD">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xml:space="preserve">  </w:t>
      </w:r>
      <w:r>
        <w:rPr>
          <w:rFonts w:hint="eastAsia" w:ascii="宋体" w:hAnsi="宋体" w:eastAsia="宋体" w:cs="宋体"/>
          <w:color w:val="auto"/>
          <w:kern w:val="10"/>
          <w:sz w:val="21"/>
          <w:szCs w:val="21"/>
          <w:highlight w:val="none"/>
          <w:lang w:val="en-US" w:eastAsia="zh-CN"/>
        </w:rPr>
        <w:t xml:space="preserve"> </w:t>
      </w:r>
      <w:r>
        <w:rPr>
          <w:rFonts w:hint="eastAsia" w:ascii="宋体" w:hAnsi="宋体" w:eastAsia="宋体" w:cs="宋体"/>
          <w:color w:val="auto"/>
          <w:kern w:val="10"/>
          <w:sz w:val="21"/>
          <w:szCs w:val="21"/>
          <w:highlight w:val="none"/>
          <w:lang w:eastAsia="zh-CN"/>
        </w:rPr>
        <w:t>（1）提出异议的主体不是所异议项目投标人或者其他利害关系人的；</w:t>
      </w:r>
    </w:p>
    <w:p w14:paraId="3BB44CE2">
      <w:pPr>
        <w:keepNext w:val="0"/>
        <w:keepLines w:val="0"/>
        <w:pageBreakBefore w:val="0"/>
        <w:widowControl w:val="0"/>
        <w:kinsoku/>
        <w:wordWrap/>
        <w:overflowPunct/>
        <w:topLinePunct w:val="0"/>
        <w:autoSpaceDE/>
        <w:autoSpaceDN/>
        <w:bidi w:val="0"/>
        <w:adjustRightInd/>
        <w:snapToGrid/>
        <w:spacing w:line="440" w:lineRule="exact"/>
        <w:ind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lang w:eastAsia="zh-CN"/>
        </w:rPr>
        <w:t>）对于依法必须招标的项目，未在公示期间提出异议的；</w:t>
      </w:r>
    </w:p>
    <w:p w14:paraId="7355F1D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xml:space="preserve">  </w:t>
      </w:r>
      <w:r>
        <w:rPr>
          <w:rFonts w:hint="eastAsia" w:ascii="宋体" w:hAnsi="宋体" w:eastAsia="宋体" w:cs="宋体"/>
          <w:color w:val="auto"/>
          <w:kern w:val="10"/>
          <w:sz w:val="21"/>
          <w:szCs w:val="21"/>
          <w:highlight w:val="none"/>
          <w:lang w:val="en-US" w:eastAsia="zh-CN"/>
        </w:rPr>
        <w:t xml:space="preserve"> </w:t>
      </w:r>
      <w:r>
        <w:rPr>
          <w:rFonts w:hint="eastAsia" w:ascii="宋体" w:hAnsi="宋体" w:eastAsia="宋体" w:cs="宋体"/>
          <w:color w:val="auto"/>
          <w:kern w:val="10"/>
          <w:sz w:val="21"/>
          <w:szCs w:val="21"/>
          <w:highlight w:val="none"/>
          <w:lang w:eastAsia="zh-CN"/>
        </w:rPr>
        <w:t>（3）异议材料不完整的； </w:t>
      </w:r>
    </w:p>
    <w:p w14:paraId="6CABAF6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 xml:space="preserve">  </w:t>
      </w:r>
      <w:r>
        <w:rPr>
          <w:rFonts w:hint="eastAsia" w:ascii="宋体" w:hAnsi="宋体" w:eastAsia="宋体" w:cs="宋体"/>
          <w:color w:val="auto"/>
          <w:kern w:val="10"/>
          <w:sz w:val="21"/>
          <w:szCs w:val="21"/>
          <w:highlight w:val="none"/>
          <w:lang w:val="en-US" w:eastAsia="zh-CN"/>
        </w:rPr>
        <w:t xml:space="preserve"> </w:t>
      </w:r>
      <w:r>
        <w:rPr>
          <w:rFonts w:hint="eastAsia" w:ascii="宋体" w:hAnsi="宋体" w:eastAsia="宋体" w:cs="宋体"/>
          <w:color w:val="auto"/>
          <w:kern w:val="10"/>
          <w:sz w:val="21"/>
          <w:szCs w:val="21"/>
          <w:highlight w:val="none"/>
          <w:lang w:eastAsia="zh-CN"/>
        </w:rPr>
        <w:t>（4）异议事项含有主观猜测等内容且未提供有效线索、难以查证的； </w:t>
      </w:r>
    </w:p>
    <w:p w14:paraId="17E89A3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val="en-US" w:eastAsia="zh-CN"/>
        </w:rPr>
        <w:t xml:space="preserve"> </w:t>
      </w:r>
      <w:r>
        <w:rPr>
          <w:rFonts w:hint="eastAsia" w:ascii="宋体" w:hAnsi="宋体" w:eastAsia="宋体" w:cs="宋体"/>
          <w:color w:val="auto"/>
          <w:kern w:val="10"/>
          <w:sz w:val="21"/>
          <w:szCs w:val="21"/>
          <w:highlight w:val="none"/>
          <w:lang w:eastAsia="zh-CN"/>
        </w:rPr>
        <w:t>  （5）对其他投标人的投标文件详细内容异议，无法提供合法来源渠道的； </w:t>
      </w:r>
    </w:p>
    <w:p w14:paraId="2410981B">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10"/>
          <w:sz w:val="21"/>
          <w:szCs w:val="21"/>
          <w:highlight w:val="none"/>
          <w:lang w:val="en-US" w:eastAsia="zh-CN"/>
        </w:rPr>
        <w:t xml:space="preserve"> </w:t>
      </w:r>
      <w:r>
        <w:rPr>
          <w:rFonts w:hint="eastAsia" w:ascii="宋体" w:hAnsi="宋体" w:eastAsia="宋体" w:cs="宋体"/>
          <w:color w:val="auto"/>
          <w:kern w:val="10"/>
          <w:sz w:val="21"/>
          <w:szCs w:val="21"/>
          <w:highlight w:val="none"/>
          <w:lang w:eastAsia="zh-CN"/>
        </w:rPr>
        <w:t>  （6）异议事项已进入投诉处理、行政复议或行政诉讼程序的。</w:t>
      </w:r>
    </w:p>
    <w:p w14:paraId="1E23D7C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投诉</w:t>
      </w:r>
    </w:p>
    <w:p w14:paraId="0840BB8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eastAsia="zh-CN"/>
        </w:rPr>
        <w:t>3</w:t>
      </w:r>
      <w:r>
        <w:rPr>
          <w:rFonts w:hint="eastAsia" w:ascii="宋体" w:hAnsi="宋体" w:eastAsia="宋体" w:cs="宋体"/>
          <w:color w:val="auto"/>
          <w:kern w:val="10"/>
          <w:sz w:val="21"/>
          <w:szCs w:val="21"/>
          <w:highlight w:val="none"/>
          <w:lang w:val="en-US" w:eastAsia="zh-CN"/>
        </w:rPr>
        <w:t>9</w:t>
      </w:r>
      <w:r>
        <w:rPr>
          <w:rFonts w:hint="eastAsia" w:ascii="宋体" w:hAnsi="宋体" w:eastAsia="宋体" w:cs="宋体"/>
          <w:color w:val="auto"/>
          <w:kern w:val="10"/>
          <w:sz w:val="21"/>
          <w:szCs w:val="21"/>
          <w:highlight w:val="none"/>
          <w:lang w:eastAsia="zh-CN"/>
        </w:rPr>
        <w:t>.1投标人和其他利害关系人认为本次招标活动违反法律、法规和规章规定的，有权向有关行政监督部门投诉。投诉应当有明确的请求和必要的证明材料。</w:t>
      </w:r>
    </w:p>
    <w:p w14:paraId="2C0D2E9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lang w:eastAsia="zh-CN"/>
        </w:rPr>
      </w:pPr>
      <w:r>
        <w:rPr>
          <w:rFonts w:hint="eastAsia" w:ascii="宋体" w:hAnsi="宋体" w:eastAsia="宋体" w:cs="宋体"/>
          <w:color w:val="auto"/>
          <w:kern w:val="10"/>
          <w:sz w:val="21"/>
          <w:szCs w:val="21"/>
          <w:highlight w:val="none"/>
          <w:lang w:val="en-US" w:eastAsia="zh-CN"/>
        </w:rPr>
        <w:t>39.2</w:t>
      </w:r>
      <w:r>
        <w:rPr>
          <w:rFonts w:hint="eastAsia" w:ascii="宋体" w:hAnsi="宋体" w:eastAsia="宋体" w:cs="宋体"/>
          <w:color w:val="auto"/>
          <w:kern w:val="10"/>
          <w:sz w:val="21"/>
          <w:szCs w:val="21"/>
          <w:highlight w:val="none"/>
          <w:lang w:eastAsia="zh-CN"/>
        </w:rPr>
        <w:t>投标人和其他利害关系人对评标结果等事项投诉的，应当在开标期间或中标</w:t>
      </w:r>
      <w:r>
        <w:rPr>
          <w:rFonts w:hint="eastAsia" w:ascii="宋体" w:hAnsi="宋体" w:eastAsia="宋体" w:cs="宋体"/>
          <w:color w:val="auto"/>
          <w:kern w:val="10"/>
          <w:sz w:val="21"/>
          <w:szCs w:val="21"/>
          <w:highlight w:val="none"/>
          <w:lang w:val="en-US" w:eastAsia="zh-CN"/>
        </w:rPr>
        <w:t>结果</w:t>
      </w:r>
      <w:r>
        <w:rPr>
          <w:rFonts w:hint="eastAsia" w:ascii="宋体" w:hAnsi="宋体" w:eastAsia="宋体" w:cs="宋体"/>
          <w:color w:val="auto"/>
          <w:kern w:val="10"/>
          <w:sz w:val="21"/>
          <w:szCs w:val="21"/>
          <w:highlight w:val="none"/>
          <w:lang w:eastAsia="zh-CN"/>
        </w:rPr>
        <w:t>公示期间，先向招标人提出异议。</w:t>
      </w:r>
    </w:p>
    <w:p w14:paraId="5E6C7738">
      <w:pPr>
        <w:spacing w:line="440" w:lineRule="exact"/>
        <w:ind w:firstLine="450" w:firstLineChars="150"/>
        <w:jc w:val="left"/>
        <w:rPr>
          <w:rFonts w:hint="eastAsia" w:ascii="宋体" w:hAnsi="宋体" w:cs="宋体"/>
          <w:color w:val="auto"/>
          <w:sz w:val="30"/>
          <w:szCs w:val="30"/>
          <w:highlight w:val="none"/>
        </w:rPr>
      </w:pPr>
    </w:p>
    <w:p w14:paraId="055E078D">
      <w:pPr>
        <w:spacing w:before="156" w:beforeLines="50" w:after="156" w:afterLines="50"/>
        <w:jc w:val="center"/>
        <w:outlineLvl w:val="0"/>
        <w:rPr>
          <w:rFonts w:hint="eastAsia" w:ascii="宋体"/>
          <w:b/>
          <w:color w:val="auto"/>
          <w:sz w:val="32"/>
          <w:szCs w:val="32"/>
          <w:highlight w:val="none"/>
        </w:rPr>
      </w:pPr>
      <w:bookmarkStart w:id="50" w:name="_Toc58430316"/>
      <w:r>
        <w:rPr>
          <w:rFonts w:hint="eastAsia" w:ascii="宋体"/>
          <w:b/>
          <w:color w:val="auto"/>
          <w:sz w:val="32"/>
          <w:szCs w:val="32"/>
          <w:highlight w:val="none"/>
        </w:rPr>
        <w:br w:type="page"/>
      </w:r>
      <w:r>
        <w:rPr>
          <w:rFonts w:hint="eastAsia" w:ascii="宋体"/>
          <w:b/>
          <w:color w:val="auto"/>
          <w:sz w:val="32"/>
          <w:szCs w:val="32"/>
          <w:highlight w:val="none"/>
        </w:rPr>
        <w:t>第三章 评标办法（综合评分法）</w:t>
      </w:r>
      <w:bookmarkEnd w:id="50"/>
    </w:p>
    <w:p w14:paraId="2A28B3A9">
      <w:pPr>
        <w:spacing w:before="156" w:beforeLines="50" w:after="156" w:afterLines="50" w:line="440" w:lineRule="exact"/>
        <w:jc w:val="center"/>
        <w:outlineLvl w:val="1"/>
        <w:rPr>
          <w:rFonts w:hint="eastAsia" w:ascii="宋体"/>
          <w:b/>
          <w:color w:val="auto"/>
          <w:sz w:val="28"/>
          <w:szCs w:val="28"/>
          <w:highlight w:val="none"/>
        </w:rPr>
      </w:pPr>
      <w:bookmarkStart w:id="51" w:name="_Toc58430317"/>
      <w:bookmarkStart w:id="52" w:name="_Toc362983801"/>
      <w:bookmarkStart w:id="53" w:name="_Toc449028877"/>
      <w:bookmarkStart w:id="54" w:name="_Toc267320058"/>
      <w:bookmarkStart w:id="55" w:name="_Toc363135205"/>
      <w:r>
        <w:rPr>
          <w:rFonts w:hint="eastAsia" w:ascii="宋体"/>
          <w:b/>
          <w:color w:val="auto"/>
          <w:sz w:val="28"/>
          <w:szCs w:val="28"/>
          <w:highlight w:val="none"/>
        </w:rPr>
        <w:t>一、总则</w:t>
      </w:r>
      <w:bookmarkEnd w:id="51"/>
      <w:bookmarkEnd w:id="52"/>
      <w:bookmarkEnd w:id="53"/>
    </w:p>
    <w:p w14:paraId="0E997BD9">
      <w:pPr>
        <w:spacing w:line="440" w:lineRule="exact"/>
        <w:ind w:firstLine="316" w:firstLineChars="150"/>
        <w:jc w:val="left"/>
        <w:rPr>
          <w:rFonts w:hint="eastAsia" w:ascii="宋体"/>
          <w:b/>
          <w:color w:val="auto"/>
          <w:szCs w:val="21"/>
          <w:highlight w:val="none"/>
        </w:rPr>
      </w:pPr>
      <w:r>
        <w:rPr>
          <w:rFonts w:hint="eastAsia" w:ascii="宋体"/>
          <w:b/>
          <w:color w:val="auto"/>
          <w:szCs w:val="21"/>
          <w:highlight w:val="none"/>
        </w:rPr>
        <w:t xml:space="preserve"> 1. 本次评标采用综合评分法</w:t>
      </w:r>
    </w:p>
    <w:p w14:paraId="481A9577">
      <w:pPr>
        <w:spacing w:line="440" w:lineRule="exact"/>
        <w:ind w:firstLine="420" w:firstLineChars="200"/>
        <w:jc w:val="left"/>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3AF41CF3">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1.2综合评分法一般适用于较为复杂、评价指标难以量化且价格为非主要因素的非标准定制商品和非通用服务项目的项目评审。</w:t>
      </w:r>
    </w:p>
    <w:p w14:paraId="09D50F5A">
      <w:pPr>
        <w:spacing w:line="440" w:lineRule="exact"/>
        <w:ind w:firstLine="422" w:firstLineChars="200"/>
        <w:rPr>
          <w:rFonts w:hint="eastAsia" w:ascii="宋体"/>
          <w:b/>
          <w:color w:val="auto"/>
          <w:szCs w:val="21"/>
          <w:highlight w:val="none"/>
        </w:rPr>
      </w:pPr>
      <w:r>
        <w:rPr>
          <w:rFonts w:hint="eastAsia" w:ascii="宋体"/>
          <w:b/>
          <w:color w:val="auto"/>
          <w:szCs w:val="21"/>
          <w:highlight w:val="none"/>
        </w:rPr>
        <w:t>2．评标程序</w:t>
      </w:r>
    </w:p>
    <w:p w14:paraId="6B790AC8">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5A7B58C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67811858">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EE01CFA">
      <w:pPr>
        <w:spacing w:line="440" w:lineRule="exact"/>
        <w:ind w:firstLine="420"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比较与评价</w:t>
      </w:r>
    </w:p>
    <w:p w14:paraId="0EF130B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.1按招标文件中规定的评标方法和标准，对资格性检查和符合性检查合格的投标文件进行资信、商务和技术评估，综合比较与评价。</w:t>
      </w:r>
    </w:p>
    <w:p w14:paraId="0C6A5836">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3669D7D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05973913">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4</w:t>
      </w:r>
      <w:r>
        <w:rPr>
          <w:rFonts w:hint="eastAsia" w:ascii="宋体"/>
          <w:color w:val="auto"/>
          <w:szCs w:val="21"/>
          <w:highlight w:val="none"/>
        </w:rPr>
        <w:t>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6BD34754">
      <w:pPr>
        <w:spacing w:before="156" w:beforeLines="50" w:after="156" w:afterLines="50" w:line="360" w:lineRule="auto"/>
        <w:outlineLvl w:val="1"/>
        <w:rPr>
          <w:rFonts w:ascii="宋体"/>
          <w:b/>
          <w:color w:val="auto"/>
          <w:sz w:val="28"/>
          <w:szCs w:val="28"/>
          <w:highlight w:val="none"/>
        </w:rPr>
        <w:sectPr>
          <w:footerReference r:id="rId8" w:type="default"/>
          <w:pgSz w:w="11906" w:h="16838"/>
          <w:pgMar w:top="1440" w:right="1800" w:bottom="1440" w:left="1800" w:header="851" w:footer="992" w:gutter="0"/>
          <w:pgNumType w:fmt="numberInDash" w:start="1"/>
          <w:cols w:space="720" w:num="1"/>
          <w:docGrid w:type="lines" w:linePitch="312" w:charSpace="0"/>
        </w:sectPr>
      </w:pPr>
      <w:bookmarkStart w:id="56" w:name="_Toc362983802"/>
    </w:p>
    <w:p w14:paraId="3B1B8784">
      <w:pPr>
        <w:jc w:val="center"/>
        <w:outlineLvl w:val="1"/>
        <w:rPr>
          <w:rFonts w:hint="eastAsia" w:ascii="宋体"/>
          <w:b/>
          <w:color w:val="auto"/>
          <w:sz w:val="28"/>
          <w:szCs w:val="28"/>
          <w:highlight w:val="none"/>
        </w:rPr>
      </w:pPr>
      <w:bookmarkStart w:id="57" w:name="_Toc449028878"/>
      <w:bookmarkStart w:id="58" w:name="_Toc58430318"/>
      <w:r>
        <w:rPr>
          <w:rFonts w:hint="eastAsia" w:ascii="宋体"/>
          <w:b/>
          <w:color w:val="auto"/>
          <w:sz w:val="28"/>
          <w:szCs w:val="28"/>
          <w:highlight w:val="none"/>
        </w:rPr>
        <w:t>二、投标文件初审</w:t>
      </w:r>
      <w:bookmarkEnd w:id="56"/>
      <w:bookmarkEnd w:id="57"/>
      <w:bookmarkEnd w:id="58"/>
    </w:p>
    <w:p w14:paraId="754427F2">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2866E872">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7"/>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6CE0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324FEA13">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643" w:type="dxa"/>
            <w:gridSpan w:val="2"/>
            <w:noWrap w:val="0"/>
            <w:vAlign w:val="center"/>
          </w:tcPr>
          <w:p w14:paraId="102A5DDD">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4E4C40E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B0E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7666E34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75" w:type="dxa"/>
            <w:noWrap w:val="0"/>
            <w:vAlign w:val="center"/>
          </w:tcPr>
          <w:p w14:paraId="0543A6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1E0B1EE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0D05CB9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r>
              <w:rPr>
                <w:rFonts w:hint="eastAsia" w:ascii="宋体" w:hAnsi="宋体" w:cs="宋体"/>
                <w:color w:val="auto"/>
                <w:szCs w:val="21"/>
                <w:highlight w:val="none"/>
              </w:rPr>
              <w:t>。</w:t>
            </w:r>
          </w:p>
        </w:tc>
      </w:tr>
      <w:tr w14:paraId="0795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0F361FF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75" w:type="dxa"/>
            <w:vMerge w:val="restart"/>
            <w:noWrap w:val="0"/>
            <w:vAlign w:val="center"/>
          </w:tcPr>
          <w:p w14:paraId="23EC589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F4242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（2）投标人须为经中国保险监督管理委员会批准具备经营本项目保险资格的保险公司市级分公司或中心支公司</w:t>
            </w:r>
          </w:p>
        </w:tc>
        <w:tc>
          <w:tcPr>
            <w:tcW w:w="4492" w:type="dxa"/>
            <w:noWrap w:val="0"/>
            <w:vAlign w:val="center"/>
          </w:tcPr>
          <w:p w14:paraId="33642361">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6CA90D47">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3441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28DF744C">
            <w:pPr>
              <w:spacing w:line="440" w:lineRule="exact"/>
              <w:jc w:val="center"/>
              <w:rPr>
                <w:rFonts w:hint="eastAsia" w:ascii="宋体" w:hAnsi="宋体" w:cs="宋体"/>
                <w:color w:val="auto"/>
                <w:szCs w:val="21"/>
                <w:highlight w:val="none"/>
              </w:rPr>
            </w:pPr>
          </w:p>
        </w:tc>
        <w:tc>
          <w:tcPr>
            <w:tcW w:w="1275" w:type="dxa"/>
            <w:vMerge w:val="continue"/>
            <w:noWrap w:val="0"/>
            <w:vAlign w:val="center"/>
          </w:tcPr>
          <w:p w14:paraId="66924491">
            <w:pPr>
              <w:spacing w:line="440" w:lineRule="exact"/>
              <w:rPr>
                <w:rFonts w:hint="eastAsia" w:ascii="宋体" w:hAnsi="宋体" w:cs="宋体"/>
                <w:color w:val="auto"/>
                <w:szCs w:val="21"/>
                <w:highlight w:val="none"/>
              </w:rPr>
            </w:pPr>
          </w:p>
        </w:tc>
        <w:tc>
          <w:tcPr>
            <w:tcW w:w="3368" w:type="dxa"/>
            <w:noWrap w:val="0"/>
            <w:vAlign w:val="center"/>
          </w:tcPr>
          <w:p w14:paraId="0B800E3E">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3）具有市级分公司或中心支公司经营保险业务许可证</w:t>
            </w:r>
          </w:p>
        </w:tc>
        <w:tc>
          <w:tcPr>
            <w:tcW w:w="4492" w:type="dxa"/>
            <w:noWrap w:val="0"/>
            <w:vAlign w:val="center"/>
          </w:tcPr>
          <w:p w14:paraId="348AF15F">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35F1EE98">
            <w:pPr>
              <w:spacing w:line="440" w:lineRule="exact"/>
              <w:rPr>
                <w:rFonts w:hint="default" w:ascii="宋体" w:eastAsia="宋体"/>
                <w:color w:val="auto"/>
                <w:szCs w:val="21"/>
                <w:highlight w:val="none"/>
                <w:lang w:val="en-US" w:eastAsia="zh-CN"/>
              </w:rPr>
            </w:pPr>
            <w:r>
              <w:rPr>
                <w:rFonts w:hint="eastAsia" w:ascii="宋体"/>
                <w:color w:val="auto"/>
                <w:szCs w:val="21"/>
                <w:highlight w:val="none"/>
                <w:lang w:val="en-US" w:eastAsia="zh-CN"/>
              </w:rPr>
              <w:t>有效的经营保险业务许可证</w:t>
            </w:r>
          </w:p>
        </w:tc>
      </w:tr>
      <w:tr w14:paraId="79E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63F8F4B9">
            <w:pPr>
              <w:spacing w:line="440" w:lineRule="exact"/>
              <w:jc w:val="center"/>
              <w:rPr>
                <w:rFonts w:hint="eastAsia" w:ascii="宋体" w:hAnsi="宋体" w:cs="宋体"/>
                <w:color w:val="auto"/>
                <w:szCs w:val="21"/>
                <w:highlight w:val="none"/>
              </w:rPr>
            </w:pPr>
          </w:p>
        </w:tc>
        <w:tc>
          <w:tcPr>
            <w:tcW w:w="1275" w:type="dxa"/>
            <w:vMerge w:val="continue"/>
            <w:noWrap w:val="0"/>
            <w:vAlign w:val="center"/>
          </w:tcPr>
          <w:p w14:paraId="34C0231A">
            <w:pPr>
              <w:spacing w:line="440" w:lineRule="exact"/>
              <w:rPr>
                <w:rFonts w:hint="eastAsia" w:ascii="宋体" w:hAnsi="宋体" w:cs="宋体"/>
                <w:color w:val="auto"/>
                <w:szCs w:val="21"/>
                <w:highlight w:val="none"/>
              </w:rPr>
            </w:pPr>
          </w:p>
        </w:tc>
        <w:tc>
          <w:tcPr>
            <w:tcW w:w="3368" w:type="dxa"/>
            <w:noWrap w:val="0"/>
            <w:vAlign w:val="top"/>
          </w:tcPr>
          <w:p w14:paraId="05B0742A">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w:t>
            </w:r>
          </w:p>
        </w:tc>
        <w:tc>
          <w:tcPr>
            <w:tcW w:w="4492" w:type="dxa"/>
            <w:noWrap w:val="0"/>
            <w:vAlign w:val="top"/>
          </w:tcPr>
          <w:p w14:paraId="60C07E90">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7E70634A">
      <w:pPr>
        <w:spacing w:line="440" w:lineRule="exact"/>
        <w:ind w:firstLine="508" w:firstLineChars="241"/>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7CB1FD14">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0DBB4B95">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A7C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4770DD">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1B6A833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4CE95F3C">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4C0A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2DE9D4E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18AEC39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1CC3A3A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657CC3F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259F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2DA2468A">
            <w:pPr>
              <w:spacing w:line="440" w:lineRule="exact"/>
              <w:rPr>
                <w:rFonts w:hint="eastAsia" w:ascii="宋体" w:hAnsi="宋体" w:cs="宋体"/>
                <w:color w:val="auto"/>
                <w:szCs w:val="21"/>
                <w:highlight w:val="none"/>
              </w:rPr>
            </w:pPr>
          </w:p>
        </w:tc>
        <w:tc>
          <w:tcPr>
            <w:tcW w:w="1204" w:type="dxa"/>
            <w:vMerge w:val="continue"/>
            <w:noWrap w:val="0"/>
            <w:vAlign w:val="center"/>
          </w:tcPr>
          <w:p w14:paraId="1C5DD657">
            <w:pPr>
              <w:spacing w:line="440" w:lineRule="exact"/>
              <w:rPr>
                <w:rFonts w:hint="eastAsia" w:ascii="宋体" w:hAnsi="宋体" w:cs="宋体"/>
                <w:color w:val="auto"/>
                <w:szCs w:val="21"/>
                <w:highlight w:val="none"/>
              </w:rPr>
            </w:pPr>
          </w:p>
        </w:tc>
        <w:tc>
          <w:tcPr>
            <w:tcW w:w="2931" w:type="dxa"/>
            <w:noWrap w:val="0"/>
            <w:vAlign w:val="center"/>
          </w:tcPr>
          <w:p w14:paraId="26A6A2CD">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793DA8CA">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B2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221B4E1A">
            <w:pPr>
              <w:spacing w:line="440" w:lineRule="exact"/>
              <w:rPr>
                <w:rFonts w:hint="eastAsia" w:ascii="宋体" w:hAnsi="宋体" w:cs="宋体"/>
                <w:color w:val="auto"/>
                <w:szCs w:val="21"/>
                <w:highlight w:val="none"/>
              </w:rPr>
            </w:pPr>
          </w:p>
        </w:tc>
        <w:tc>
          <w:tcPr>
            <w:tcW w:w="1204" w:type="dxa"/>
            <w:vMerge w:val="continue"/>
            <w:noWrap w:val="0"/>
            <w:vAlign w:val="center"/>
          </w:tcPr>
          <w:p w14:paraId="1CC3A901">
            <w:pPr>
              <w:spacing w:line="440" w:lineRule="exact"/>
              <w:rPr>
                <w:rFonts w:hint="eastAsia" w:ascii="宋体" w:hAnsi="宋体" w:cs="宋体"/>
                <w:color w:val="auto"/>
                <w:szCs w:val="21"/>
                <w:highlight w:val="none"/>
              </w:rPr>
            </w:pPr>
          </w:p>
        </w:tc>
        <w:tc>
          <w:tcPr>
            <w:tcW w:w="2931" w:type="dxa"/>
            <w:noWrap w:val="0"/>
            <w:vAlign w:val="center"/>
          </w:tcPr>
          <w:p w14:paraId="52E88D6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CAC34A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45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BA2BCF9">
            <w:pPr>
              <w:spacing w:line="440" w:lineRule="exact"/>
              <w:rPr>
                <w:rFonts w:hint="eastAsia" w:ascii="宋体" w:hAnsi="宋体" w:cs="宋体"/>
                <w:color w:val="auto"/>
                <w:szCs w:val="21"/>
                <w:highlight w:val="none"/>
              </w:rPr>
            </w:pPr>
          </w:p>
        </w:tc>
        <w:tc>
          <w:tcPr>
            <w:tcW w:w="1204" w:type="dxa"/>
            <w:vMerge w:val="continue"/>
            <w:noWrap w:val="0"/>
            <w:vAlign w:val="center"/>
          </w:tcPr>
          <w:p w14:paraId="63923E60">
            <w:pPr>
              <w:spacing w:line="440" w:lineRule="exact"/>
              <w:rPr>
                <w:rFonts w:hint="eastAsia" w:ascii="宋体" w:hAnsi="宋体" w:cs="宋体"/>
                <w:color w:val="auto"/>
                <w:szCs w:val="21"/>
                <w:highlight w:val="none"/>
              </w:rPr>
            </w:pPr>
          </w:p>
        </w:tc>
        <w:tc>
          <w:tcPr>
            <w:tcW w:w="2931" w:type="dxa"/>
            <w:noWrap w:val="0"/>
            <w:vAlign w:val="center"/>
          </w:tcPr>
          <w:p w14:paraId="0D7437B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1D74473E">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DF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6C90E93F">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4DAD5356">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4A2038FB">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04E5BD28">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完全响应</w:t>
            </w:r>
          </w:p>
        </w:tc>
      </w:tr>
      <w:tr w14:paraId="1C2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25D51DA">
            <w:pPr>
              <w:spacing w:line="440" w:lineRule="exact"/>
              <w:rPr>
                <w:rFonts w:hint="eastAsia" w:ascii="宋体" w:hAnsi="宋体" w:cs="宋体"/>
                <w:color w:val="auto"/>
                <w:szCs w:val="21"/>
                <w:highlight w:val="none"/>
              </w:rPr>
            </w:pPr>
          </w:p>
        </w:tc>
        <w:tc>
          <w:tcPr>
            <w:tcW w:w="1204" w:type="dxa"/>
            <w:vMerge w:val="continue"/>
            <w:noWrap w:val="0"/>
            <w:vAlign w:val="center"/>
          </w:tcPr>
          <w:p w14:paraId="502F5F58">
            <w:pPr>
              <w:spacing w:line="440" w:lineRule="exact"/>
              <w:rPr>
                <w:rFonts w:hint="eastAsia" w:ascii="宋体" w:hAnsi="宋体" w:cs="宋体"/>
                <w:color w:val="auto"/>
                <w:szCs w:val="21"/>
                <w:highlight w:val="none"/>
              </w:rPr>
            </w:pPr>
          </w:p>
        </w:tc>
        <w:tc>
          <w:tcPr>
            <w:tcW w:w="2931" w:type="dxa"/>
            <w:noWrap w:val="0"/>
            <w:vAlign w:val="center"/>
          </w:tcPr>
          <w:p w14:paraId="1646941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EED5811">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3E5C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BE85746">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6A56DA34">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3D5A91A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35D5145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0D9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5E85BDD9">
            <w:pPr>
              <w:spacing w:line="440" w:lineRule="exact"/>
              <w:rPr>
                <w:rFonts w:hint="eastAsia" w:ascii="宋体" w:hAnsi="宋体" w:cs="宋体"/>
                <w:color w:val="auto"/>
                <w:szCs w:val="21"/>
                <w:highlight w:val="none"/>
              </w:rPr>
            </w:pPr>
          </w:p>
        </w:tc>
        <w:tc>
          <w:tcPr>
            <w:tcW w:w="1204" w:type="dxa"/>
            <w:vMerge w:val="continue"/>
            <w:noWrap w:val="0"/>
            <w:vAlign w:val="center"/>
          </w:tcPr>
          <w:p w14:paraId="32AEA088">
            <w:pPr>
              <w:spacing w:line="440" w:lineRule="exact"/>
              <w:rPr>
                <w:rFonts w:hint="eastAsia" w:ascii="宋体" w:hAnsi="宋体" w:cs="宋体"/>
                <w:color w:val="auto"/>
                <w:szCs w:val="21"/>
                <w:highlight w:val="none"/>
              </w:rPr>
            </w:pPr>
          </w:p>
        </w:tc>
        <w:tc>
          <w:tcPr>
            <w:tcW w:w="2931" w:type="dxa"/>
            <w:noWrap w:val="0"/>
            <w:vAlign w:val="center"/>
          </w:tcPr>
          <w:p w14:paraId="049FBD4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5F9B7169">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0ACD7001">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2C7A45B6">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6CAF37F1">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5888CBA">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62789233">
      <w:pPr>
        <w:jc w:val="center"/>
        <w:outlineLvl w:val="1"/>
        <w:rPr>
          <w:rFonts w:hint="eastAsia" w:ascii="宋体" w:hAnsi="Times New Roman" w:eastAsia="宋体" w:cs="Times New Roman"/>
          <w:b/>
          <w:color w:val="auto"/>
          <w:sz w:val="28"/>
          <w:szCs w:val="28"/>
          <w:highlight w:val="none"/>
        </w:rPr>
      </w:pPr>
      <w:bookmarkStart w:id="59" w:name="_Toc449028879"/>
      <w:bookmarkStart w:id="60" w:name="_Toc362983803"/>
      <w:bookmarkStart w:id="61" w:name="_Toc58430319"/>
      <w:r>
        <w:rPr>
          <w:rFonts w:hint="eastAsia" w:ascii="宋体" w:hAnsi="Times New Roman" w:eastAsia="宋体" w:cs="Times New Roman"/>
          <w:b/>
          <w:color w:val="auto"/>
          <w:sz w:val="28"/>
          <w:szCs w:val="28"/>
          <w:highlight w:val="none"/>
        </w:rPr>
        <w:t>三、投标文件的澄清和补正</w:t>
      </w:r>
      <w:bookmarkEnd w:id="59"/>
      <w:bookmarkEnd w:id="60"/>
      <w:bookmarkEnd w:id="61"/>
    </w:p>
    <w:p w14:paraId="7C60687E">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2908EF67">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3D338C6C">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0C5C6609">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065FD44">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342EA14C">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62" w:name="_Toc449028880"/>
      <w:bookmarkStart w:id="63" w:name="_Toc58430320"/>
    </w:p>
    <w:p w14:paraId="247BCB7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62"/>
      <w:bookmarkEnd w:id="63"/>
    </w:p>
    <w:p w14:paraId="6CE5203C">
      <w:pPr>
        <w:keepNext w:val="0"/>
        <w:keepLines w:val="0"/>
        <w:pageBreakBefore w:val="0"/>
        <w:widowControl w:val="0"/>
        <w:kinsoku/>
        <w:overflowPunct/>
        <w:topLinePunct w:val="0"/>
        <w:autoSpaceDE/>
        <w:autoSpaceDN/>
        <w:bidi w:val="0"/>
        <w:spacing w:line="440" w:lineRule="exact"/>
        <w:ind w:firstLine="417" w:firstLineChars="19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6.</w:t>
      </w:r>
      <w:bookmarkStart w:id="64" w:name="_Toc362983805"/>
      <w:r>
        <w:rPr>
          <w:rFonts w:hint="eastAsia" w:ascii="宋体" w:hAnsi="宋体" w:eastAsia="宋体" w:cs="宋体"/>
          <w:b/>
          <w:color w:val="auto"/>
          <w:sz w:val="21"/>
          <w:szCs w:val="21"/>
          <w:highlight w:val="none"/>
        </w:rPr>
        <w:t xml:space="preserve"> 详细评审即按招标文件中规定的评标方法和标准，评标委员会将对通过初审的投标文件，进行资信、技术和商务部分评估、综合比较与评价。</w:t>
      </w:r>
    </w:p>
    <w:p w14:paraId="542FAB0B">
      <w:pPr>
        <w:keepNext w:val="0"/>
        <w:keepLines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6.1评审细则（</w:t>
      </w:r>
      <w:r>
        <w:rPr>
          <w:rFonts w:hint="eastAsia" w:ascii="宋体" w:hAnsi="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12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55E9C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0" w:type="dxa"/>
            <w:noWrap w:val="0"/>
            <w:vAlign w:val="center"/>
          </w:tcPr>
          <w:p w14:paraId="504A9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99" w:type="dxa"/>
            <w:noWrap w:val="0"/>
            <w:vAlign w:val="center"/>
          </w:tcPr>
          <w:p w14:paraId="29AA5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09" w:type="dxa"/>
            <w:noWrap w:val="0"/>
            <w:vAlign w:val="center"/>
          </w:tcPr>
          <w:p w14:paraId="2FF1FD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E74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45" w:type="dxa"/>
            <w:noWrap w:val="0"/>
            <w:vAlign w:val="center"/>
          </w:tcPr>
          <w:p w14:paraId="1D5AD3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30" w:type="dxa"/>
            <w:noWrap w:val="0"/>
            <w:vAlign w:val="center"/>
          </w:tcPr>
          <w:p w14:paraId="3F0AA4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保险</w:t>
            </w:r>
            <w:r>
              <w:rPr>
                <w:rFonts w:hint="eastAsia" w:ascii="宋体" w:hAnsi="宋体" w:eastAsia="宋体" w:cs="宋体"/>
                <w:color w:val="auto"/>
                <w:sz w:val="21"/>
                <w:szCs w:val="21"/>
                <w:highlight w:val="none"/>
                <w:lang w:val="en-US" w:eastAsia="zh-CN"/>
              </w:rPr>
              <w:t>业绩</w:t>
            </w:r>
          </w:p>
        </w:tc>
        <w:tc>
          <w:tcPr>
            <w:tcW w:w="699" w:type="dxa"/>
            <w:noWrap w:val="0"/>
            <w:vAlign w:val="center"/>
          </w:tcPr>
          <w:p w14:paraId="007DD5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p>
        </w:tc>
        <w:tc>
          <w:tcPr>
            <w:tcW w:w="7409" w:type="dxa"/>
            <w:noWrap w:val="0"/>
            <w:vAlign w:val="center"/>
          </w:tcPr>
          <w:p w14:paraId="6EE17B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w:t>
            </w:r>
            <w:r>
              <w:rPr>
                <w:rFonts w:hint="eastAsia" w:ascii="宋体" w:hAnsi="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lang w:val="en-US" w:eastAsia="zh-CN"/>
              </w:rPr>
              <w:t>自20</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val="en-US" w:eastAsia="zh-CN"/>
              </w:rPr>
              <w:t>年1月1日以来（以合同签订时间为准）具有县区级及以上党政机关或事业单位或国有企业委托的公务用车定点保险业绩（含正在履行的保险业绩），每个业绩得20分，本项满分40分。</w:t>
            </w:r>
          </w:p>
          <w:p w14:paraId="5494D9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注：投标文件中提供业绩合同复印件加盖投标人公章，如合同中无法体现合同签订时间、项目内容、委托单位等评审因素，须另附业主证明材料复印件加盖投标人公章。</w:t>
            </w:r>
          </w:p>
        </w:tc>
      </w:tr>
      <w:tr w14:paraId="160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63C848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30" w:type="dxa"/>
            <w:noWrap w:val="0"/>
            <w:vAlign w:val="center"/>
          </w:tcPr>
          <w:p w14:paraId="75A1C6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服务网点</w:t>
            </w:r>
          </w:p>
        </w:tc>
        <w:tc>
          <w:tcPr>
            <w:tcW w:w="699" w:type="dxa"/>
            <w:noWrap w:val="0"/>
            <w:vAlign w:val="center"/>
          </w:tcPr>
          <w:p w14:paraId="3AF9A7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p>
        </w:tc>
        <w:tc>
          <w:tcPr>
            <w:tcW w:w="7409" w:type="dxa"/>
            <w:noWrap w:val="0"/>
            <w:vAlign w:val="center"/>
          </w:tcPr>
          <w:p w14:paraId="1B55CC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zh-CN" w:eastAsia="zh-CN"/>
              </w:rPr>
              <w:t>每设一个营业</w:t>
            </w:r>
            <w:r>
              <w:rPr>
                <w:rFonts w:hint="eastAsia" w:ascii="宋体" w:hAnsi="宋体" w:eastAsia="宋体" w:cs="宋体"/>
                <w:b w:val="0"/>
                <w:bCs w:val="0"/>
                <w:color w:val="auto"/>
                <w:sz w:val="21"/>
                <w:szCs w:val="21"/>
                <w:highlight w:val="none"/>
                <w:lang w:val="en-US" w:eastAsia="zh-CN"/>
              </w:rPr>
              <w:t>分支</w:t>
            </w:r>
            <w:r>
              <w:rPr>
                <w:rFonts w:hint="eastAsia" w:ascii="宋体" w:hAnsi="宋体" w:eastAsia="宋体" w:cs="宋体"/>
                <w:b w:val="0"/>
                <w:bCs w:val="0"/>
                <w:color w:val="auto"/>
                <w:sz w:val="21"/>
                <w:szCs w:val="21"/>
                <w:highlight w:val="none"/>
                <w:lang w:val="zh-CN" w:eastAsia="zh-CN"/>
              </w:rPr>
              <w:t>机构</w:t>
            </w:r>
            <w:r>
              <w:rPr>
                <w:rFonts w:hint="eastAsia" w:ascii="宋体" w:hAnsi="宋体" w:eastAsia="宋体" w:cs="宋体"/>
                <w:b w:val="0"/>
                <w:bCs w:val="0"/>
                <w:color w:val="auto"/>
                <w:sz w:val="21"/>
                <w:szCs w:val="21"/>
                <w:highlight w:val="none"/>
                <w:lang w:val="en-US" w:eastAsia="zh-CN"/>
              </w:rPr>
              <w:t>/服务网点</w:t>
            </w:r>
            <w:r>
              <w:rPr>
                <w:rFonts w:hint="eastAsia" w:ascii="宋体" w:hAnsi="宋体" w:eastAsia="宋体" w:cs="宋体"/>
                <w:b w:val="0"/>
                <w:bCs w:val="0"/>
                <w:color w:val="auto"/>
                <w:sz w:val="21"/>
                <w:szCs w:val="21"/>
                <w:highlight w:val="none"/>
                <w:lang w:val="zh-CN" w:eastAsia="zh-CN"/>
              </w:rPr>
              <w:t>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分，</w:t>
            </w:r>
            <w:r>
              <w:rPr>
                <w:rFonts w:hint="eastAsia" w:ascii="宋体" w:hAnsi="宋体" w:cs="宋体"/>
                <w:b w:val="0"/>
                <w:bCs w:val="0"/>
                <w:color w:val="auto"/>
                <w:sz w:val="21"/>
                <w:szCs w:val="21"/>
                <w:highlight w:val="none"/>
                <w:lang w:val="en-US" w:eastAsia="zh-CN"/>
              </w:rPr>
              <w:t>满分</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zh-CN" w:eastAsia="zh-CN"/>
              </w:rPr>
              <w:t>分。</w:t>
            </w:r>
          </w:p>
          <w:p w14:paraId="3BD8F4D3">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color w:val="auto"/>
                <w:sz w:val="21"/>
                <w:szCs w:val="21"/>
                <w:highlight w:val="none"/>
                <w:lang w:val="en-US" w:eastAsia="zh-CN"/>
              </w:rPr>
            </w:pPr>
            <w:r>
              <w:rPr>
                <w:rFonts w:hint="eastAsia" w:ascii="宋体" w:hAnsi="宋体" w:eastAsia="宋体" w:cs="宋体"/>
                <w:b/>
                <w:bCs/>
                <w:color w:val="auto"/>
                <w:kern w:val="2"/>
                <w:sz w:val="21"/>
                <w:szCs w:val="21"/>
                <w:highlight w:val="none"/>
                <w:lang w:val="zh-CN" w:eastAsia="zh-CN" w:bidi="ar-SA"/>
              </w:rPr>
              <w:t>注：须提供相关的证明材料加盖投标人公章。</w:t>
            </w:r>
          </w:p>
        </w:tc>
      </w:tr>
      <w:tr w14:paraId="151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C08B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30" w:type="dxa"/>
            <w:noWrap w:val="0"/>
            <w:vAlign w:val="center"/>
          </w:tcPr>
          <w:p w14:paraId="403A7B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报价分</w:t>
            </w:r>
          </w:p>
        </w:tc>
        <w:tc>
          <w:tcPr>
            <w:tcW w:w="699" w:type="dxa"/>
            <w:noWrap w:val="0"/>
            <w:vAlign w:val="center"/>
          </w:tcPr>
          <w:p w14:paraId="00B9B3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7409" w:type="dxa"/>
            <w:noWrap w:val="0"/>
            <w:vAlign w:val="center"/>
          </w:tcPr>
          <w:p w14:paraId="56657CDA">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cs="宋体"/>
                <w:b w:val="0"/>
                <w:bCs w:val="0"/>
                <w:color w:val="auto"/>
                <w:kern w:val="2"/>
                <w:sz w:val="21"/>
                <w:szCs w:val="21"/>
                <w:highlight w:val="none"/>
                <w:lang w:val="en-US" w:eastAsia="zh-CN" w:bidi="ar-SA"/>
              </w:rPr>
              <w:t>招标人</w:t>
            </w:r>
            <w:r>
              <w:rPr>
                <w:rFonts w:hint="eastAsia" w:ascii="宋体" w:hAnsi="宋体" w:eastAsia="宋体" w:cs="宋体"/>
                <w:b w:val="0"/>
                <w:bCs w:val="0"/>
                <w:color w:val="auto"/>
                <w:kern w:val="2"/>
                <w:sz w:val="21"/>
                <w:szCs w:val="21"/>
                <w:highlight w:val="none"/>
                <w:lang w:val="zh-CN" w:eastAsia="zh-CN" w:bidi="ar-SA"/>
              </w:rPr>
              <w:t>设置投标报价最高限价：商业险自主定价系数投标报价不得超过135%；自主定价系数投标报价高于最高投标限价的为无效标。</w:t>
            </w:r>
          </w:p>
          <w:p w14:paraId="4161D6C7">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1.评标基准价=所有效供应商的最低报价；其得分为满分；</w:t>
            </w:r>
          </w:p>
          <w:p w14:paraId="27B6014E">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2.其它报价得分=评标基准价/投标报价*（20）分，小数点后保留二位小数，第三位四舍五入；</w:t>
            </w:r>
          </w:p>
          <w:p w14:paraId="34FEFAA0">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3.本项分值由评标委员会负责组织计算。</w:t>
            </w:r>
          </w:p>
        </w:tc>
      </w:tr>
    </w:tbl>
    <w:p w14:paraId="50008BB2">
      <w:pPr>
        <w:spacing w:line="440" w:lineRule="exact"/>
        <w:ind w:firstLine="422" w:firstLineChars="200"/>
        <w:jc w:val="left"/>
        <w:rPr>
          <w:rFonts w:hint="eastAsia"/>
          <w:color w:val="auto"/>
          <w:highlight w:val="none"/>
        </w:rPr>
      </w:pPr>
      <w:r>
        <w:rPr>
          <w:rFonts w:hint="eastAsia" w:ascii="宋体" w:cs="宋体"/>
          <w:b/>
          <w:color w:val="auto"/>
          <w:szCs w:val="21"/>
          <w:highlight w:val="none"/>
        </w:rPr>
        <w:t>特别说明：</w:t>
      </w:r>
    </w:p>
    <w:p w14:paraId="52B0B41F">
      <w:pPr>
        <w:spacing w:line="440" w:lineRule="exact"/>
        <w:ind w:left="-420" w:leftChars="-200" w:firstLine="420" w:firstLineChars="200"/>
        <w:jc w:val="left"/>
        <w:rPr>
          <w:rFonts w:hint="eastAsia"/>
          <w:b w:val="0"/>
          <w:bCs/>
          <w:color w:val="auto"/>
          <w:szCs w:val="21"/>
          <w:highlight w:val="none"/>
        </w:rPr>
      </w:pPr>
      <w:r>
        <w:rPr>
          <w:rFonts w:hint="eastAsia"/>
          <w:b w:val="0"/>
          <w:bCs/>
          <w:color w:val="auto"/>
          <w:szCs w:val="21"/>
          <w:highlight w:val="none"/>
          <w:lang w:val="en-US" w:eastAsia="zh-CN"/>
        </w:rPr>
        <w:t>1、</w:t>
      </w:r>
      <w:r>
        <w:rPr>
          <w:rFonts w:hint="eastAsia"/>
          <w:b w:val="0"/>
          <w:bCs/>
          <w:color w:val="auto"/>
          <w:szCs w:val="21"/>
          <w:highlight w:val="none"/>
        </w:rPr>
        <w:t>评标专家检验投标文件的上述材料，如果由于投标人自身原因导致评标专家无法查看并检验投标文件中以上相关资料的，后果由投标人自行承担。</w:t>
      </w:r>
    </w:p>
    <w:p w14:paraId="114C68E2">
      <w:pPr>
        <w:spacing w:line="440" w:lineRule="exact"/>
        <w:ind w:left="-420" w:leftChars="-200" w:firstLine="420" w:firstLineChars="200"/>
        <w:jc w:val="left"/>
        <w:rPr>
          <w:rFonts w:hint="eastAsia"/>
          <w:b w:val="0"/>
          <w:bCs/>
          <w:color w:val="auto"/>
          <w:szCs w:val="21"/>
          <w:highlight w:val="none"/>
        </w:rPr>
      </w:pPr>
      <w:r>
        <w:rPr>
          <w:rFonts w:hint="eastAsia"/>
          <w:b w:val="0"/>
          <w:bCs/>
          <w:color w:val="auto"/>
          <w:szCs w:val="21"/>
          <w:highlight w:val="none"/>
          <w:lang w:val="en-US" w:eastAsia="zh-CN"/>
        </w:rPr>
        <w:t>2、</w:t>
      </w:r>
      <w:r>
        <w:rPr>
          <w:rFonts w:hint="eastAsia"/>
          <w:b w:val="0"/>
          <w:bCs/>
          <w:color w:val="auto"/>
          <w:szCs w:val="21"/>
          <w:highlight w:val="none"/>
        </w:rPr>
        <w:t>以上分值均保留二位小数，小数点后第三位四舍五入。</w:t>
      </w:r>
      <w:bookmarkStart w:id="65" w:name="_Toc449028881"/>
    </w:p>
    <w:p w14:paraId="0205976C">
      <w:pPr>
        <w:jc w:val="center"/>
        <w:outlineLvl w:val="1"/>
        <w:rPr>
          <w:rFonts w:hint="eastAsia" w:ascii="宋体" w:hAnsi="Times New Roman" w:eastAsia="宋体" w:cs="Times New Roman"/>
          <w:b/>
          <w:color w:val="auto"/>
          <w:sz w:val="28"/>
          <w:szCs w:val="28"/>
          <w:highlight w:val="none"/>
        </w:rPr>
      </w:pPr>
      <w:bookmarkStart w:id="66" w:name="_Toc58430321"/>
      <w:r>
        <w:rPr>
          <w:rFonts w:hint="eastAsia" w:ascii="宋体" w:hAnsi="Times New Roman" w:eastAsia="宋体" w:cs="Times New Roman"/>
          <w:b/>
          <w:color w:val="auto"/>
          <w:sz w:val="28"/>
          <w:szCs w:val="28"/>
          <w:highlight w:val="none"/>
        </w:rPr>
        <w:t>五、推荐中标候选人</w:t>
      </w:r>
      <w:bookmarkEnd w:id="64"/>
      <w:bookmarkEnd w:id="65"/>
      <w:bookmarkEnd w:id="66"/>
    </w:p>
    <w:bookmarkEnd w:id="54"/>
    <w:p w14:paraId="2B852E1E">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7.评标委员会按得分之和，从高到低按顺序，根据第二章投标人须知及前附表的规定数量推荐中标候选人。</w:t>
      </w:r>
    </w:p>
    <w:p w14:paraId="380C4B3B">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7.1得分相同的，按投标报价由低到高顺序排列。得分且报价相同的并列，由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现场采取随机摇号的方式确定中标候选人。</w:t>
      </w:r>
    </w:p>
    <w:p w14:paraId="4657B1EE">
      <w:pPr>
        <w:snapToGrid w:val="0"/>
        <w:spacing w:line="440" w:lineRule="exact"/>
        <w:ind w:left="0" w:leftChars="0" w:firstLine="0" w:firstLineChars="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7" w:name="_Hlk61815781"/>
      <w:r>
        <w:rPr>
          <w:rFonts w:hint="eastAsia" w:ascii="宋体" w:hAnsi="宋体" w:cs="宋体"/>
          <w:b/>
          <w:color w:val="auto"/>
          <w:szCs w:val="21"/>
          <w:highlight w:val="none"/>
        </w:rPr>
        <w:t>无效投标条款</w:t>
      </w:r>
    </w:p>
    <w:p w14:paraId="2EDF0DD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23FBB3B">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(1) 未在开标截止时间前递交有效投标文件的，投标将被拒绝。</w:t>
      </w:r>
    </w:p>
    <w:p w14:paraId="2B16E415">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763108BE">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0B9AA11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28A264E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6886830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35B213E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0C3211BA">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36FB25C3">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163A074D">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51F06073">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3321C713">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649CDCFB">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04529FDF">
      <w:pPr>
        <w:snapToGrid w:val="0"/>
        <w:spacing w:line="440" w:lineRule="exact"/>
        <w:ind w:left="0" w:leftChars="0" w:firstLine="0" w:firstLineChars="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1C87FB30">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0FD8188E">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294CCB4">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7400BC72">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758FFADC">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7634DFE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25CA932A">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A95908E">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7B68CF4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6AC25A4">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6E467E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7E45559">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26736D0F">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E0681CA">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6716A22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bookmarkEnd w:id="67"/>
    <w:p w14:paraId="7E8B167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宋体"/>
          <w:b/>
          <w:color w:val="auto"/>
          <w:sz w:val="32"/>
          <w:szCs w:val="32"/>
          <w:highlight w:val="none"/>
        </w:rPr>
      </w:pPr>
      <w:bookmarkStart w:id="68"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p>
    <w:bookmarkEnd w:id="55"/>
    <w:bookmarkEnd w:id="68"/>
    <w:p w14:paraId="520B7230">
      <w:pPr>
        <w:spacing w:line="360" w:lineRule="auto"/>
        <w:jc w:val="left"/>
        <w:rPr>
          <w:rFonts w:hint="eastAsia" w:ascii="宋体" w:hAnsi="宋体"/>
          <w:b/>
          <w:color w:val="auto"/>
          <w:szCs w:val="21"/>
          <w:highlight w:val="none"/>
        </w:rPr>
      </w:pPr>
      <w:bookmarkStart w:id="69" w:name="_Toc58430329"/>
      <w:bookmarkStart w:id="70" w:name="_Toc449028945"/>
      <w:r>
        <w:rPr>
          <w:rFonts w:hint="eastAsia" w:ascii="宋体" w:hAnsi="宋体"/>
          <w:b/>
          <w:color w:val="auto"/>
          <w:szCs w:val="21"/>
          <w:highlight w:val="none"/>
        </w:rPr>
        <w:t>一、项目概况</w:t>
      </w:r>
    </w:p>
    <w:p w14:paraId="5FC0E85E">
      <w:pPr>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本项目为</w:t>
      </w:r>
      <w:r>
        <w:rPr>
          <w:rFonts w:hint="eastAsia" w:ascii="宋体" w:hAnsi="宋体" w:cs="宋体"/>
          <w:bCs/>
          <w:color w:val="auto"/>
          <w:szCs w:val="21"/>
          <w:highlight w:val="none"/>
          <w:lang w:val="en-US" w:eastAsia="zh-CN"/>
        </w:rPr>
        <w:t>滁州市军粮供应站有限公司车辆定点保险项目</w:t>
      </w:r>
      <w:r>
        <w:rPr>
          <w:rFonts w:hint="eastAsia" w:ascii="宋体" w:hAnsi="宋体" w:cs="宋体"/>
          <w:color w:val="auto"/>
          <w:kern w:val="0"/>
          <w:szCs w:val="21"/>
          <w:highlight w:val="none"/>
        </w:rPr>
        <w:t>，项目服务期限</w:t>
      </w:r>
      <w:r>
        <w:rPr>
          <w:rFonts w:hint="eastAsia" w:ascii="宋体" w:hAnsi="宋体" w:cs="宋体"/>
          <w:color w:val="auto"/>
          <w:kern w:val="0"/>
          <w:szCs w:val="21"/>
          <w:highlight w:val="none"/>
          <w:lang w:val="en-US" w:eastAsia="zh-CN"/>
        </w:rPr>
        <w:t>为</w:t>
      </w:r>
      <w:r>
        <w:rPr>
          <w:rFonts w:hint="eastAsia" w:ascii="宋体" w:hAnsi="宋体" w:cs="宋体"/>
          <w:color w:val="auto"/>
          <w:kern w:val="0"/>
          <w:szCs w:val="21"/>
          <w:highlight w:val="none"/>
        </w:rPr>
        <w:t>自合同签订之日起</w:t>
      </w:r>
      <w:r>
        <w:rPr>
          <w:rFonts w:hint="eastAsia" w:ascii="宋体" w:hAnsi="宋体" w:cs="宋体"/>
          <w:color w:val="auto"/>
          <w:kern w:val="0"/>
          <w:szCs w:val="21"/>
          <w:highlight w:val="none"/>
          <w:lang w:val="en-US" w:eastAsia="zh-CN"/>
        </w:rPr>
        <w:t>一年</w:t>
      </w:r>
      <w:r>
        <w:rPr>
          <w:rFonts w:hint="eastAsia" w:ascii="宋体" w:hAnsi="宋体" w:cs="宋体"/>
          <w:color w:val="auto"/>
          <w:kern w:val="0"/>
          <w:szCs w:val="21"/>
          <w:highlight w:val="none"/>
          <w:lang w:eastAsia="zh-CN"/>
        </w:rPr>
        <w:t>。</w:t>
      </w:r>
    </w:p>
    <w:p w14:paraId="7F349A53">
      <w:pPr>
        <w:spacing w:line="360" w:lineRule="auto"/>
        <w:ind w:firstLine="435"/>
        <w:rPr>
          <w:rFonts w:hint="default" w:ascii="宋体" w:hAnsi="宋体"/>
          <w:b/>
          <w:bCs/>
          <w:color w:val="auto"/>
          <w:szCs w:val="21"/>
          <w:highlight w:val="none"/>
          <w:lang w:val="en-US"/>
        </w:rPr>
      </w:pPr>
      <w:r>
        <w:rPr>
          <w:rFonts w:hint="eastAsia" w:ascii="宋体" w:hAnsi="宋体"/>
          <w:color w:val="auto"/>
          <w:szCs w:val="21"/>
          <w:highlight w:val="none"/>
        </w:rPr>
        <w:t>本次招标拟选定1家保险公司作为滁州市军粮供应站有限公司车辆定点保险服务单位；公车平台车辆总数约为</w:t>
      </w:r>
      <w:r>
        <w:rPr>
          <w:rFonts w:hint="eastAsia" w:ascii="宋体" w:hAnsi="宋体"/>
          <w:color w:val="auto"/>
          <w:szCs w:val="21"/>
          <w:highlight w:val="none"/>
          <w:lang w:val="en-US" w:eastAsia="zh-CN"/>
        </w:rPr>
        <w:t>7</w:t>
      </w:r>
      <w:r>
        <w:rPr>
          <w:rFonts w:hint="eastAsia" w:ascii="宋体" w:hAnsi="宋体"/>
          <w:color w:val="auto"/>
          <w:szCs w:val="21"/>
          <w:highlight w:val="none"/>
        </w:rPr>
        <w:t>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具体详见下列清单。</w:t>
      </w:r>
      <w:r>
        <w:rPr>
          <w:rFonts w:hint="eastAsia" w:ascii="宋体" w:hAnsi="宋体"/>
          <w:b/>
          <w:bCs/>
          <w:color w:val="auto"/>
          <w:szCs w:val="21"/>
          <w:highlight w:val="none"/>
          <w:lang w:val="en-US" w:eastAsia="zh-CN"/>
        </w:rPr>
        <w:t>在合同履行期间,招标人如有新增车辆需要投保，中标人须按同等要求投保。</w:t>
      </w:r>
    </w:p>
    <w:p w14:paraId="6AA2B2A1">
      <w:pPr>
        <w:numPr>
          <w:ilvl w:val="0"/>
          <w:numId w:val="9"/>
        </w:numPr>
        <w:spacing w:line="360" w:lineRule="auto"/>
        <w:jc w:val="left"/>
        <w:rPr>
          <w:rFonts w:hint="eastAsia" w:ascii="宋体" w:hAnsi="宋体"/>
          <w:b/>
          <w:color w:val="auto"/>
          <w:szCs w:val="21"/>
          <w:highlight w:val="none"/>
        </w:rPr>
      </w:pPr>
      <w:r>
        <w:rPr>
          <w:rFonts w:hint="eastAsia" w:ascii="宋体" w:hAnsi="宋体"/>
          <w:b/>
          <w:color w:val="auto"/>
          <w:szCs w:val="21"/>
          <w:highlight w:val="none"/>
        </w:rPr>
        <w:t>服务需求</w:t>
      </w:r>
    </w:p>
    <w:tbl>
      <w:tblPr>
        <w:tblStyle w:val="38"/>
        <w:tblW w:w="10815" w:type="dxa"/>
        <w:tblInd w:w="-9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05"/>
        <w:gridCol w:w="690"/>
        <w:gridCol w:w="1215"/>
        <w:gridCol w:w="2250"/>
        <w:gridCol w:w="1530"/>
        <w:gridCol w:w="1530"/>
        <w:gridCol w:w="2310"/>
      </w:tblGrid>
      <w:tr w14:paraId="5832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F5C0335">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序号</w:t>
            </w:r>
          </w:p>
        </w:tc>
        <w:tc>
          <w:tcPr>
            <w:tcW w:w="705" w:type="dxa"/>
            <w:vAlign w:val="center"/>
          </w:tcPr>
          <w:p w14:paraId="469B5AB0">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车辆</w:t>
            </w:r>
          </w:p>
          <w:p w14:paraId="122F8B64">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类型</w:t>
            </w:r>
          </w:p>
        </w:tc>
        <w:tc>
          <w:tcPr>
            <w:tcW w:w="690" w:type="dxa"/>
            <w:vAlign w:val="center"/>
          </w:tcPr>
          <w:p w14:paraId="7B601146">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车辆</w:t>
            </w:r>
          </w:p>
          <w:p w14:paraId="631740D0">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品牌</w:t>
            </w:r>
          </w:p>
        </w:tc>
        <w:tc>
          <w:tcPr>
            <w:tcW w:w="1215" w:type="dxa"/>
            <w:shd w:val="clear" w:color="auto" w:fill="auto"/>
            <w:vAlign w:val="center"/>
          </w:tcPr>
          <w:p w14:paraId="1FA4CA50">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车牌号</w:t>
            </w:r>
          </w:p>
        </w:tc>
        <w:tc>
          <w:tcPr>
            <w:tcW w:w="2250" w:type="dxa"/>
            <w:shd w:val="clear" w:color="auto" w:fill="auto"/>
            <w:vAlign w:val="center"/>
          </w:tcPr>
          <w:p w14:paraId="5DB0DA98">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车架号</w:t>
            </w:r>
          </w:p>
        </w:tc>
        <w:tc>
          <w:tcPr>
            <w:tcW w:w="1530" w:type="dxa"/>
            <w:shd w:val="clear" w:color="auto" w:fill="auto"/>
            <w:vAlign w:val="center"/>
          </w:tcPr>
          <w:p w14:paraId="0897A121">
            <w:pPr>
              <w:spacing w:line="360" w:lineRule="auto"/>
              <w:ind w:left="0" w:leftChars="0" w:firstLine="0" w:firstLineChars="0"/>
              <w:jc w:val="center"/>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注册时间</w:t>
            </w:r>
          </w:p>
        </w:tc>
        <w:tc>
          <w:tcPr>
            <w:tcW w:w="1530" w:type="dxa"/>
            <w:shd w:val="clear" w:color="auto" w:fill="auto"/>
            <w:vAlign w:val="center"/>
          </w:tcPr>
          <w:p w14:paraId="4A3DCB96">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公里数</w:t>
            </w:r>
          </w:p>
        </w:tc>
        <w:tc>
          <w:tcPr>
            <w:tcW w:w="2310" w:type="dxa"/>
            <w:shd w:val="clear" w:color="auto" w:fill="auto"/>
            <w:vAlign w:val="center"/>
          </w:tcPr>
          <w:p w14:paraId="77EC8205">
            <w:pPr>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车险内容（包括但不限/低于）</w:t>
            </w:r>
          </w:p>
        </w:tc>
      </w:tr>
      <w:tr w14:paraId="4137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E5D5792">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1</w:t>
            </w:r>
          </w:p>
        </w:tc>
        <w:tc>
          <w:tcPr>
            <w:tcW w:w="705" w:type="dxa"/>
            <w:vAlign w:val="center"/>
          </w:tcPr>
          <w:p w14:paraId="3976C44C">
            <w:pPr>
              <w:spacing w:line="360" w:lineRule="auto"/>
              <w:ind w:left="0" w:leftChars="0" w:firstLine="0" w:firstLineChars="0"/>
              <w:jc w:val="center"/>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SUV</w:t>
            </w:r>
          </w:p>
        </w:tc>
        <w:tc>
          <w:tcPr>
            <w:tcW w:w="690" w:type="dxa"/>
            <w:shd w:val="clear" w:color="auto" w:fill="auto"/>
            <w:vAlign w:val="center"/>
          </w:tcPr>
          <w:p w14:paraId="25688591">
            <w:pPr>
              <w:spacing w:line="360" w:lineRule="auto"/>
              <w:ind w:left="0" w:leftChars="0" w:firstLine="0" w:firstLineChars="0"/>
              <w:jc w:val="center"/>
              <w:rPr>
                <w:rFonts w:hint="default"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现代</w:t>
            </w:r>
          </w:p>
        </w:tc>
        <w:tc>
          <w:tcPr>
            <w:tcW w:w="1215" w:type="dxa"/>
            <w:shd w:val="clear" w:color="auto" w:fill="auto"/>
            <w:vAlign w:val="center"/>
          </w:tcPr>
          <w:p w14:paraId="00008FEB">
            <w:pPr>
              <w:spacing w:line="360" w:lineRule="auto"/>
              <w:ind w:left="0" w:leftChars="0" w:firstLine="0" w:firstLineChars="0"/>
              <w:jc w:val="center"/>
              <w:rPr>
                <w:rFonts w:hint="default"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皖MLS316</w:t>
            </w:r>
          </w:p>
        </w:tc>
        <w:tc>
          <w:tcPr>
            <w:tcW w:w="2250" w:type="dxa"/>
            <w:shd w:val="clear" w:color="auto" w:fill="auto"/>
            <w:vAlign w:val="center"/>
          </w:tcPr>
          <w:p w14:paraId="1D581E97">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LBTLBFC9LY456437</w:t>
            </w:r>
          </w:p>
        </w:tc>
        <w:tc>
          <w:tcPr>
            <w:tcW w:w="1530" w:type="dxa"/>
            <w:shd w:val="clear" w:color="auto" w:fill="auto"/>
            <w:vAlign w:val="center"/>
          </w:tcPr>
          <w:p w14:paraId="277B805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2020年5月8日</w:t>
            </w:r>
          </w:p>
        </w:tc>
        <w:tc>
          <w:tcPr>
            <w:tcW w:w="1530" w:type="dxa"/>
            <w:shd w:val="clear" w:color="auto" w:fill="auto"/>
            <w:vAlign w:val="center"/>
          </w:tcPr>
          <w:p w14:paraId="3E97C75F">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85215</w:t>
            </w:r>
          </w:p>
        </w:tc>
        <w:tc>
          <w:tcPr>
            <w:tcW w:w="2310" w:type="dxa"/>
            <w:vMerge w:val="restart"/>
            <w:vAlign w:val="center"/>
          </w:tcPr>
          <w:p w14:paraId="4F7DF4E4">
            <w:pPr>
              <w:ind w:left="0" w:leftChars="0" w:firstLine="0" w:firstLineChars="0"/>
              <w:jc w:val="both"/>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1.交通事故责任强制险；</w:t>
            </w:r>
          </w:p>
          <w:p w14:paraId="5604E971">
            <w:pPr>
              <w:ind w:left="0" w:leftChars="0" w:firstLine="0" w:firstLineChars="0"/>
              <w:jc w:val="both"/>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2.机动车损失险；</w:t>
            </w:r>
          </w:p>
          <w:p w14:paraId="2F2A8350">
            <w:pPr>
              <w:ind w:left="0" w:leftChars="0" w:firstLine="0" w:firstLineChars="0"/>
              <w:jc w:val="both"/>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3.第三者责任险（保额200万元）；</w:t>
            </w:r>
          </w:p>
          <w:p w14:paraId="26CAD655">
            <w:pPr>
              <w:ind w:left="0" w:leftChars="0" w:firstLine="0" w:firstLineChars="0"/>
              <w:jc w:val="both"/>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4.车上人员责任险驾驶人（保额2万元）；</w:t>
            </w:r>
          </w:p>
          <w:p w14:paraId="333D6532">
            <w:pPr>
              <w:ind w:left="0" w:leftChars="0" w:firstLine="0" w:firstLineChars="0"/>
              <w:jc w:val="both"/>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5.车上人员责任险乘客（保额2万元/座）。</w:t>
            </w:r>
          </w:p>
        </w:tc>
      </w:tr>
      <w:tr w14:paraId="5BE4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74E98D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2</w:t>
            </w:r>
          </w:p>
        </w:tc>
        <w:tc>
          <w:tcPr>
            <w:tcW w:w="705" w:type="dxa"/>
            <w:vAlign w:val="center"/>
          </w:tcPr>
          <w:p w14:paraId="179F35CD">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1982F084">
            <w:pPr>
              <w:spacing w:line="360" w:lineRule="auto"/>
              <w:ind w:left="0" w:leftChars="0" w:firstLine="0" w:firstLineChars="0"/>
              <w:jc w:val="center"/>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1EF9486A">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豪沃</w:t>
            </w:r>
          </w:p>
        </w:tc>
        <w:tc>
          <w:tcPr>
            <w:tcW w:w="1215" w:type="dxa"/>
            <w:shd w:val="clear" w:color="auto" w:fill="auto"/>
            <w:vAlign w:val="center"/>
          </w:tcPr>
          <w:p w14:paraId="06BBF843">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皖M00104</w:t>
            </w:r>
          </w:p>
        </w:tc>
        <w:tc>
          <w:tcPr>
            <w:tcW w:w="2250" w:type="dxa"/>
            <w:shd w:val="clear" w:color="auto" w:fill="auto"/>
            <w:vAlign w:val="center"/>
          </w:tcPr>
          <w:p w14:paraId="679008B4">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LZZ1BBGE6JE682656</w:t>
            </w:r>
          </w:p>
        </w:tc>
        <w:tc>
          <w:tcPr>
            <w:tcW w:w="1530" w:type="dxa"/>
            <w:shd w:val="clear" w:color="auto" w:fill="auto"/>
            <w:vAlign w:val="center"/>
          </w:tcPr>
          <w:p w14:paraId="00ACCCE4">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2"/>
                <w:sz w:val="21"/>
                <w:szCs w:val="16"/>
                <w:highlight w:val="none"/>
                <w:lang w:val="en-US" w:eastAsia="zh-CN" w:bidi="ar-SA"/>
              </w:rPr>
            </w:pPr>
            <w:r>
              <w:rPr>
                <w:rFonts w:hint="eastAsia" w:ascii="宋体" w:hAnsi="宋体" w:eastAsia="宋体" w:cs="宋体"/>
                <w:color w:val="auto"/>
                <w:sz w:val="21"/>
                <w:szCs w:val="16"/>
                <w:highlight w:val="none"/>
              </w:rPr>
              <w:t>2018年5月2日</w:t>
            </w:r>
          </w:p>
        </w:tc>
        <w:tc>
          <w:tcPr>
            <w:tcW w:w="1530" w:type="dxa"/>
            <w:shd w:val="clear" w:color="auto" w:fill="auto"/>
            <w:vAlign w:val="center"/>
          </w:tcPr>
          <w:p w14:paraId="3B476D02">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113754</w:t>
            </w:r>
          </w:p>
        </w:tc>
        <w:tc>
          <w:tcPr>
            <w:tcW w:w="2310" w:type="dxa"/>
            <w:vMerge w:val="continue"/>
            <w:vAlign w:val="center"/>
          </w:tcPr>
          <w:p w14:paraId="3E2F3F89">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3114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AB500C9">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3</w:t>
            </w:r>
          </w:p>
        </w:tc>
        <w:tc>
          <w:tcPr>
            <w:tcW w:w="705" w:type="dxa"/>
            <w:vAlign w:val="center"/>
          </w:tcPr>
          <w:p w14:paraId="6EACEB36">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235F8B22">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0BBD6D7C">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金杯</w:t>
            </w:r>
          </w:p>
        </w:tc>
        <w:tc>
          <w:tcPr>
            <w:tcW w:w="1215" w:type="dxa"/>
            <w:shd w:val="clear" w:color="auto" w:fill="auto"/>
            <w:vAlign w:val="center"/>
          </w:tcPr>
          <w:p w14:paraId="6AFA0C66">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皖MBZ316</w:t>
            </w:r>
          </w:p>
        </w:tc>
        <w:tc>
          <w:tcPr>
            <w:tcW w:w="2250" w:type="dxa"/>
            <w:shd w:val="clear" w:color="auto" w:fill="auto"/>
            <w:vAlign w:val="center"/>
          </w:tcPr>
          <w:p w14:paraId="6751484A">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LM6LKC3FXMX114463</w:t>
            </w:r>
          </w:p>
        </w:tc>
        <w:tc>
          <w:tcPr>
            <w:tcW w:w="1530" w:type="dxa"/>
            <w:shd w:val="clear" w:color="auto" w:fill="auto"/>
            <w:vAlign w:val="center"/>
          </w:tcPr>
          <w:p w14:paraId="742DEFF3">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2021年7月2日</w:t>
            </w:r>
          </w:p>
        </w:tc>
        <w:tc>
          <w:tcPr>
            <w:tcW w:w="1530" w:type="dxa"/>
            <w:shd w:val="clear" w:color="auto" w:fill="auto"/>
            <w:vAlign w:val="center"/>
          </w:tcPr>
          <w:p w14:paraId="4F8787B8">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58021</w:t>
            </w:r>
          </w:p>
        </w:tc>
        <w:tc>
          <w:tcPr>
            <w:tcW w:w="2310" w:type="dxa"/>
            <w:vMerge w:val="continue"/>
            <w:vAlign w:val="center"/>
          </w:tcPr>
          <w:p w14:paraId="5BC0D218">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0B2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D65A27B">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4</w:t>
            </w:r>
          </w:p>
        </w:tc>
        <w:tc>
          <w:tcPr>
            <w:tcW w:w="705" w:type="dxa"/>
            <w:vAlign w:val="center"/>
          </w:tcPr>
          <w:p w14:paraId="3358B385">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34E38CE0">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12424E36">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金杯</w:t>
            </w:r>
          </w:p>
        </w:tc>
        <w:tc>
          <w:tcPr>
            <w:tcW w:w="1215" w:type="dxa"/>
            <w:shd w:val="clear" w:color="auto" w:fill="auto"/>
            <w:vAlign w:val="center"/>
          </w:tcPr>
          <w:p w14:paraId="31336A7E">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皖MPS316</w:t>
            </w:r>
          </w:p>
        </w:tc>
        <w:tc>
          <w:tcPr>
            <w:tcW w:w="2250" w:type="dxa"/>
            <w:shd w:val="clear" w:color="auto" w:fill="auto"/>
            <w:vAlign w:val="center"/>
          </w:tcPr>
          <w:p w14:paraId="0BF74A3F">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LSYFKH2M0HG288382</w:t>
            </w:r>
          </w:p>
        </w:tc>
        <w:tc>
          <w:tcPr>
            <w:tcW w:w="1530" w:type="dxa"/>
            <w:shd w:val="clear" w:color="auto" w:fill="auto"/>
            <w:vAlign w:val="center"/>
          </w:tcPr>
          <w:p w14:paraId="7BAD3710">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2017年3月8日</w:t>
            </w:r>
          </w:p>
        </w:tc>
        <w:tc>
          <w:tcPr>
            <w:tcW w:w="1530" w:type="dxa"/>
            <w:shd w:val="clear" w:color="auto" w:fill="auto"/>
            <w:vAlign w:val="center"/>
          </w:tcPr>
          <w:p w14:paraId="5B8BA314">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147441</w:t>
            </w:r>
          </w:p>
        </w:tc>
        <w:tc>
          <w:tcPr>
            <w:tcW w:w="2310" w:type="dxa"/>
            <w:vMerge w:val="continue"/>
            <w:vAlign w:val="center"/>
          </w:tcPr>
          <w:p w14:paraId="027C367C">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7B37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7BB1613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5</w:t>
            </w:r>
          </w:p>
        </w:tc>
        <w:tc>
          <w:tcPr>
            <w:tcW w:w="705" w:type="dxa"/>
            <w:vAlign w:val="center"/>
          </w:tcPr>
          <w:p w14:paraId="70183A85">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03254535">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51983D47">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金杯</w:t>
            </w:r>
          </w:p>
        </w:tc>
        <w:tc>
          <w:tcPr>
            <w:tcW w:w="1215" w:type="dxa"/>
            <w:shd w:val="clear" w:color="auto" w:fill="auto"/>
            <w:vAlign w:val="center"/>
          </w:tcPr>
          <w:p w14:paraId="65663B59">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皖MXJ316</w:t>
            </w:r>
          </w:p>
        </w:tc>
        <w:tc>
          <w:tcPr>
            <w:tcW w:w="2250" w:type="dxa"/>
            <w:shd w:val="clear" w:color="auto" w:fill="auto"/>
            <w:vAlign w:val="center"/>
          </w:tcPr>
          <w:p w14:paraId="0A395F4F">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LSYFKH2MXHG309335</w:t>
            </w:r>
          </w:p>
        </w:tc>
        <w:tc>
          <w:tcPr>
            <w:tcW w:w="1530" w:type="dxa"/>
            <w:shd w:val="clear" w:color="auto" w:fill="auto"/>
            <w:vAlign w:val="center"/>
          </w:tcPr>
          <w:p w14:paraId="7714F7A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2017年5月27日</w:t>
            </w:r>
          </w:p>
        </w:tc>
        <w:tc>
          <w:tcPr>
            <w:tcW w:w="1530" w:type="dxa"/>
            <w:shd w:val="clear" w:color="auto" w:fill="auto"/>
            <w:vAlign w:val="center"/>
          </w:tcPr>
          <w:p w14:paraId="02BCEEEA">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104316</w:t>
            </w:r>
          </w:p>
        </w:tc>
        <w:tc>
          <w:tcPr>
            <w:tcW w:w="2310" w:type="dxa"/>
            <w:vMerge w:val="continue"/>
            <w:vAlign w:val="center"/>
          </w:tcPr>
          <w:p w14:paraId="3189A804">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5A09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0815F1E4">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6</w:t>
            </w:r>
          </w:p>
        </w:tc>
        <w:tc>
          <w:tcPr>
            <w:tcW w:w="705" w:type="dxa"/>
            <w:vAlign w:val="center"/>
          </w:tcPr>
          <w:p w14:paraId="50C7CCCA">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41A9B29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3DD584E8">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江铃</w:t>
            </w:r>
          </w:p>
        </w:tc>
        <w:tc>
          <w:tcPr>
            <w:tcW w:w="1215" w:type="dxa"/>
            <w:shd w:val="clear" w:color="auto" w:fill="auto"/>
            <w:vAlign w:val="center"/>
          </w:tcPr>
          <w:p w14:paraId="2A3F2B70">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皖MJG316</w:t>
            </w:r>
          </w:p>
        </w:tc>
        <w:tc>
          <w:tcPr>
            <w:tcW w:w="2250" w:type="dxa"/>
            <w:shd w:val="clear" w:color="auto" w:fill="auto"/>
            <w:vAlign w:val="center"/>
          </w:tcPr>
          <w:p w14:paraId="7BC2F127">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LEFYEDG29MGN28874</w:t>
            </w:r>
          </w:p>
        </w:tc>
        <w:tc>
          <w:tcPr>
            <w:tcW w:w="1530" w:type="dxa"/>
            <w:shd w:val="clear" w:color="auto" w:fill="auto"/>
            <w:vAlign w:val="center"/>
          </w:tcPr>
          <w:p w14:paraId="614101C8">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2021年7月5日</w:t>
            </w:r>
          </w:p>
        </w:tc>
        <w:tc>
          <w:tcPr>
            <w:tcW w:w="1530" w:type="dxa"/>
            <w:shd w:val="clear" w:color="auto" w:fill="auto"/>
            <w:vAlign w:val="center"/>
          </w:tcPr>
          <w:p w14:paraId="7960B8AC">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104072</w:t>
            </w:r>
          </w:p>
        </w:tc>
        <w:tc>
          <w:tcPr>
            <w:tcW w:w="2310" w:type="dxa"/>
            <w:vMerge w:val="continue"/>
            <w:vAlign w:val="center"/>
          </w:tcPr>
          <w:p w14:paraId="789C6CDA">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1D80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470014A0">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7</w:t>
            </w:r>
          </w:p>
        </w:tc>
        <w:tc>
          <w:tcPr>
            <w:tcW w:w="705" w:type="dxa"/>
            <w:vAlign w:val="center"/>
          </w:tcPr>
          <w:p w14:paraId="2E06A054">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33619096">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65FBA136">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江铃</w:t>
            </w:r>
          </w:p>
        </w:tc>
        <w:tc>
          <w:tcPr>
            <w:tcW w:w="1215" w:type="dxa"/>
            <w:shd w:val="clear" w:color="auto" w:fill="auto"/>
            <w:vAlign w:val="center"/>
          </w:tcPr>
          <w:p w14:paraId="731F397F">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皖MCL316</w:t>
            </w:r>
          </w:p>
        </w:tc>
        <w:tc>
          <w:tcPr>
            <w:tcW w:w="2250" w:type="dxa"/>
            <w:shd w:val="clear" w:color="auto" w:fill="auto"/>
            <w:vAlign w:val="center"/>
          </w:tcPr>
          <w:p w14:paraId="052F0319">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LEFYECG21LHN59206</w:t>
            </w:r>
          </w:p>
        </w:tc>
        <w:tc>
          <w:tcPr>
            <w:tcW w:w="1530" w:type="dxa"/>
            <w:shd w:val="clear" w:color="auto" w:fill="auto"/>
            <w:vAlign w:val="center"/>
          </w:tcPr>
          <w:p w14:paraId="7ABA19C6">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宋体" w:hAnsi="宋体" w:eastAsia="宋体" w:cs="宋体"/>
                <w:color w:val="auto"/>
                <w:sz w:val="21"/>
                <w:szCs w:val="16"/>
                <w:highlight w:val="none"/>
              </w:rPr>
              <w:t>2020年7月31日</w:t>
            </w:r>
          </w:p>
        </w:tc>
        <w:tc>
          <w:tcPr>
            <w:tcW w:w="1530" w:type="dxa"/>
            <w:shd w:val="clear" w:color="auto" w:fill="auto"/>
            <w:vAlign w:val="center"/>
          </w:tcPr>
          <w:p w14:paraId="39A39FB3">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113065</w:t>
            </w:r>
          </w:p>
        </w:tc>
        <w:tc>
          <w:tcPr>
            <w:tcW w:w="2310" w:type="dxa"/>
            <w:vMerge w:val="continue"/>
            <w:vAlign w:val="center"/>
          </w:tcPr>
          <w:p w14:paraId="691A5FC2">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r w14:paraId="2AC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9924778">
            <w:pPr>
              <w:spacing w:line="360" w:lineRule="auto"/>
              <w:ind w:left="0" w:leftChars="0" w:firstLine="0" w:firstLineChars="0"/>
              <w:jc w:val="center"/>
              <w:rPr>
                <w:rFonts w:hint="default"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8</w:t>
            </w:r>
          </w:p>
        </w:tc>
        <w:tc>
          <w:tcPr>
            <w:tcW w:w="705" w:type="dxa"/>
            <w:vAlign w:val="center"/>
          </w:tcPr>
          <w:p w14:paraId="6D85A619">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厢式</w:t>
            </w:r>
          </w:p>
          <w:p w14:paraId="1389855B">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r>
              <w:rPr>
                <w:rFonts w:hint="eastAsia" w:asciiTheme="majorEastAsia" w:hAnsiTheme="majorEastAsia" w:eastAsiaTheme="majorEastAsia" w:cstheme="majorEastAsia"/>
                <w:color w:val="auto"/>
                <w:sz w:val="22"/>
                <w:szCs w:val="20"/>
                <w:highlight w:val="none"/>
                <w:vertAlign w:val="baseline"/>
                <w:lang w:val="en-US" w:eastAsia="zh-CN"/>
              </w:rPr>
              <w:t>货车</w:t>
            </w:r>
          </w:p>
        </w:tc>
        <w:tc>
          <w:tcPr>
            <w:tcW w:w="690" w:type="dxa"/>
            <w:shd w:val="clear" w:color="auto" w:fill="auto"/>
            <w:vAlign w:val="center"/>
          </w:tcPr>
          <w:p w14:paraId="7810F9E7">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长安</w:t>
            </w:r>
          </w:p>
        </w:tc>
        <w:tc>
          <w:tcPr>
            <w:tcW w:w="1215" w:type="dxa"/>
            <w:shd w:val="clear" w:color="auto" w:fill="auto"/>
            <w:vAlign w:val="center"/>
          </w:tcPr>
          <w:p w14:paraId="020B9D53">
            <w:pPr>
              <w:spacing w:line="360" w:lineRule="auto"/>
              <w:ind w:left="0" w:leftChars="0" w:firstLine="0" w:firstLineChars="0"/>
              <w:jc w:val="center"/>
              <w:rPr>
                <w:rFonts w:hint="default"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kern w:val="2"/>
                <w:sz w:val="22"/>
                <w:szCs w:val="20"/>
                <w:highlight w:val="none"/>
                <w:vertAlign w:val="baseline"/>
                <w:lang w:val="en-US" w:eastAsia="zh-CN" w:bidi="ar-SA"/>
              </w:rPr>
              <w:t>/</w:t>
            </w:r>
          </w:p>
        </w:tc>
        <w:tc>
          <w:tcPr>
            <w:tcW w:w="2250" w:type="dxa"/>
            <w:shd w:val="clear" w:color="auto" w:fill="auto"/>
            <w:vAlign w:val="center"/>
          </w:tcPr>
          <w:p w14:paraId="35FC010B">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LSCABN2E4SG802037</w:t>
            </w:r>
          </w:p>
        </w:tc>
        <w:tc>
          <w:tcPr>
            <w:tcW w:w="1530" w:type="dxa"/>
            <w:shd w:val="clear" w:color="auto" w:fill="auto"/>
            <w:vAlign w:val="center"/>
          </w:tcPr>
          <w:p w14:paraId="14E8D1D2">
            <w:pPr>
              <w:spacing w:line="360" w:lineRule="auto"/>
              <w:ind w:left="0" w:leftChars="0" w:firstLine="0" w:firstLineChars="0"/>
              <w:jc w:val="center"/>
              <w:rPr>
                <w:rFonts w:hint="eastAsia" w:asciiTheme="majorEastAsia" w:hAnsiTheme="majorEastAsia" w:eastAsiaTheme="majorEastAsia" w:cstheme="majorEastAsia"/>
                <w:color w:val="auto"/>
                <w:sz w:val="22"/>
                <w:szCs w:val="20"/>
                <w:highlight w:val="none"/>
                <w:vertAlign w:val="baseline"/>
                <w:lang w:val="en-US" w:eastAsia="zh-CN"/>
              </w:rPr>
            </w:pPr>
          </w:p>
        </w:tc>
        <w:tc>
          <w:tcPr>
            <w:tcW w:w="1530" w:type="dxa"/>
            <w:shd w:val="clear" w:color="auto" w:fill="auto"/>
            <w:vAlign w:val="center"/>
          </w:tcPr>
          <w:p w14:paraId="2B20CECE">
            <w:pPr>
              <w:spacing w:line="360" w:lineRule="auto"/>
              <w:ind w:left="0" w:leftChars="0" w:firstLine="0" w:firstLineChars="0"/>
              <w:jc w:val="center"/>
              <w:rPr>
                <w:rFonts w:hint="eastAsia" w:asciiTheme="majorEastAsia" w:hAnsiTheme="majorEastAsia" w:eastAsiaTheme="majorEastAsia" w:cstheme="majorEastAsia"/>
                <w:color w:val="auto"/>
                <w:kern w:val="2"/>
                <w:sz w:val="22"/>
                <w:szCs w:val="20"/>
                <w:highlight w:val="none"/>
                <w:vertAlign w:val="baseline"/>
                <w:lang w:val="en-US" w:eastAsia="zh-CN" w:bidi="ar-SA"/>
              </w:rPr>
            </w:pPr>
            <w:r>
              <w:rPr>
                <w:rFonts w:hint="eastAsia" w:asciiTheme="majorEastAsia" w:hAnsiTheme="majorEastAsia" w:eastAsiaTheme="majorEastAsia" w:cstheme="majorEastAsia"/>
                <w:color w:val="auto"/>
                <w:sz w:val="22"/>
                <w:szCs w:val="20"/>
                <w:highlight w:val="none"/>
                <w:vertAlign w:val="baseline"/>
                <w:lang w:val="en-US" w:eastAsia="zh-CN"/>
              </w:rPr>
              <w:t>0</w:t>
            </w:r>
          </w:p>
        </w:tc>
        <w:tc>
          <w:tcPr>
            <w:tcW w:w="2310" w:type="dxa"/>
            <w:vMerge w:val="continue"/>
            <w:vAlign w:val="center"/>
          </w:tcPr>
          <w:p w14:paraId="3A87F2F1">
            <w:pPr>
              <w:jc w:val="both"/>
              <w:rPr>
                <w:rFonts w:hint="eastAsia" w:asciiTheme="majorEastAsia" w:hAnsiTheme="majorEastAsia" w:eastAsiaTheme="majorEastAsia" w:cstheme="majorEastAsia"/>
                <w:color w:val="auto"/>
                <w:sz w:val="22"/>
                <w:szCs w:val="20"/>
                <w:highlight w:val="none"/>
                <w:vertAlign w:val="baseline"/>
                <w:lang w:val="en-US" w:eastAsia="zh-CN"/>
              </w:rPr>
            </w:pPr>
          </w:p>
        </w:tc>
      </w:tr>
    </w:tbl>
    <w:p w14:paraId="1BBF48FA">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（一）投标报价（折扣）及基准收费说明</w:t>
      </w:r>
    </w:p>
    <w:p w14:paraId="1B7D1EB3">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本项目统保险种为：车辆损失险，第三者责任险，车上人员责任险，基准保费的计算依据是</w:t>
      </w:r>
      <w:r>
        <w:rPr>
          <w:rFonts w:hint="eastAsia" w:ascii="宋体" w:hAnsi="宋体"/>
          <w:color w:val="auto"/>
          <w:szCs w:val="21"/>
          <w:highlight w:val="none"/>
          <w:lang w:val="en-US" w:eastAsia="zh-CN"/>
        </w:rPr>
        <w:t>投标人</w:t>
      </w:r>
      <w:r>
        <w:rPr>
          <w:rFonts w:hint="eastAsia" w:ascii="宋体" w:hAnsi="宋体"/>
          <w:color w:val="auto"/>
          <w:szCs w:val="21"/>
          <w:highlight w:val="none"/>
        </w:rPr>
        <w:t>经保险监督管理机构批准的现行非营运车辆的保险条款及费率和保费，其计算出来的保费作为基准保费，各</w:t>
      </w:r>
      <w:r>
        <w:rPr>
          <w:rFonts w:hint="eastAsia" w:ascii="宋体" w:hAnsi="宋体"/>
          <w:color w:val="auto"/>
          <w:szCs w:val="21"/>
          <w:highlight w:val="none"/>
          <w:lang w:val="en-US" w:eastAsia="zh-CN"/>
        </w:rPr>
        <w:t>投标人</w:t>
      </w:r>
      <w:r>
        <w:rPr>
          <w:rFonts w:hint="eastAsia" w:ascii="宋体" w:hAnsi="宋体"/>
          <w:color w:val="auto"/>
          <w:szCs w:val="21"/>
          <w:highlight w:val="none"/>
        </w:rPr>
        <w:t>按照优惠比例的形式报出投标报价。具体车辆的政策性费率调整系数按照保险监督管理机构相关规定执行，各</w:t>
      </w:r>
      <w:r>
        <w:rPr>
          <w:rFonts w:hint="eastAsia" w:ascii="宋体" w:hAnsi="宋体"/>
          <w:color w:val="auto"/>
          <w:szCs w:val="21"/>
          <w:highlight w:val="none"/>
          <w:lang w:val="en-US" w:eastAsia="zh-CN"/>
        </w:rPr>
        <w:t>投标人</w:t>
      </w:r>
      <w:r>
        <w:rPr>
          <w:rFonts w:hint="eastAsia" w:ascii="宋体" w:hAnsi="宋体"/>
          <w:color w:val="auto"/>
          <w:szCs w:val="21"/>
          <w:highlight w:val="none"/>
        </w:rPr>
        <w:t>在保险监督管理机构监管范围内按照所能承诺的折扣进行报价。</w:t>
      </w:r>
    </w:p>
    <w:p w14:paraId="4FC96112">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报价按照此公式计算：报价=自主定价系数。</w:t>
      </w:r>
      <w:r>
        <w:rPr>
          <w:rFonts w:hint="eastAsia" w:ascii="宋体" w:hAnsi="宋体"/>
          <w:color w:val="auto"/>
          <w:szCs w:val="21"/>
          <w:highlight w:val="none"/>
        </w:rPr>
        <w:t>NCD系数根据车险信息平台反馈的被保险车辆情况确定，不计入报价范围。</w:t>
      </w:r>
      <w:r>
        <w:rPr>
          <w:rFonts w:hint="eastAsia" w:ascii="宋体" w:hAnsi="宋体"/>
          <w:b/>
          <w:bCs/>
          <w:color w:val="auto"/>
          <w:szCs w:val="21"/>
          <w:highlight w:val="none"/>
        </w:rPr>
        <w:t>（如：自主定价系数为65%，则最终投标报价为65%，投标费率报价小数点后保留两位小数，第三位四舍五入，如供应商报价为65.127%，评标时</w:t>
      </w:r>
      <w:r>
        <w:rPr>
          <w:rFonts w:hint="eastAsia" w:ascii="宋体" w:hAnsi="宋体"/>
          <w:b/>
          <w:bCs/>
          <w:color w:val="auto"/>
          <w:szCs w:val="21"/>
          <w:highlight w:val="none"/>
          <w:lang w:val="en-US" w:eastAsia="zh-CN"/>
        </w:rPr>
        <w:t>投标人</w:t>
      </w:r>
      <w:r>
        <w:rPr>
          <w:rFonts w:hint="eastAsia" w:ascii="宋体" w:hAnsi="宋体"/>
          <w:b/>
          <w:bCs/>
          <w:color w:val="auto"/>
          <w:szCs w:val="21"/>
          <w:highlight w:val="none"/>
        </w:rPr>
        <w:t>的评标价按65.13%计算；若不足两位，末位默认为零，如65.1%按65.10%计算）。</w:t>
      </w:r>
    </w:p>
    <w:p w14:paraId="6F3E1D25">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所报保险类型和保险费折扣须在保监会认可的范围内，否则作无效标处理。</w:t>
      </w:r>
    </w:p>
    <w:p w14:paraId="2C88D8D8">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赠送险种将不受投标折扣报价限制。</w:t>
      </w:r>
    </w:p>
    <w:p w14:paraId="2BEF8514">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车损险中已经包含的附加险不得重复计算保费。</w:t>
      </w:r>
    </w:p>
    <w:p w14:paraId="65948836">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w:t>
      </w:r>
      <w:r>
        <w:rPr>
          <w:rFonts w:hint="eastAsia" w:ascii="宋体" w:hAnsi="宋体"/>
          <w:color w:val="auto"/>
          <w:szCs w:val="21"/>
          <w:highlight w:val="none"/>
        </w:rPr>
        <w:t>本次投标报价折扣率不包含交强险。</w:t>
      </w:r>
    </w:p>
    <w:p w14:paraId="3790D19B">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（二）保险的险种及限额</w:t>
      </w:r>
    </w:p>
    <w:p w14:paraId="78BAF7EF">
      <w:pPr>
        <w:spacing w:line="360" w:lineRule="auto"/>
        <w:ind w:firstLine="4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1.交通事故责任强制险；</w:t>
      </w:r>
    </w:p>
    <w:p w14:paraId="5A2111BD">
      <w:pPr>
        <w:spacing w:line="360" w:lineRule="auto"/>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2.机动车损失险</w:t>
      </w:r>
      <w:r>
        <w:rPr>
          <w:rFonts w:hint="eastAsia" w:ascii="宋体" w:hAnsi="宋体" w:eastAsia="宋体" w:cs="Times New Roman"/>
          <w:color w:val="auto"/>
          <w:szCs w:val="21"/>
          <w:highlight w:val="none"/>
        </w:rPr>
        <w:t>：按现行市场价投保。</w:t>
      </w:r>
    </w:p>
    <w:p w14:paraId="22097B2D">
      <w:pPr>
        <w:spacing w:line="360" w:lineRule="auto"/>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3.第三者责任险（保额200万元）</w:t>
      </w:r>
      <w:r>
        <w:rPr>
          <w:rFonts w:hint="eastAsia" w:ascii="宋体" w:hAnsi="宋体" w:eastAsia="宋体" w:cs="Times New Roman"/>
          <w:color w:val="auto"/>
          <w:szCs w:val="21"/>
          <w:highlight w:val="none"/>
        </w:rPr>
        <w:t>。</w:t>
      </w:r>
    </w:p>
    <w:p w14:paraId="3A22A5FD">
      <w:pPr>
        <w:spacing w:line="360" w:lineRule="auto"/>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4.车上人员责任险驾驶人（保额2万元）</w:t>
      </w:r>
      <w:r>
        <w:rPr>
          <w:rFonts w:hint="eastAsia" w:ascii="宋体" w:hAnsi="宋体" w:eastAsia="宋体" w:cs="Times New Roman"/>
          <w:color w:val="auto"/>
          <w:szCs w:val="21"/>
          <w:highlight w:val="none"/>
        </w:rPr>
        <w:t>。</w:t>
      </w:r>
    </w:p>
    <w:p w14:paraId="662ACC88">
      <w:pPr>
        <w:spacing w:line="360" w:lineRule="auto"/>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5.车上人员责任险乘客（保额2万元/座）</w:t>
      </w:r>
    </w:p>
    <w:p w14:paraId="5FA389B7">
      <w:pPr>
        <w:spacing w:line="360" w:lineRule="auto"/>
        <w:ind w:firstLine="43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注：以上保险的险种及限额为暂定项，招标人可根据实际情况进行调整。</w:t>
      </w:r>
    </w:p>
    <w:p w14:paraId="3A5B2986">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（三）服务要求</w:t>
      </w:r>
    </w:p>
    <w:p w14:paraId="7BB8C096">
      <w:pPr>
        <w:spacing w:line="400" w:lineRule="exact"/>
        <w:ind w:firstLine="342" w:firstLineChars="163"/>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保险车辆涉及事故处理的损失赔偿、施救费、招标代理费、评审费等所有相关费用均应由承担责任的保险公司支付，车辆恢复的零部件必须使用原车辆的正厂配套件。</w:t>
      </w:r>
    </w:p>
    <w:p w14:paraId="28C2A15F">
      <w:pPr>
        <w:spacing w:line="400" w:lineRule="exact"/>
        <w:ind w:firstLine="342" w:firstLineChars="163"/>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.投标人</w:t>
      </w:r>
      <w:r>
        <w:rPr>
          <w:rFonts w:hint="eastAsia" w:ascii="宋体" w:hAnsi="宋体" w:cs="宋体"/>
          <w:bCs/>
          <w:color w:val="auto"/>
          <w:szCs w:val="21"/>
          <w:highlight w:val="none"/>
        </w:rPr>
        <w:t>必须在计算承诺服务项目必要费用的基础上，对上述要求产生的费用，在投标报价中进行考虑，并对此承担全部责任。</w:t>
      </w:r>
    </w:p>
    <w:p w14:paraId="03A7AA26">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定损和修理厂的确定，一般应选择4S店或采购人指定的公务车辆定点维修企业。</w:t>
      </w:r>
    </w:p>
    <w:p w14:paraId="4E8F6800">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如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w:t>
      </w:r>
      <w:r>
        <w:rPr>
          <w:rFonts w:hint="eastAsia" w:ascii="宋体" w:hAnsi="宋体"/>
          <w:color w:val="auto"/>
          <w:szCs w:val="21"/>
          <w:highlight w:val="none"/>
          <w:lang w:val="en-US" w:eastAsia="zh-CN"/>
        </w:rPr>
        <w:t>投标人</w:t>
      </w:r>
      <w:r>
        <w:rPr>
          <w:rFonts w:hint="eastAsia" w:ascii="宋体" w:hAnsi="宋体"/>
          <w:color w:val="auto"/>
          <w:szCs w:val="21"/>
          <w:highlight w:val="none"/>
        </w:rPr>
        <w:t>不得以任何借口和方式加以拒绝。</w:t>
      </w:r>
    </w:p>
    <w:p w14:paraId="01502D4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其他服务要求：详见“保险条款”、“服务承诺”等。</w:t>
      </w:r>
    </w:p>
    <w:p w14:paraId="0F53DD74">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（四）保险费率</w:t>
      </w:r>
    </w:p>
    <w:p w14:paraId="5015FAD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投标供应商提供的报价（即基准收费）应当以本公司在保险监督管理机构备案的费率表为依据。</w:t>
      </w:r>
    </w:p>
    <w:p w14:paraId="7ED26B17">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保费必须依据保险监督管理机构审批的非营业用车之标准费率表进行计算。</w:t>
      </w:r>
    </w:p>
    <w:p w14:paraId="0884E599">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同种车辆同等情况下保费取最低；若遇国家政策发生上调，必须经过业主方同意后方可调整保险费率。</w:t>
      </w:r>
    </w:p>
    <w:p w14:paraId="3FDC5C8A">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w:t>
      </w:r>
      <w:r>
        <w:rPr>
          <w:rFonts w:hint="eastAsia" w:ascii="宋体" w:hAnsi="宋体"/>
          <w:color w:val="auto"/>
          <w:szCs w:val="21"/>
          <w:highlight w:val="none"/>
        </w:rPr>
        <w:t>若参保单位投保范围超过四个险种以外的险种而且是中标单位非赠送的险种，该险种在计算其保费时，其保费折扣不得低于投标折扣。</w:t>
      </w:r>
    </w:p>
    <w:p w14:paraId="10FC8E77">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（五）保险总额：保险费总额以实际发生额为准。</w:t>
      </w:r>
    </w:p>
    <w:p w14:paraId="474A5F71">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（六）所有参保车辆赔付比例为100%即足额赔付，全损赔付金额不得低于车辆保险金额。</w:t>
      </w:r>
    </w:p>
    <w:p w14:paraId="4A908476">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（七）保险公司应提供车辆出险时的定损方法，理赔的程序、方法、期限。</w:t>
      </w:r>
    </w:p>
    <w:p w14:paraId="745A1713">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（八）保险公司应如实按时向</w:t>
      </w:r>
      <w:r>
        <w:rPr>
          <w:rFonts w:hint="eastAsia" w:ascii="宋体" w:hAnsi="宋体"/>
          <w:b/>
          <w:bCs/>
          <w:color w:val="auto"/>
          <w:szCs w:val="21"/>
          <w:highlight w:val="none"/>
          <w:lang w:val="en-US" w:eastAsia="zh-CN"/>
        </w:rPr>
        <w:t>招标人</w:t>
      </w:r>
      <w:r>
        <w:rPr>
          <w:rFonts w:hint="eastAsia" w:ascii="宋体" w:hAnsi="宋体"/>
          <w:b/>
          <w:bCs/>
          <w:color w:val="auto"/>
          <w:szCs w:val="21"/>
          <w:highlight w:val="none"/>
        </w:rPr>
        <w:t>提供参加保险车辆的统计资料以及理赔的具体情况，并随时提供</w:t>
      </w:r>
      <w:r>
        <w:rPr>
          <w:rFonts w:hint="eastAsia" w:ascii="宋体" w:hAnsi="宋体"/>
          <w:b/>
          <w:bCs/>
          <w:color w:val="auto"/>
          <w:szCs w:val="21"/>
          <w:highlight w:val="none"/>
          <w:lang w:val="en-US" w:eastAsia="zh-CN"/>
        </w:rPr>
        <w:t>招标人</w:t>
      </w:r>
      <w:r>
        <w:rPr>
          <w:rFonts w:hint="eastAsia" w:ascii="宋体" w:hAnsi="宋体"/>
          <w:b/>
          <w:bCs/>
          <w:color w:val="auto"/>
          <w:szCs w:val="21"/>
          <w:highlight w:val="none"/>
        </w:rPr>
        <w:t>需要的相关材料。</w:t>
      </w:r>
    </w:p>
    <w:p w14:paraId="73A1F6C1">
      <w:pPr>
        <w:spacing w:line="360" w:lineRule="auto"/>
        <w:ind w:firstLine="435"/>
        <w:rPr>
          <w:rFonts w:hint="eastAsia" w:ascii="宋体" w:hAnsi="宋体"/>
          <w:b/>
          <w:bCs/>
          <w:color w:val="auto"/>
          <w:szCs w:val="21"/>
          <w:highlight w:val="none"/>
        </w:rPr>
      </w:pPr>
      <w:r>
        <w:rPr>
          <w:rFonts w:hint="eastAsia" w:ascii="宋体" w:hAnsi="宋体"/>
          <w:b/>
          <w:bCs/>
          <w:color w:val="auto"/>
          <w:szCs w:val="21"/>
          <w:highlight w:val="none"/>
        </w:rPr>
        <w:t>（九）保险公司保证提供的服务种类、服务标准、服务质量应当具有可行性、可靠性和可操作性，必须保证由专门的部门、相对稳定专业服务人员的从事承保工作。</w:t>
      </w:r>
    </w:p>
    <w:p w14:paraId="5F693544">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宋体"/>
          <w:b/>
          <w:color w:val="auto"/>
          <w:sz w:val="32"/>
          <w:szCs w:val="32"/>
          <w:highlight w:val="none"/>
        </w:rPr>
      </w:pPr>
      <w:r>
        <w:rPr>
          <w:rFonts w:hint="eastAsia" w:ascii="宋体"/>
          <w:b/>
          <w:color w:val="auto"/>
          <w:sz w:val="32"/>
          <w:szCs w:val="32"/>
          <w:highlight w:val="none"/>
        </w:rPr>
        <w:br w:type="page"/>
      </w:r>
    </w:p>
    <w:p w14:paraId="56FE0CB8">
      <w:pPr>
        <w:spacing w:before="156" w:beforeLines="50" w:after="156" w:afterLines="50"/>
        <w:jc w:val="center"/>
        <w:outlineLvl w:val="0"/>
        <w:rPr>
          <w:rFonts w:hint="default" w:ascii="宋体" w:eastAsia="宋体"/>
          <w:b/>
          <w:color w:val="auto"/>
          <w:sz w:val="32"/>
          <w:szCs w:val="32"/>
          <w:highlight w:val="none"/>
          <w:lang w:val="en-US" w:eastAsia="zh-CN"/>
        </w:rPr>
      </w:pPr>
      <w:r>
        <w:rPr>
          <w:rFonts w:hint="eastAsia" w:ascii="宋体"/>
          <w:b/>
          <w:color w:val="auto"/>
          <w:sz w:val="32"/>
          <w:szCs w:val="32"/>
          <w:highlight w:val="none"/>
          <w:lang w:val="en-US" w:eastAsia="zh-CN"/>
        </w:rPr>
        <w:t>第五章 合同格式（参考）</w:t>
      </w:r>
    </w:p>
    <w:p w14:paraId="0D38A597">
      <w:pPr>
        <w:spacing w:line="480" w:lineRule="exact"/>
        <w:jc w:val="center"/>
        <w:rPr>
          <w:rFonts w:hint="eastAsia" w:ascii="宋体" w:hAnsi="宋体" w:eastAsia="宋体" w:cs="宋体"/>
          <w:b/>
          <w:bCs/>
          <w:color w:val="auto"/>
          <w:spacing w:val="4"/>
          <w:sz w:val="32"/>
          <w:szCs w:val="32"/>
          <w:highlight w:val="none"/>
          <w:lang w:eastAsia="zh-CN"/>
        </w:rPr>
      </w:pPr>
      <w:r>
        <w:rPr>
          <w:rFonts w:hint="eastAsia" w:ascii="宋体" w:hAnsi="宋体" w:cs="宋体"/>
          <w:b/>
          <w:bCs/>
          <w:color w:val="auto"/>
          <w:spacing w:val="4"/>
          <w:sz w:val="32"/>
          <w:szCs w:val="32"/>
          <w:highlight w:val="none"/>
          <w:lang w:eastAsia="zh-CN"/>
        </w:rPr>
        <w:t>滁州市军粮供应站有限公司车辆定点保险项目</w:t>
      </w:r>
    </w:p>
    <w:p w14:paraId="51111DAC">
      <w:pPr>
        <w:spacing w:line="480" w:lineRule="exact"/>
        <w:jc w:val="center"/>
        <w:rPr>
          <w:rFonts w:hint="eastAsia" w:ascii="宋体" w:hAnsi="宋体" w:cs="宋体"/>
          <w:b/>
          <w:bCs/>
          <w:color w:val="auto"/>
          <w:spacing w:val="4"/>
          <w:sz w:val="32"/>
          <w:szCs w:val="32"/>
          <w:highlight w:val="none"/>
        </w:rPr>
      </w:pPr>
    </w:p>
    <w:p w14:paraId="4B3003CE">
      <w:pPr>
        <w:spacing w:line="480" w:lineRule="exact"/>
        <w:jc w:val="center"/>
        <w:rPr>
          <w:rFonts w:ascii="宋体" w:hAnsi="宋体" w:cs="宋体"/>
          <w:b/>
          <w:bCs/>
          <w:color w:val="auto"/>
          <w:spacing w:val="4"/>
          <w:sz w:val="44"/>
          <w:szCs w:val="44"/>
          <w:highlight w:val="none"/>
        </w:rPr>
      </w:pPr>
      <w:r>
        <w:rPr>
          <w:rFonts w:hint="eastAsia" w:ascii="宋体" w:hAnsi="宋体" w:cs="宋体"/>
          <w:b/>
          <w:bCs/>
          <w:color w:val="auto"/>
          <w:spacing w:val="4"/>
          <w:sz w:val="44"/>
          <w:szCs w:val="44"/>
          <w:highlight w:val="none"/>
        </w:rPr>
        <w:t>合同协议书</w:t>
      </w:r>
    </w:p>
    <w:p w14:paraId="09B2692A">
      <w:pPr>
        <w:spacing w:line="262" w:lineRule="auto"/>
        <w:rPr>
          <w:rFonts w:ascii="宋体"/>
          <w:color w:val="auto"/>
          <w:highlight w:val="none"/>
        </w:rPr>
      </w:pPr>
    </w:p>
    <w:p w14:paraId="413E2BF7">
      <w:pPr>
        <w:spacing w:line="262" w:lineRule="auto"/>
        <w:rPr>
          <w:rFonts w:ascii="宋体"/>
          <w:color w:val="auto"/>
          <w:highlight w:val="none"/>
        </w:rPr>
      </w:pPr>
    </w:p>
    <w:p w14:paraId="6CB9A9F6">
      <w:pPr>
        <w:spacing w:line="258" w:lineRule="auto"/>
        <w:rPr>
          <w:rFonts w:ascii="宋体"/>
          <w:color w:val="auto"/>
          <w:highlight w:val="none"/>
        </w:rPr>
      </w:pPr>
    </w:p>
    <w:p w14:paraId="32351558">
      <w:pPr>
        <w:spacing w:line="259" w:lineRule="auto"/>
        <w:rPr>
          <w:rFonts w:ascii="宋体"/>
          <w:color w:val="auto"/>
          <w:highlight w:val="none"/>
        </w:rPr>
      </w:pPr>
    </w:p>
    <w:p w14:paraId="57475C3D">
      <w:pPr>
        <w:spacing w:line="259" w:lineRule="auto"/>
        <w:rPr>
          <w:rFonts w:ascii="宋体"/>
          <w:color w:val="auto"/>
          <w:highlight w:val="none"/>
        </w:rPr>
      </w:pPr>
    </w:p>
    <w:p w14:paraId="540730F6">
      <w:pPr>
        <w:spacing w:line="259" w:lineRule="auto"/>
        <w:rPr>
          <w:rFonts w:ascii="宋体"/>
          <w:color w:val="auto"/>
          <w:highlight w:val="none"/>
        </w:rPr>
      </w:pPr>
    </w:p>
    <w:p w14:paraId="6D035F72">
      <w:pPr>
        <w:spacing w:line="259" w:lineRule="auto"/>
        <w:rPr>
          <w:rFonts w:ascii="宋体"/>
          <w:color w:val="auto"/>
          <w:highlight w:val="none"/>
        </w:rPr>
      </w:pPr>
    </w:p>
    <w:p w14:paraId="31CF52FB">
      <w:pPr>
        <w:spacing w:line="259" w:lineRule="auto"/>
        <w:rPr>
          <w:rFonts w:ascii="宋体"/>
          <w:color w:val="auto"/>
          <w:highlight w:val="none"/>
        </w:rPr>
      </w:pPr>
    </w:p>
    <w:p w14:paraId="2CFF6474">
      <w:pPr>
        <w:spacing w:line="259" w:lineRule="auto"/>
        <w:rPr>
          <w:rFonts w:ascii="宋体"/>
          <w:color w:val="auto"/>
          <w:highlight w:val="none"/>
        </w:rPr>
      </w:pPr>
    </w:p>
    <w:p w14:paraId="49103429">
      <w:pPr>
        <w:spacing w:line="243" w:lineRule="auto"/>
        <w:rPr>
          <w:rFonts w:ascii="宋体"/>
          <w:color w:val="auto"/>
          <w:highlight w:val="none"/>
        </w:rPr>
      </w:pPr>
    </w:p>
    <w:p w14:paraId="7494E22C">
      <w:pPr>
        <w:spacing w:line="243" w:lineRule="auto"/>
        <w:rPr>
          <w:rFonts w:ascii="宋体"/>
          <w:color w:val="auto"/>
          <w:highlight w:val="none"/>
        </w:rPr>
      </w:pPr>
    </w:p>
    <w:p w14:paraId="615F8C65">
      <w:pPr>
        <w:spacing w:line="243" w:lineRule="auto"/>
        <w:rPr>
          <w:rFonts w:ascii="宋体"/>
          <w:color w:val="auto"/>
          <w:highlight w:val="none"/>
        </w:rPr>
      </w:pPr>
    </w:p>
    <w:p w14:paraId="04E3234A">
      <w:pPr>
        <w:spacing w:line="244" w:lineRule="auto"/>
        <w:rPr>
          <w:rFonts w:ascii="宋体"/>
          <w:color w:val="auto"/>
          <w:highlight w:val="none"/>
        </w:rPr>
      </w:pPr>
    </w:p>
    <w:p w14:paraId="62AE2C76">
      <w:pPr>
        <w:spacing w:line="244" w:lineRule="auto"/>
        <w:rPr>
          <w:rFonts w:ascii="宋体"/>
          <w:color w:val="auto"/>
          <w:highlight w:val="none"/>
        </w:rPr>
      </w:pPr>
    </w:p>
    <w:p w14:paraId="34F20587">
      <w:pPr>
        <w:spacing w:line="244" w:lineRule="auto"/>
        <w:rPr>
          <w:rFonts w:ascii="宋体"/>
          <w:color w:val="auto"/>
          <w:highlight w:val="none"/>
        </w:rPr>
      </w:pPr>
    </w:p>
    <w:p w14:paraId="6865396F">
      <w:pPr>
        <w:spacing w:line="480" w:lineRule="auto"/>
        <w:ind w:left="1001" w:right="-94"/>
        <w:jc w:val="left"/>
        <w:rPr>
          <w:rFonts w:ascii="宋体" w:hAnsi="宋体" w:cs="宋体"/>
          <w:color w:val="auto"/>
          <w:spacing w:val="2"/>
          <w:sz w:val="25"/>
          <w:szCs w:val="25"/>
          <w:highlight w:val="none"/>
        </w:rPr>
      </w:pPr>
      <w:r>
        <w:rPr>
          <w:rFonts w:ascii="宋体" w:hAnsi="宋体" w:cs="宋体"/>
          <w:color w:val="auto"/>
          <w:spacing w:val="-17"/>
          <w:sz w:val="24"/>
          <w:highlight w:val="none"/>
        </w:rPr>
        <w:t>项目名称</w:t>
      </w:r>
      <w:r>
        <w:rPr>
          <w:rFonts w:ascii="宋体" w:hAnsi="宋体" w:cs="宋体"/>
          <w:color w:val="auto"/>
          <w:spacing w:val="-25"/>
          <w:sz w:val="24"/>
          <w:highlight w:val="none"/>
        </w:rPr>
        <w:t>：</w:t>
      </w:r>
      <w:r>
        <w:rPr>
          <w:rFonts w:hint="eastAsia" w:ascii="宋体" w:hAnsi="宋体" w:cs="宋体"/>
          <w:color w:val="auto"/>
          <w:spacing w:val="4"/>
          <w:sz w:val="22"/>
          <w:szCs w:val="22"/>
          <w:highlight w:val="none"/>
          <w:u w:val="single"/>
          <w:lang w:eastAsia="zh-CN"/>
        </w:rPr>
        <w:t>滁州市军粮供应站有限公司车辆定点保险项目</w:t>
      </w:r>
      <w:r>
        <w:rPr>
          <w:rFonts w:hint="eastAsia" w:ascii="宋体" w:hAnsi="宋体" w:cs="宋体"/>
          <w:color w:val="auto"/>
          <w:spacing w:val="4"/>
          <w:sz w:val="22"/>
          <w:szCs w:val="22"/>
          <w:highlight w:val="none"/>
          <w:u w:val="single"/>
          <w:lang w:val="en-US" w:eastAsia="zh-CN"/>
        </w:rPr>
        <w:t xml:space="preserve"> </w:t>
      </w:r>
      <w:r>
        <w:rPr>
          <w:rFonts w:ascii="宋体" w:hAnsi="宋体" w:cs="宋体"/>
          <w:color w:val="auto"/>
          <w:spacing w:val="2"/>
          <w:sz w:val="25"/>
          <w:szCs w:val="25"/>
          <w:highlight w:val="none"/>
        </w:rPr>
        <w:t xml:space="preserve"> </w:t>
      </w:r>
    </w:p>
    <w:p w14:paraId="4DA9FC1E">
      <w:pPr>
        <w:spacing w:line="480" w:lineRule="auto"/>
        <w:ind w:left="1001" w:right="-94"/>
        <w:jc w:val="left"/>
        <w:rPr>
          <w:rFonts w:ascii="宋体" w:hAnsi="宋体" w:cs="宋体"/>
          <w:color w:val="auto"/>
          <w:sz w:val="24"/>
          <w:highlight w:val="none"/>
        </w:rPr>
      </w:pPr>
      <w:r>
        <w:rPr>
          <w:rFonts w:ascii="宋体" w:hAnsi="宋体" w:cs="宋体"/>
          <w:color w:val="auto"/>
          <w:spacing w:val="-22"/>
          <w:w w:val="94"/>
          <w:sz w:val="24"/>
          <w:highlight w:val="none"/>
        </w:rPr>
        <w:t>项目编号：</w:t>
      </w:r>
      <w:r>
        <w:rPr>
          <w:rFonts w:ascii="宋体" w:hAnsi="宋体" w:cs="宋体"/>
          <w:color w:val="auto"/>
          <w:spacing w:val="4"/>
          <w:sz w:val="24"/>
          <w:highlight w:val="none"/>
          <w:u w:val="single"/>
        </w:rPr>
        <w:t xml:space="preserve">       </w:t>
      </w:r>
      <w:r>
        <w:rPr>
          <w:rFonts w:hint="eastAsia" w:ascii="宋体" w:hAnsi="宋体" w:cs="宋体"/>
          <w:color w:val="auto"/>
          <w:spacing w:val="4"/>
          <w:sz w:val="24"/>
          <w:highlight w:val="none"/>
          <w:u w:val="single"/>
        </w:rPr>
        <w:t xml:space="preserve">                                    </w:t>
      </w:r>
      <w:r>
        <w:rPr>
          <w:rFonts w:ascii="宋体" w:hAnsi="宋体" w:cs="宋体"/>
          <w:color w:val="auto"/>
          <w:spacing w:val="4"/>
          <w:sz w:val="24"/>
          <w:highlight w:val="none"/>
          <w:u w:val="single"/>
        </w:rPr>
        <w:t xml:space="preserve">   </w:t>
      </w:r>
      <w:r>
        <w:rPr>
          <w:rFonts w:ascii="宋体" w:hAnsi="宋体" w:cs="宋体"/>
          <w:color w:val="auto"/>
          <w:sz w:val="24"/>
          <w:highlight w:val="none"/>
        </w:rPr>
        <w:t xml:space="preserve">                                         </w:t>
      </w:r>
    </w:p>
    <w:p w14:paraId="2BF1DD24">
      <w:pPr>
        <w:spacing w:line="480" w:lineRule="auto"/>
        <w:ind w:left="1001" w:right="238"/>
        <w:rPr>
          <w:rFonts w:ascii="宋体" w:hAnsi="宋体" w:cs="宋体"/>
          <w:color w:val="auto"/>
          <w:spacing w:val="1"/>
          <w:sz w:val="24"/>
          <w:highlight w:val="none"/>
        </w:rPr>
      </w:pPr>
      <w:r>
        <w:rPr>
          <w:rFonts w:ascii="宋体" w:hAnsi="宋体" w:cs="宋体"/>
          <w:color w:val="auto"/>
          <w:spacing w:val="-24"/>
          <w:sz w:val="24"/>
          <w:highlight w:val="none"/>
        </w:rPr>
        <w:t>甲方（采购人</w:t>
      </w:r>
      <w:r>
        <w:rPr>
          <w:rFonts w:ascii="宋体" w:hAnsi="宋体" w:cs="宋体"/>
          <w:color w:val="auto"/>
          <w:spacing w:val="-23"/>
          <w:sz w:val="24"/>
          <w:highlight w:val="none"/>
        </w:rPr>
        <w:t>）：</w:t>
      </w:r>
      <w:r>
        <w:rPr>
          <w:rFonts w:ascii="宋体" w:hAnsi="宋体" w:cs="宋体"/>
          <w:color w:val="auto"/>
          <w:spacing w:val="1"/>
          <w:sz w:val="24"/>
          <w:highlight w:val="none"/>
          <w:u w:val="single"/>
        </w:rPr>
        <w:t xml:space="preserve"> </w:t>
      </w:r>
      <w:r>
        <w:rPr>
          <w:rFonts w:hint="eastAsia" w:ascii="宋体" w:hAnsi="宋体" w:cs="宋体"/>
          <w:b/>
          <w:color w:val="auto"/>
          <w:kern w:val="0"/>
          <w:sz w:val="24"/>
          <w:highlight w:val="none"/>
          <w:u w:val="single"/>
        </w:rPr>
        <w:t>滁州市军粮供应站有限公司</w:t>
      </w:r>
      <w:r>
        <w:rPr>
          <w:rFonts w:ascii="宋体" w:hAnsi="宋体" w:cs="宋体"/>
          <w:color w:val="auto"/>
          <w:spacing w:val="1"/>
          <w:sz w:val="24"/>
          <w:highlight w:val="none"/>
          <w:u w:val="single"/>
        </w:rPr>
        <w:t xml:space="preserve">  </w:t>
      </w:r>
      <w:r>
        <w:rPr>
          <w:rFonts w:ascii="宋体" w:hAnsi="宋体" w:cs="宋体"/>
          <w:color w:val="auto"/>
          <w:spacing w:val="1"/>
          <w:sz w:val="24"/>
          <w:highlight w:val="none"/>
        </w:rPr>
        <w:t xml:space="preserve">              </w:t>
      </w:r>
    </w:p>
    <w:p w14:paraId="571B5BDA">
      <w:pPr>
        <w:spacing w:line="480" w:lineRule="auto"/>
        <w:ind w:left="1001" w:right="238"/>
        <w:rPr>
          <w:rFonts w:ascii="宋体" w:hAnsi="宋体" w:cs="宋体"/>
          <w:color w:val="auto"/>
          <w:sz w:val="24"/>
          <w:highlight w:val="none"/>
        </w:rPr>
      </w:pPr>
      <w:r>
        <w:rPr>
          <w:rFonts w:ascii="宋体" w:hAnsi="宋体" w:cs="宋体"/>
          <w:color w:val="auto"/>
          <w:spacing w:val="-24"/>
          <w:sz w:val="24"/>
          <w:highlight w:val="none"/>
        </w:rPr>
        <w:t>乙方（</w:t>
      </w:r>
      <w:r>
        <w:rPr>
          <w:rFonts w:hint="eastAsia" w:ascii="宋体" w:hAnsi="宋体" w:cs="宋体"/>
          <w:color w:val="auto"/>
          <w:spacing w:val="-24"/>
          <w:sz w:val="24"/>
          <w:highlight w:val="none"/>
        </w:rPr>
        <w:t>供应商</w:t>
      </w:r>
      <w:r>
        <w:rPr>
          <w:rFonts w:ascii="宋体" w:hAnsi="宋体" w:cs="宋体"/>
          <w:color w:val="auto"/>
          <w:spacing w:val="-23"/>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B8EB845">
      <w:pPr>
        <w:spacing w:line="480" w:lineRule="auto"/>
        <w:ind w:firstLine="998"/>
        <w:rPr>
          <w:rFonts w:ascii="宋体" w:hAnsi="宋体" w:cs="宋体"/>
          <w:color w:val="auto"/>
          <w:sz w:val="24"/>
          <w:highlight w:val="none"/>
        </w:rPr>
      </w:pPr>
      <w:r>
        <w:rPr>
          <w:rFonts w:ascii="宋体" w:hAnsi="宋体" w:cs="宋体"/>
          <w:color w:val="auto"/>
          <w:spacing w:val="-24"/>
          <w:sz w:val="24"/>
          <w:highlight w:val="none"/>
        </w:rPr>
        <w:t>签订地</w:t>
      </w:r>
      <w:r>
        <w:rPr>
          <w:rFonts w:hint="eastAsia" w:ascii="宋体" w:hAnsi="宋体" w:cs="宋体"/>
          <w:color w:val="auto"/>
          <w:spacing w:val="-24"/>
          <w:sz w:val="24"/>
          <w:highlight w:val="none"/>
        </w:rPr>
        <w:t>点</w:t>
      </w:r>
      <w:r>
        <w:rPr>
          <w:rFonts w:ascii="宋体" w:hAnsi="宋体" w:cs="宋体"/>
          <w:color w:val="auto"/>
          <w:spacing w:val="-24"/>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BC739D8">
      <w:pPr>
        <w:pStyle w:val="36"/>
        <w:spacing w:after="0" w:line="480" w:lineRule="auto"/>
        <w:ind w:firstLine="576" w:firstLineChars="300"/>
        <w:rPr>
          <w:rFonts w:hint="eastAsia" w:ascii="宋体" w:hAnsi="宋体" w:cs="宋体"/>
          <w:b/>
          <w:color w:val="auto"/>
          <w:kern w:val="0"/>
          <w:sz w:val="24"/>
          <w:highlight w:val="none"/>
        </w:rPr>
      </w:pPr>
      <w:r>
        <w:rPr>
          <w:rFonts w:ascii="宋体" w:hAnsi="宋体" w:cs="宋体"/>
          <w:color w:val="auto"/>
          <w:spacing w:val="-24"/>
          <w:sz w:val="24"/>
          <w:highlight w:val="none"/>
        </w:rPr>
        <w:t>签订日期：</w:t>
      </w:r>
      <w:r>
        <w:rPr>
          <w:rFonts w:ascii="宋体" w:hAnsi="宋体" w:cs="宋体"/>
          <w:color w:val="auto"/>
          <w:spacing w:val="4"/>
          <w:sz w:val="24"/>
          <w:highlight w:val="none"/>
          <w:u w:val="single"/>
        </w:rPr>
        <w:t xml:space="preserve">                </w:t>
      </w:r>
      <w:r>
        <w:rPr>
          <w:rFonts w:ascii="宋体" w:hAnsi="宋体" w:cs="宋体"/>
          <w:color w:val="auto"/>
          <w:spacing w:val="-24"/>
          <w:w w:val="99"/>
          <w:sz w:val="24"/>
          <w:highlight w:val="none"/>
        </w:rPr>
        <w:t>年</w:t>
      </w:r>
      <w:r>
        <w:rPr>
          <w:rFonts w:ascii="宋体" w:hAnsi="宋体" w:cs="宋体"/>
          <w:color w:val="auto"/>
          <w:spacing w:val="2"/>
          <w:sz w:val="24"/>
          <w:highlight w:val="none"/>
          <w:u w:val="single"/>
        </w:rPr>
        <w:t xml:space="preserve">       </w:t>
      </w:r>
      <w:r>
        <w:rPr>
          <w:rFonts w:ascii="宋体" w:hAnsi="宋体" w:cs="宋体"/>
          <w:color w:val="auto"/>
          <w:spacing w:val="-24"/>
          <w:w w:val="99"/>
          <w:sz w:val="24"/>
          <w:highlight w:val="none"/>
        </w:rPr>
        <w:t>月</w:t>
      </w:r>
      <w:r>
        <w:rPr>
          <w:rFonts w:ascii="宋体" w:hAnsi="宋体" w:cs="宋体"/>
          <w:color w:val="auto"/>
          <w:spacing w:val="7"/>
          <w:sz w:val="24"/>
          <w:highlight w:val="none"/>
          <w:u w:val="single"/>
        </w:rPr>
        <w:t xml:space="preserve">       </w:t>
      </w:r>
    </w:p>
    <w:p w14:paraId="691859A9">
      <w:pPr>
        <w:pStyle w:val="36"/>
        <w:ind w:left="0" w:leftChars="0" w:firstLine="0" w:firstLineChars="0"/>
        <w:jc w:val="center"/>
        <w:rPr>
          <w:rFonts w:hint="eastAsia"/>
          <w:b/>
          <w:bCs/>
          <w:color w:val="auto"/>
          <w:sz w:val="24"/>
          <w:szCs w:val="22"/>
          <w:highlight w:val="none"/>
        </w:rPr>
      </w:pPr>
    </w:p>
    <w:p w14:paraId="57F9CBCA">
      <w:pPr>
        <w:pStyle w:val="36"/>
        <w:ind w:left="0" w:leftChars="0" w:firstLine="0" w:firstLineChars="0"/>
        <w:jc w:val="center"/>
        <w:rPr>
          <w:rFonts w:hint="eastAsia"/>
          <w:b/>
          <w:bCs/>
          <w:color w:val="auto"/>
          <w:sz w:val="24"/>
          <w:szCs w:val="22"/>
          <w:highlight w:val="none"/>
        </w:rPr>
      </w:pPr>
    </w:p>
    <w:p w14:paraId="71170FF6">
      <w:pPr>
        <w:rPr>
          <w:rFonts w:hint="eastAsia"/>
          <w:b/>
          <w:bCs/>
          <w:color w:val="auto"/>
          <w:sz w:val="24"/>
          <w:szCs w:val="22"/>
          <w:highlight w:val="none"/>
        </w:rPr>
      </w:pPr>
    </w:p>
    <w:p w14:paraId="4771BB5A">
      <w:pPr>
        <w:pStyle w:val="18"/>
        <w:rPr>
          <w:rFonts w:hint="eastAsia"/>
          <w:b/>
          <w:bCs/>
          <w:color w:val="auto"/>
          <w:szCs w:val="22"/>
          <w:highlight w:val="none"/>
        </w:rPr>
      </w:pPr>
    </w:p>
    <w:p w14:paraId="4C4739B6">
      <w:pPr>
        <w:pStyle w:val="18"/>
        <w:rPr>
          <w:rFonts w:hint="eastAsia"/>
          <w:b/>
          <w:bCs/>
          <w:color w:val="auto"/>
          <w:szCs w:val="22"/>
          <w:highlight w:val="none"/>
        </w:rPr>
      </w:pPr>
    </w:p>
    <w:p w14:paraId="009DEA9F">
      <w:pPr>
        <w:pStyle w:val="18"/>
        <w:rPr>
          <w:rFonts w:hint="eastAsia"/>
          <w:b/>
          <w:bCs/>
          <w:color w:val="auto"/>
          <w:szCs w:val="22"/>
          <w:highlight w:val="none"/>
        </w:rPr>
      </w:pPr>
    </w:p>
    <w:p w14:paraId="339D5F21">
      <w:pPr>
        <w:pStyle w:val="18"/>
        <w:rPr>
          <w:rFonts w:hint="eastAsia"/>
          <w:b/>
          <w:bCs/>
          <w:color w:val="auto"/>
          <w:szCs w:val="22"/>
          <w:highlight w:val="none"/>
        </w:rPr>
      </w:pPr>
    </w:p>
    <w:p w14:paraId="6CA62519">
      <w:pPr>
        <w:pStyle w:val="36"/>
        <w:ind w:left="0" w:leftChars="0" w:firstLine="0" w:firstLineChars="0"/>
        <w:jc w:val="center"/>
        <w:rPr>
          <w:rFonts w:hint="eastAsia"/>
          <w:b/>
          <w:bCs/>
          <w:color w:val="auto"/>
          <w:sz w:val="24"/>
          <w:szCs w:val="22"/>
          <w:highlight w:val="none"/>
        </w:rPr>
      </w:pPr>
    </w:p>
    <w:p w14:paraId="28D8A0D7">
      <w:pPr>
        <w:pStyle w:val="36"/>
        <w:ind w:left="0" w:leftChars="0" w:firstLine="0" w:firstLineChars="0"/>
        <w:jc w:val="center"/>
        <w:rPr>
          <w:b/>
          <w:bCs/>
          <w:color w:val="auto"/>
          <w:sz w:val="24"/>
          <w:szCs w:val="22"/>
          <w:highlight w:val="none"/>
        </w:rPr>
      </w:pPr>
      <w:r>
        <w:rPr>
          <w:rFonts w:hint="eastAsia"/>
          <w:b/>
          <w:bCs/>
          <w:color w:val="auto"/>
          <w:sz w:val="24"/>
          <w:szCs w:val="22"/>
          <w:highlight w:val="none"/>
          <w:lang w:eastAsia="zh-CN"/>
        </w:rPr>
        <w:t>滁州市军粮供应站有限公司车辆定点保险项目</w:t>
      </w:r>
      <w:r>
        <w:rPr>
          <w:rFonts w:hint="eastAsia"/>
          <w:b/>
          <w:bCs/>
          <w:color w:val="auto"/>
          <w:sz w:val="24"/>
          <w:szCs w:val="22"/>
          <w:highlight w:val="none"/>
          <w:lang w:val="en-US" w:eastAsia="zh-CN"/>
        </w:rPr>
        <w:t xml:space="preserve"> </w:t>
      </w:r>
      <w:r>
        <w:rPr>
          <w:rFonts w:hint="eastAsia"/>
          <w:b/>
          <w:bCs/>
          <w:color w:val="auto"/>
          <w:sz w:val="24"/>
          <w:szCs w:val="22"/>
          <w:highlight w:val="none"/>
        </w:rPr>
        <w:t>合同协议</w:t>
      </w:r>
    </w:p>
    <w:p w14:paraId="41F60330">
      <w:pPr>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甲方：</w:t>
      </w:r>
      <w:r>
        <w:rPr>
          <w:rFonts w:hint="eastAsia" w:ascii="宋体" w:hAnsi="宋体"/>
          <w:color w:val="auto"/>
          <w:szCs w:val="21"/>
          <w:highlight w:val="none"/>
          <w:u w:val="single"/>
        </w:rPr>
        <w:t xml:space="preserve">                              </w:t>
      </w:r>
    </w:p>
    <w:p w14:paraId="361FAE15">
      <w:pPr>
        <w:pStyle w:val="36"/>
        <w:spacing w:after="0" w:line="460" w:lineRule="exact"/>
        <w:ind w:left="0" w:leftChars="0"/>
        <w:rPr>
          <w:color w:val="auto"/>
          <w:szCs w:val="21"/>
          <w:highlight w:val="none"/>
          <w:u w:val="single"/>
        </w:rPr>
      </w:pPr>
      <w:r>
        <w:rPr>
          <w:rFonts w:hint="eastAsia"/>
          <w:color w:val="auto"/>
          <w:szCs w:val="21"/>
          <w:highlight w:val="none"/>
        </w:rPr>
        <w:t>乙方：</w:t>
      </w:r>
      <w:r>
        <w:rPr>
          <w:rFonts w:hint="eastAsia"/>
          <w:color w:val="auto"/>
          <w:szCs w:val="21"/>
          <w:highlight w:val="none"/>
          <w:u w:val="single"/>
        </w:rPr>
        <w:t xml:space="preserve">                              </w:t>
      </w:r>
    </w:p>
    <w:p w14:paraId="7492ADBF">
      <w:pPr>
        <w:pStyle w:val="36"/>
        <w:spacing w:after="0" w:line="460" w:lineRule="exact"/>
        <w:ind w:left="0" w:leftChars="0"/>
        <w:rPr>
          <w:color w:val="auto"/>
          <w:szCs w:val="21"/>
          <w:highlight w:val="none"/>
        </w:rPr>
      </w:pPr>
      <w:r>
        <w:rPr>
          <w:color w:val="auto"/>
          <w:szCs w:val="21"/>
          <w:highlight w:val="none"/>
        </w:rPr>
        <w:t>依据《中华人民共和国</w:t>
      </w:r>
      <w:r>
        <w:rPr>
          <w:rFonts w:hint="eastAsia"/>
          <w:color w:val="auto"/>
          <w:szCs w:val="21"/>
          <w:highlight w:val="none"/>
        </w:rPr>
        <w:t>民法典</w:t>
      </w:r>
      <w:r>
        <w:rPr>
          <w:color w:val="auto"/>
          <w:szCs w:val="21"/>
          <w:highlight w:val="none"/>
        </w:rPr>
        <w:t>》、《</w:t>
      </w:r>
      <w:r>
        <w:rPr>
          <w:color w:val="auto"/>
          <w:szCs w:val="21"/>
          <w:highlight w:val="none"/>
        </w:rPr>
        <w:fldChar w:fldCharType="begin"/>
      </w:r>
      <w:r>
        <w:rPr>
          <w:color w:val="auto"/>
          <w:szCs w:val="21"/>
          <w:highlight w:val="none"/>
        </w:rPr>
        <w:instrText xml:space="preserve"> HYPERLINK "http://baike.baidu.com/view/84119.htm" \t "_blank" </w:instrText>
      </w:r>
      <w:r>
        <w:rPr>
          <w:color w:val="auto"/>
          <w:szCs w:val="21"/>
          <w:highlight w:val="none"/>
        </w:rPr>
        <w:fldChar w:fldCharType="separate"/>
      </w:r>
      <w:r>
        <w:rPr>
          <w:color w:val="auto"/>
          <w:szCs w:val="21"/>
          <w:highlight w:val="none"/>
        </w:rPr>
        <w:t>中华人民共和国保险法</w:t>
      </w:r>
      <w:r>
        <w:rPr>
          <w:color w:val="auto"/>
          <w:szCs w:val="21"/>
          <w:highlight w:val="none"/>
        </w:rPr>
        <w:fldChar w:fldCharType="end"/>
      </w:r>
      <w:r>
        <w:rPr>
          <w:color w:val="auto"/>
          <w:szCs w:val="21"/>
          <w:highlight w:val="none"/>
        </w:rPr>
        <w:t>》、《</w:t>
      </w:r>
      <w:r>
        <w:rPr>
          <w:color w:val="auto"/>
          <w:szCs w:val="21"/>
          <w:highlight w:val="none"/>
        </w:rPr>
        <w:fldChar w:fldCharType="begin"/>
      </w:r>
      <w:r>
        <w:rPr>
          <w:color w:val="auto"/>
          <w:szCs w:val="21"/>
          <w:highlight w:val="none"/>
        </w:rPr>
        <w:instrText xml:space="preserve"> HYPERLINK "http://baike.baidu.com/view/8132331.htm" \t "_blank" </w:instrText>
      </w:r>
      <w:r>
        <w:rPr>
          <w:color w:val="auto"/>
          <w:szCs w:val="21"/>
          <w:highlight w:val="none"/>
        </w:rPr>
        <w:fldChar w:fldCharType="separate"/>
      </w:r>
      <w:r>
        <w:rPr>
          <w:color w:val="auto"/>
          <w:szCs w:val="21"/>
          <w:highlight w:val="none"/>
        </w:rPr>
        <w:t>机动车辆商业保险示范条款</w:t>
      </w:r>
      <w:r>
        <w:rPr>
          <w:color w:val="auto"/>
          <w:szCs w:val="21"/>
          <w:highlight w:val="none"/>
        </w:rPr>
        <w:fldChar w:fldCharType="end"/>
      </w:r>
      <w:r>
        <w:rPr>
          <w:color w:val="auto"/>
          <w:szCs w:val="21"/>
          <w:highlight w:val="none"/>
        </w:rPr>
        <w:t>》以及其他有关</w:t>
      </w:r>
      <w:r>
        <w:rPr>
          <w:rFonts w:hint="eastAsia"/>
          <w:color w:val="auto"/>
          <w:szCs w:val="21"/>
          <w:highlight w:val="none"/>
        </w:rPr>
        <w:t>车辆</w:t>
      </w:r>
      <w:r>
        <w:rPr>
          <w:color w:val="auto"/>
          <w:szCs w:val="21"/>
          <w:highlight w:val="none"/>
        </w:rPr>
        <w:t>保险管理的法律、行政法规、规章以及建设规划批准文件，遵循平等、自愿、公平和诚实信用的原则，经</w:t>
      </w:r>
      <w:r>
        <w:rPr>
          <w:rFonts w:hint="eastAsia"/>
          <w:color w:val="auto"/>
          <w:szCs w:val="21"/>
          <w:highlight w:val="none"/>
        </w:rPr>
        <w:t>甲乙</w:t>
      </w:r>
      <w:r>
        <w:rPr>
          <w:color w:val="auto"/>
          <w:szCs w:val="21"/>
          <w:highlight w:val="none"/>
        </w:rPr>
        <w:t>双方协商一致，签订本合同。</w:t>
      </w:r>
    </w:p>
    <w:p w14:paraId="1737DCA8">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第一条  定义</w:t>
      </w:r>
    </w:p>
    <w:p w14:paraId="129918C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合同”系指甲方与乙方签署的、合同格式中载明的甲方与乙方所达成的协议，包括所有的附件、附录和构成合同的所有文件。招标文件、供应商的投标文件和中标通知书，为本合同不可分割的组成部分，具有同等的法律效力。</w:t>
      </w:r>
    </w:p>
    <w:p w14:paraId="426CE8D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2、服务系指根据合同规定乙方应承担的义务及相关的后续服务。比如上门服务、24小时受理索赔接报案、限时理赔支付赔款、无偿提供保险知识培训和其他类似的乙方应承担的义务。</w:t>
      </w:r>
    </w:p>
    <w:p w14:paraId="2A95CEC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3、“甲方”系指组织机动车辆定点保险招标的滁州市军粮供应站有限公司。</w:t>
      </w:r>
    </w:p>
    <w:p w14:paraId="13FD7C1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4、“乙方”系指提供机动车辆定点保险服务的保险机构。</w:t>
      </w:r>
    </w:p>
    <w:p w14:paraId="0F16447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5、“被保险单位”系指具体接受机动车保险服务的公务用车单位。</w:t>
      </w:r>
    </w:p>
    <w:p w14:paraId="19CE765C">
      <w:pPr>
        <w:spacing w:line="460" w:lineRule="exact"/>
        <w:ind w:firstLine="422" w:firstLineChars="200"/>
        <w:rPr>
          <w:rFonts w:ascii="宋体" w:hAnsi="宋体"/>
          <w:color w:val="auto"/>
          <w:szCs w:val="21"/>
          <w:highlight w:val="none"/>
        </w:rPr>
      </w:pPr>
      <w:r>
        <w:rPr>
          <w:rFonts w:hint="eastAsia" w:ascii="宋体" w:hAnsi="宋体"/>
          <w:b/>
          <w:bCs/>
          <w:color w:val="auto"/>
          <w:szCs w:val="21"/>
          <w:highlight w:val="none"/>
        </w:rPr>
        <w:t xml:space="preserve">第二条 </w:t>
      </w:r>
      <w:r>
        <w:rPr>
          <w:rFonts w:hint="eastAsia" w:ascii="宋体" w:hAnsi="宋体"/>
          <w:color w:val="auto"/>
          <w:szCs w:val="21"/>
          <w:highlight w:val="none"/>
        </w:rPr>
        <w:t xml:space="preserve"> 为规范支出，节约经费，降低政府运作成本，根据《中华人民共和国政府采购法》，经双方协商，甲方正式确定乙方为滁州市军粮供应站有限公司公务车辆定点保险单位。</w:t>
      </w:r>
    </w:p>
    <w:p w14:paraId="26DEB83C">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第三条  服务期限</w:t>
      </w:r>
    </w:p>
    <w:p w14:paraId="6FD2A30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服务期限：    年  月  日起至     年  月  日止</w:t>
      </w:r>
    </w:p>
    <w:p w14:paraId="638FBC50">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第四条  承保</w:t>
      </w:r>
    </w:p>
    <w:p w14:paraId="74FCDED4">
      <w:pPr>
        <w:spacing w:line="460" w:lineRule="exact"/>
        <w:ind w:left="400"/>
        <w:rPr>
          <w:rFonts w:hint="eastAsia" w:ascii="宋体" w:hAnsi="宋体"/>
          <w:color w:val="auto"/>
          <w:szCs w:val="21"/>
          <w:highlight w:val="none"/>
        </w:rPr>
      </w:pPr>
      <w:r>
        <w:rPr>
          <w:rFonts w:hint="eastAsia" w:ascii="宋体" w:hAnsi="宋体"/>
          <w:color w:val="auto"/>
          <w:szCs w:val="21"/>
          <w:highlight w:val="none"/>
        </w:rPr>
        <w:t>1、保险项目</w:t>
      </w:r>
      <w:r>
        <w:rPr>
          <w:rFonts w:hint="eastAsia" w:ascii="宋体" w:hAnsi="宋体"/>
          <w:color w:val="auto"/>
          <w:szCs w:val="21"/>
          <w:highlight w:val="none"/>
        </w:rPr>
        <w:t>包括：包含：①</w:t>
      </w:r>
      <w:r>
        <w:rPr>
          <w:rFonts w:hint="eastAsia" w:asciiTheme="majorEastAsia" w:hAnsiTheme="majorEastAsia" w:eastAsiaTheme="majorEastAsia" w:cstheme="majorEastAsia"/>
          <w:color w:val="auto"/>
          <w:sz w:val="22"/>
          <w:szCs w:val="20"/>
          <w:highlight w:val="none"/>
          <w:vertAlign w:val="baseline"/>
          <w:lang w:val="en-US" w:eastAsia="zh-CN"/>
        </w:rPr>
        <w:t>交通事故责任强制险</w:t>
      </w:r>
      <w:r>
        <w:rPr>
          <w:rFonts w:hint="eastAsia" w:ascii="宋体" w:hAnsi="宋体"/>
          <w:color w:val="auto"/>
          <w:szCs w:val="21"/>
          <w:highlight w:val="none"/>
        </w:rPr>
        <w:t>、②</w:t>
      </w:r>
      <w:r>
        <w:rPr>
          <w:rFonts w:hint="eastAsia" w:asciiTheme="majorEastAsia" w:hAnsiTheme="majorEastAsia" w:eastAsiaTheme="majorEastAsia" w:cstheme="majorEastAsia"/>
          <w:color w:val="auto"/>
          <w:sz w:val="22"/>
          <w:szCs w:val="20"/>
          <w:highlight w:val="none"/>
          <w:vertAlign w:val="baseline"/>
          <w:lang w:val="en-US" w:eastAsia="zh-CN"/>
        </w:rPr>
        <w:t>机动车损失险</w:t>
      </w:r>
      <w:r>
        <w:rPr>
          <w:rFonts w:hint="eastAsia" w:ascii="宋体" w:hAnsi="宋体"/>
          <w:color w:val="auto"/>
          <w:szCs w:val="21"/>
          <w:highlight w:val="none"/>
        </w:rPr>
        <w:t>、③</w:t>
      </w:r>
      <w:r>
        <w:rPr>
          <w:rFonts w:hint="eastAsia" w:asciiTheme="majorEastAsia" w:hAnsiTheme="majorEastAsia" w:eastAsiaTheme="majorEastAsia" w:cstheme="majorEastAsia"/>
          <w:color w:val="auto"/>
          <w:sz w:val="22"/>
          <w:szCs w:val="20"/>
          <w:highlight w:val="none"/>
          <w:vertAlign w:val="baseline"/>
          <w:lang w:val="en-US" w:eastAsia="zh-CN"/>
        </w:rPr>
        <w:t>第三者责任险（保额200万元）</w:t>
      </w:r>
      <w:r>
        <w:rPr>
          <w:rFonts w:hint="eastAsia" w:ascii="宋体" w:hAnsi="宋体"/>
          <w:color w:val="auto"/>
          <w:szCs w:val="21"/>
          <w:highlight w:val="none"/>
        </w:rPr>
        <w:t>、④</w:t>
      </w:r>
      <w:r>
        <w:rPr>
          <w:rFonts w:hint="eastAsia" w:asciiTheme="majorEastAsia" w:hAnsiTheme="majorEastAsia" w:eastAsiaTheme="majorEastAsia" w:cstheme="majorEastAsia"/>
          <w:color w:val="auto"/>
          <w:sz w:val="22"/>
          <w:szCs w:val="20"/>
          <w:highlight w:val="none"/>
          <w:vertAlign w:val="baseline"/>
          <w:lang w:val="en-US" w:eastAsia="zh-CN"/>
        </w:rPr>
        <w:t>车上人员责任险驾驶人（保额2万元）</w:t>
      </w:r>
      <w:r>
        <w:rPr>
          <w:rFonts w:hint="eastAsia" w:ascii="宋体" w:hAnsi="宋体"/>
          <w:color w:val="auto"/>
          <w:szCs w:val="21"/>
          <w:highlight w:val="none"/>
        </w:rPr>
        <w:t>、</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 5 \* GB3 \* MERGEFORMAT </w:instrText>
      </w:r>
      <w:r>
        <w:rPr>
          <w:rFonts w:hint="eastAsia" w:ascii="宋体" w:hAnsi="宋体"/>
          <w:color w:val="auto"/>
          <w:szCs w:val="21"/>
          <w:highlight w:val="none"/>
        </w:rPr>
        <w:fldChar w:fldCharType="separate"/>
      </w:r>
      <w:r>
        <w:rPr>
          <w:rFonts w:hint="eastAsia" w:ascii="宋体" w:hAnsi="宋体"/>
          <w:color w:val="auto"/>
          <w:szCs w:val="21"/>
          <w:highlight w:val="none"/>
        </w:rPr>
        <w:t>⑤</w:t>
      </w:r>
      <w:r>
        <w:rPr>
          <w:rFonts w:hint="eastAsia" w:ascii="宋体" w:hAnsi="宋体"/>
          <w:color w:val="auto"/>
          <w:szCs w:val="21"/>
          <w:highlight w:val="none"/>
        </w:rPr>
        <w:fldChar w:fldCharType="end"/>
      </w:r>
      <w:r>
        <w:rPr>
          <w:rFonts w:hint="eastAsia" w:asciiTheme="majorEastAsia" w:hAnsiTheme="majorEastAsia" w:eastAsiaTheme="majorEastAsia" w:cstheme="majorEastAsia"/>
          <w:color w:val="auto"/>
          <w:sz w:val="22"/>
          <w:szCs w:val="20"/>
          <w:highlight w:val="none"/>
          <w:vertAlign w:val="baseline"/>
          <w:lang w:val="en-US" w:eastAsia="zh-CN"/>
        </w:rPr>
        <w:t>车上人员责任险乘客（保额2万元/座）</w:t>
      </w:r>
      <w:r>
        <w:rPr>
          <w:rFonts w:hint="eastAsia" w:ascii="宋体" w:hAnsi="宋体"/>
          <w:color w:val="auto"/>
          <w:szCs w:val="21"/>
          <w:highlight w:val="none"/>
        </w:rPr>
        <w:t>。</w:t>
      </w:r>
    </w:p>
    <w:p w14:paraId="4C893601">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2、合同价：具体保费总价以实际承保车辆数量及车辆实际保费为准。</w:t>
      </w:r>
    </w:p>
    <w:p w14:paraId="4B1AC082">
      <w:pPr>
        <w:spacing w:line="460" w:lineRule="exact"/>
        <w:ind w:firstLine="420" w:firstLineChars="200"/>
        <w:rPr>
          <w:rFonts w:hint="eastAsia"/>
          <w:color w:val="auto"/>
          <w:szCs w:val="21"/>
          <w:highlight w:val="none"/>
        </w:rPr>
      </w:pPr>
      <w:r>
        <w:rPr>
          <w:rFonts w:hint="eastAsia"/>
          <w:color w:val="auto"/>
          <w:szCs w:val="21"/>
          <w:highlight w:val="none"/>
        </w:rPr>
        <w:t>3、</w:t>
      </w:r>
      <w:r>
        <w:rPr>
          <w:color w:val="auto"/>
          <w:szCs w:val="21"/>
          <w:highlight w:val="none"/>
        </w:rPr>
        <w:t>乙方向甲方承诺</w:t>
      </w:r>
      <w:r>
        <w:rPr>
          <w:rFonts w:hint="eastAsia"/>
          <w:color w:val="auto"/>
          <w:szCs w:val="21"/>
          <w:highlight w:val="none"/>
        </w:rPr>
        <w:t>，按照投标文件内所报</w:t>
      </w:r>
      <w:r>
        <w:rPr>
          <w:rFonts w:hint="eastAsia" w:ascii="宋体" w:hAnsi="宋体" w:cs="宋体"/>
          <w:b/>
          <w:bCs/>
          <w:color w:val="auto"/>
          <w:szCs w:val="21"/>
          <w:highlight w:val="none"/>
        </w:rPr>
        <w:t>定价系数计算</w:t>
      </w:r>
      <w:r>
        <w:rPr>
          <w:rFonts w:hint="eastAsia"/>
          <w:color w:val="auto"/>
          <w:szCs w:val="21"/>
          <w:highlight w:val="none"/>
        </w:rPr>
        <w:t>保险费用：</w:t>
      </w:r>
    </w:p>
    <w:p w14:paraId="3212F398">
      <w:pPr>
        <w:spacing w:line="460" w:lineRule="exact"/>
        <w:ind w:left="400"/>
        <w:rPr>
          <w:rFonts w:hint="eastAsia" w:ascii="宋体" w:hAnsi="宋体"/>
          <w:color w:val="auto"/>
          <w:szCs w:val="21"/>
          <w:highlight w:val="none"/>
        </w:rPr>
      </w:pPr>
      <w:r>
        <w:rPr>
          <w:rFonts w:hint="eastAsia" w:ascii="宋体" w:hAnsi="宋体"/>
          <w:color w:val="auto"/>
          <w:szCs w:val="21"/>
          <w:highlight w:val="none"/>
        </w:rPr>
        <w:t>中标合同价报价系数：商业险自主定价系数大写：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806D53B">
      <w:pPr>
        <w:spacing w:line="460" w:lineRule="exact"/>
        <w:ind w:firstLine="2520" w:firstLineChars="1200"/>
        <w:rPr>
          <w:rFonts w:hint="eastAsia"/>
          <w:color w:val="auto"/>
          <w:szCs w:val="21"/>
          <w:highlight w:val="none"/>
        </w:rPr>
      </w:pPr>
      <w:r>
        <w:rPr>
          <w:rFonts w:hint="eastAsia" w:ascii="宋体" w:hAnsi="宋体"/>
          <w:color w:val="auto"/>
          <w:szCs w:val="21"/>
          <w:highlight w:val="none"/>
        </w:rPr>
        <w:t>商业险自主定价系数小写：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color w:val="auto"/>
          <w:szCs w:val="21"/>
          <w:highlight w:val="none"/>
        </w:rPr>
        <w:t xml:space="preserve">                      </w:t>
      </w:r>
    </w:p>
    <w:p w14:paraId="642E71A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在参保车辆的保险责任期内，若承保人的保险政策发生变动，</w:t>
      </w:r>
      <w:r>
        <w:rPr>
          <w:rFonts w:hint="eastAsia" w:ascii="宋体" w:hAnsi="宋体"/>
          <w:color w:val="auto"/>
          <w:szCs w:val="21"/>
          <w:highlight w:val="none"/>
        </w:rPr>
        <w:t>乙方</w:t>
      </w:r>
      <w:r>
        <w:rPr>
          <w:rFonts w:ascii="宋体" w:hAnsi="宋体"/>
          <w:color w:val="auto"/>
          <w:szCs w:val="21"/>
          <w:highlight w:val="none"/>
        </w:rPr>
        <w:t>应及时以书面形式通知</w:t>
      </w:r>
      <w:r>
        <w:rPr>
          <w:rFonts w:hint="eastAsia" w:ascii="宋体" w:hAnsi="宋体"/>
          <w:color w:val="auto"/>
          <w:szCs w:val="21"/>
          <w:highlight w:val="none"/>
        </w:rPr>
        <w:t>采购人</w:t>
      </w:r>
      <w:r>
        <w:rPr>
          <w:rFonts w:ascii="宋体" w:hAnsi="宋体"/>
          <w:color w:val="auto"/>
          <w:szCs w:val="21"/>
          <w:highlight w:val="none"/>
        </w:rPr>
        <w:t>，投保人有权享受其优惠政策。</w:t>
      </w:r>
    </w:p>
    <w:p w14:paraId="3EDD5C6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5、乙方</w:t>
      </w:r>
      <w:r>
        <w:rPr>
          <w:rFonts w:ascii="宋体" w:hAnsi="宋体"/>
          <w:color w:val="auto"/>
          <w:szCs w:val="21"/>
          <w:highlight w:val="none"/>
        </w:rPr>
        <w:t>必须建立专门的服务机构，指定专人负责，确定地点，形成整套的规章制度和服务体系,为服务对象办理承保、理赔、保费结算、车辆统保信息汇总等业务。</w:t>
      </w:r>
    </w:p>
    <w:p w14:paraId="0374EF5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承保人在保险责任期内，将所承保的有关保费资料统计提交</w:t>
      </w:r>
      <w:r>
        <w:rPr>
          <w:rFonts w:hint="eastAsia" w:ascii="宋体" w:hAnsi="宋体"/>
          <w:color w:val="auto"/>
          <w:szCs w:val="21"/>
          <w:highlight w:val="none"/>
        </w:rPr>
        <w:t>采购人</w:t>
      </w:r>
      <w:r>
        <w:rPr>
          <w:rFonts w:ascii="宋体" w:hAnsi="宋体"/>
          <w:color w:val="auto"/>
          <w:szCs w:val="21"/>
          <w:highlight w:val="none"/>
        </w:rPr>
        <w:t xml:space="preserve">，统计资料包括投保的具体单位、车型、车辆号码、数量、保费总额及理赔情况等。 </w:t>
      </w:r>
    </w:p>
    <w:p w14:paraId="66F2B7A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承保人应接受电话预约投保、业务咨询以及上门接受投保；测算投保车辆的保费并提供保费测算单；投保人根据实际情况选择投保金额，承保人应即时办理车辆保险手续并送交保单和发票，投保人依据</w:t>
      </w:r>
      <w:r>
        <w:rPr>
          <w:rFonts w:hint="eastAsia" w:ascii="宋体" w:hAnsi="宋体"/>
          <w:color w:val="auto"/>
          <w:szCs w:val="21"/>
          <w:highlight w:val="none"/>
        </w:rPr>
        <w:t>实际保费转账</w:t>
      </w:r>
      <w:r>
        <w:rPr>
          <w:rFonts w:ascii="宋体" w:hAnsi="宋体"/>
          <w:color w:val="auto"/>
          <w:szCs w:val="21"/>
          <w:highlight w:val="none"/>
        </w:rPr>
        <w:t>支付保费。</w:t>
      </w:r>
    </w:p>
    <w:p w14:paraId="26FF88AC">
      <w:pPr>
        <w:spacing w:line="460" w:lineRule="exact"/>
        <w:ind w:firstLine="422" w:firstLineChars="200"/>
        <w:rPr>
          <w:rFonts w:hint="eastAsia" w:ascii="宋体" w:hAnsi="宋体"/>
          <w:b/>
          <w:color w:val="auto"/>
          <w:szCs w:val="21"/>
          <w:highlight w:val="none"/>
        </w:rPr>
      </w:pPr>
      <w:r>
        <w:rPr>
          <w:rFonts w:hint="eastAsia" w:ascii="宋体" w:hAnsi="宋体"/>
          <w:b/>
          <w:bCs/>
          <w:color w:val="auto"/>
          <w:szCs w:val="21"/>
          <w:highlight w:val="none"/>
        </w:rPr>
        <w:t xml:space="preserve">第五条 </w:t>
      </w:r>
      <w:r>
        <w:rPr>
          <w:rFonts w:hint="eastAsia" w:ascii="宋体" w:hAnsi="宋体"/>
          <w:b/>
          <w:color w:val="auto"/>
          <w:szCs w:val="21"/>
          <w:highlight w:val="none"/>
        </w:rPr>
        <w:t>付款方式：依据见费出单的规定，本项目按每月实际出单保险费用全额支付。</w:t>
      </w:r>
    </w:p>
    <w:p w14:paraId="4C5B1F32">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第六条  双方的权利和义务</w:t>
      </w:r>
    </w:p>
    <w:p w14:paraId="2D59ADC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1、采购人（参保单位）</w:t>
      </w:r>
      <w:r>
        <w:rPr>
          <w:rFonts w:ascii="宋体" w:hAnsi="宋体"/>
          <w:color w:val="auto"/>
          <w:szCs w:val="21"/>
          <w:highlight w:val="none"/>
        </w:rPr>
        <w:t>的权利和义务</w:t>
      </w:r>
    </w:p>
    <w:p w14:paraId="018183B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（1）采购人</w:t>
      </w:r>
      <w:r>
        <w:rPr>
          <w:rFonts w:ascii="宋体" w:hAnsi="宋体"/>
          <w:color w:val="auto"/>
          <w:szCs w:val="21"/>
          <w:highlight w:val="none"/>
        </w:rPr>
        <w:t>有权</w:t>
      </w:r>
      <w:r>
        <w:rPr>
          <w:rFonts w:hint="eastAsia" w:ascii="宋体" w:hAnsi="宋体"/>
          <w:color w:val="auto"/>
          <w:szCs w:val="21"/>
          <w:highlight w:val="none"/>
        </w:rPr>
        <w:t>按照</w:t>
      </w:r>
      <w:r>
        <w:rPr>
          <w:rFonts w:ascii="宋体" w:hAnsi="宋体"/>
          <w:color w:val="auto"/>
          <w:szCs w:val="21"/>
          <w:highlight w:val="none"/>
        </w:rPr>
        <w:t>交易文件、合同、</w:t>
      </w:r>
      <w:r>
        <w:rPr>
          <w:rFonts w:hint="eastAsia" w:ascii="宋体" w:hAnsi="宋体"/>
          <w:color w:val="auto"/>
          <w:szCs w:val="21"/>
          <w:highlight w:val="none"/>
        </w:rPr>
        <w:t>供应商</w:t>
      </w:r>
      <w:r>
        <w:rPr>
          <w:rFonts w:ascii="宋体" w:hAnsi="宋体"/>
          <w:color w:val="auto"/>
          <w:szCs w:val="21"/>
          <w:highlight w:val="none"/>
        </w:rPr>
        <w:t>的</w:t>
      </w:r>
      <w:r>
        <w:rPr>
          <w:rFonts w:hint="eastAsia" w:ascii="宋体" w:hAnsi="宋体"/>
          <w:color w:val="auto"/>
          <w:szCs w:val="21"/>
          <w:highlight w:val="none"/>
        </w:rPr>
        <w:t>投</w:t>
      </w:r>
      <w:r>
        <w:rPr>
          <w:rFonts w:ascii="宋体" w:hAnsi="宋体"/>
          <w:color w:val="auto"/>
          <w:szCs w:val="21"/>
          <w:highlight w:val="none"/>
        </w:rPr>
        <w:t>标资料（响应文件）及</w:t>
      </w:r>
      <w:r>
        <w:rPr>
          <w:rFonts w:hint="eastAsia" w:ascii="宋体" w:hAnsi="宋体"/>
          <w:color w:val="auto"/>
          <w:szCs w:val="21"/>
          <w:highlight w:val="none"/>
        </w:rPr>
        <w:t>服务</w:t>
      </w:r>
      <w:r>
        <w:rPr>
          <w:rFonts w:ascii="宋体" w:hAnsi="宋体"/>
          <w:color w:val="auto"/>
          <w:szCs w:val="21"/>
          <w:highlight w:val="none"/>
        </w:rPr>
        <w:t>承诺</w:t>
      </w:r>
      <w:r>
        <w:rPr>
          <w:rFonts w:hint="eastAsia" w:ascii="宋体" w:hAnsi="宋体"/>
          <w:color w:val="auto"/>
          <w:szCs w:val="21"/>
          <w:highlight w:val="none"/>
        </w:rPr>
        <w:t>来对供应商</w:t>
      </w:r>
      <w:r>
        <w:rPr>
          <w:rFonts w:ascii="宋体" w:hAnsi="宋体"/>
          <w:color w:val="auto"/>
          <w:szCs w:val="21"/>
          <w:highlight w:val="none"/>
        </w:rPr>
        <w:t>进行日常考核</w:t>
      </w:r>
      <w:r>
        <w:rPr>
          <w:rFonts w:hint="eastAsia" w:ascii="宋体" w:hAnsi="宋体"/>
          <w:color w:val="auto"/>
          <w:szCs w:val="21"/>
          <w:highlight w:val="none"/>
        </w:rPr>
        <w:t>、</w:t>
      </w:r>
      <w:r>
        <w:rPr>
          <w:rFonts w:ascii="宋体" w:hAnsi="宋体"/>
          <w:color w:val="auto"/>
          <w:szCs w:val="21"/>
          <w:highlight w:val="none"/>
        </w:rPr>
        <w:t>监督检查和管理，</w:t>
      </w:r>
      <w:r>
        <w:rPr>
          <w:rFonts w:hint="eastAsia" w:ascii="宋体" w:hAnsi="宋体"/>
          <w:color w:val="auto"/>
          <w:szCs w:val="21"/>
          <w:highlight w:val="none"/>
        </w:rPr>
        <w:t>并</w:t>
      </w:r>
      <w:r>
        <w:rPr>
          <w:rFonts w:ascii="宋体" w:hAnsi="宋体"/>
          <w:color w:val="auto"/>
          <w:szCs w:val="21"/>
          <w:highlight w:val="none"/>
        </w:rPr>
        <w:t>建立退出递补机制；</w:t>
      </w:r>
    </w:p>
    <w:p w14:paraId="125B6BC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（2）参保单位</w:t>
      </w:r>
      <w:r>
        <w:rPr>
          <w:rFonts w:ascii="宋体" w:hAnsi="宋体"/>
          <w:color w:val="auto"/>
          <w:szCs w:val="21"/>
          <w:highlight w:val="none"/>
        </w:rPr>
        <w:t>有权要求</w:t>
      </w:r>
      <w:r>
        <w:rPr>
          <w:rFonts w:hint="eastAsia" w:ascii="宋体" w:hAnsi="宋体"/>
          <w:color w:val="auto"/>
          <w:szCs w:val="21"/>
          <w:highlight w:val="none"/>
        </w:rPr>
        <w:t>供应商</w:t>
      </w:r>
      <w:r>
        <w:rPr>
          <w:rFonts w:ascii="宋体" w:hAnsi="宋体"/>
          <w:color w:val="auto"/>
          <w:szCs w:val="21"/>
          <w:highlight w:val="none"/>
        </w:rPr>
        <w:t>提供</w:t>
      </w:r>
      <w:r>
        <w:rPr>
          <w:rFonts w:hint="eastAsia" w:ascii="宋体" w:hAnsi="宋体"/>
          <w:color w:val="auto"/>
          <w:szCs w:val="21"/>
          <w:highlight w:val="none"/>
        </w:rPr>
        <w:t>保险</w:t>
      </w:r>
      <w:r>
        <w:rPr>
          <w:rFonts w:ascii="宋体" w:hAnsi="宋体"/>
          <w:color w:val="auto"/>
          <w:szCs w:val="21"/>
          <w:highlight w:val="none"/>
        </w:rPr>
        <w:t>服务产品的</w:t>
      </w:r>
      <w:r>
        <w:rPr>
          <w:rFonts w:hint="eastAsia" w:ascii="宋体" w:hAnsi="宋体"/>
          <w:color w:val="auto"/>
          <w:szCs w:val="21"/>
          <w:highlight w:val="none"/>
        </w:rPr>
        <w:t>正规</w:t>
      </w:r>
      <w:r>
        <w:rPr>
          <w:rFonts w:ascii="宋体" w:hAnsi="宋体"/>
          <w:color w:val="auto"/>
          <w:szCs w:val="21"/>
          <w:highlight w:val="none"/>
        </w:rPr>
        <w:t>发票</w:t>
      </w:r>
      <w:r>
        <w:rPr>
          <w:rFonts w:hint="eastAsia" w:ascii="宋体" w:hAnsi="宋体"/>
          <w:color w:val="auto"/>
          <w:szCs w:val="21"/>
          <w:highlight w:val="none"/>
        </w:rPr>
        <w:t>；</w:t>
      </w:r>
    </w:p>
    <w:p w14:paraId="0E2E55A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（3）采购人有权根据</w:t>
      </w:r>
      <w:r>
        <w:rPr>
          <w:rFonts w:ascii="宋体" w:hAnsi="宋体"/>
          <w:color w:val="auto"/>
          <w:szCs w:val="21"/>
          <w:highlight w:val="none"/>
        </w:rPr>
        <w:t>乙方业务开展和履行合同情况，在市级政府采购网或其他媒体上公布</w:t>
      </w:r>
      <w:r>
        <w:rPr>
          <w:rFonts w:hint="eastAsia" w:ascii="宋体" w:hAnsi="宋体"/>
          <w:color w:val="auto"/>
          <w:szCs w:val="21"/>
          <w:highlight w:val="none"/>
        </w:rPr>
        <w:t>；</w:t>
      </w:r>
    </w:p>
    <w:p w14:paraId="62FDF02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（4）若</w:t>
      </w:r>
      <w:r>
        <w:rPr>
          <w:rFonts w:ascii="宋体" w:hAnsi="宋体"/>
          <w:color w:val="auto"/>
          <w:szCs w:val="21"/>
          <w:highlight w:val="none"/>
        </w:rPr>
        <w:t>国家政策</w:t>
      </w:r>
      <w:r>
        <w:rPr>
          <w:rFonts w:hint="eastAsia" w:ascii="宋体" w:hAnsi="宋体"/>
          <w:color w:val="auto"/>
          <w:szCs w:val="21"/>
          <w:highlight w:val="none"/>
        </w:rPr>
        <w:t>和</w:t>
      </w:r>
      <w:r>
        <w:rPr>
          <w:rFonts w:ascii="宋体" w:hAnsi="宋体"/>
          <w:color w:val="auto"/>
          <w:szCs w:val="21"/>
          <w:highlight w:val="none"/>
        </w:rPr>
        <w:t>地方规定</w:t>
      </w:r>
      <w:r>
        <w:rPr>
          <w:rFonts w:hint="eastAsia" w:ascii="宋体" w:hAnsi="宋体"/>
          <w:color w:val="auto"/>
          <w:szCs w:val="21"/>
          <w:highlight w:val="none"/>
        </w:rPr>
        <w:t>发生</w:t>
      </w:r>
      <w:r>
        <w:rPr>
          <w:rFonts w:ascii="宋体" w:hAnsi="宋体"/>
          <w:color w:val="auto"/>
          <w:szCs w:val="21"/>
          <w:highlight w:val="none"/>
        </w:rPr>
        <w:t>变化，</w:t>
      </w:r>
      <w:r>
        <w:rPr>
          <w:rFonts w:hint="eastAsia" w:ascii="宋体" w:hAnsi="宋体"/>
          <w:color w:val="auto"/>
          <w:szCs w:val="21"/>
          <w:highlight w:val="none"/>
        </w:rPr>
        <w:t>参保单位</w:t>
      </w:r>
      <w:r>
        <w:rPr>
          <w:rFonts w:ascii="宋体" w:hAnsi="宋体"/>
          <w:color w:val="auto"/>
          <w:szCs w:val="21"/>
          <w:highlight w:val="none"/>
        </w:rPr>
        <w:t>有权</w:t>
      </w:r>
      <w:r>
        <w:rPr>
          <w:rFonts w:hint="eastAsia" w:ascii="宋体" w:hAnsi="宋体"/>
          <w:color w:val="auto"/>
          <w:szCs w:val="21"/>
          <w:highlight w:val="none"/>
        </w:rPr>
        <w:t>根据</w:t>
      </w:r>
      <w:r>
        <w:rPr>
          <w:rFonts w:ascii="宋体" w:hAnsi="宋体"/>
          <w:color w:val="auto"/>
          <w:szCs w:val="21"/>
          <w:highlight w:val="none"/>
        </w:rPr>
        <w:t>实际情况</w:t>
      </w:r>
      <w:r>
        <w:rPr>
          <w:rFonts w:hint="eastAsia" w:ascii="宋体" w:hAnsi="宋体"/>
          <w:color w:val="auto"/>
          <w:szCs w:val="21"/>
          <w:highlight w:val="none"/>
        </w:rPr>
        <w:t>要求供应商</w:t>
      </w:r>
      <w:r>
        <w:rPr>
          <w:rFonts w:ascii="宋体" w:hAnsi="宋体"/>
          <w:color w:val="auto"/>
          <w:szCs w:val="21"/>
          <w:highlight w:val="none"/>
        </w:rPr>
        <w:t>调整</w:t>
      </w:r>
      <w:r>
        <w:rPr>
          <w:rFonts w:hint="eastAsia" w:ascii="宋体" w:hAnsi="宋体"/>
          <w:color w:val="auto"/>
          <w:szCs w:val="21"/>
          <w:highlight w:val="none"/>
        </w:rPr>
        <w:t>保险</w:t>
      </w:r>
      <w:r>
        <w:rPr>
          <w:rFonts w:ascii="宋体" w:hAnsi="宋体"/>
          <w:color w:val="auto"/>
          <w:szCs w:val="21"/>
          <w:highlight w:val="none"/>
        </w:rPr>
        <w:t>服务产品的价格</w:t>
      </w:r>
      <w:r>
        <w:rPr>
          <w:rFonts w:hint="eastAsia" w:ascii="宋体" w:hAnsi="宋体"/>
          <w:color w:val="auto"/>
          <w:szCs w:val="21"/>
          <w:highlight w:val="none"/>
        </w:rPr>
        <w:t>；</w:t>
      </w:r>
    </w:p>
    <w:p w14:paraId="6FF7210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（5）参保单位</w:t>
      </w:r>
      <w:r>
        <w:rPr>
          <w:rFonts w:ascii="宋体" w:hAnsi="宋体"/>
          <w:color w:val="auto"/>
          <w:szCs w:val="21"/>
          <w:highlight w:val="none"/>
        </w:rPr>
        <w:t>有权要求</w:t>
      </w:r>
      <w:r>
        <w:rPr>
          <w:rFonts w:hint="eastAsia" w:ascii="宋体" w:hAnsi="宋体"/>
          <w:color w:val="auto"/>
          <w:szCs w:val="21"/>
          <w:highlight w:val="none"/>
        </w:rPr>
        <w:t>供应商</w:t>
      </w:r>
      <w:r>
        <w:rPr>
          <w:rFonts w:ascii="宋体" w:hAnsi="宋体"/>
          <w:color w:val="auto"/>
          <w:szCs w:val="21"/>
          <w:highlight w:val="none"/>
        </w:rPr>
        <w:t>积极配合所需</w:t>
      </w:r>
      <w:r>
        <w:rPr>
          <w:rFonts w:hint="eastAsia" w:ascii="宋体" w:hAnsi="宋体"/>
          <w:color w:val="auto"/>
          <w:szCs w:val="21"/>
          <w:highlight w:val="none"/>
        </w:rPr>
        <w:t>投</w:t>
      </w:r>
      <w:r>
        <w:rPr>
          <w:rFonts w:ascii="宋体" w:hAnsi="宋体"/>
          <w:color w:val="auto"/>
          <w:szCs w:val="21"/>
          <w:highlight w:val="none"/>
        </w:rPr>
        <w:t>保车辆的入险手续</w:t>
      </w:r>
      <w:r>
        <w:rPr>
          <w:rFonts w:hint="eastAsia" w:ascii="宋体" w:hAnsi="宋体"/>
          <w:color w:val="auto"/>
          <w:szCs w:val="21"/>
          <w:highlight w:val="none"/>
        </w:rPr>
        <w:t>；</w:t>
      </w:r>
    </w:p>
    <w:p w14:paraId="36BDA2F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（6）参保单位有</w:t>
      </w:r>
      <w:r>
        <w:rPr>
          <w:rFonts w:ascii="宋体" w:hAnsi="宋体"/>
          <w:color w:val="auto"/>
          <w:szCs w:val="21"/>
          <w:highlight w:val="none"/>
        </w:rPr>
        <w:t>按时支付保险费用的义务；</w:t>
      </w:r>
    </w:p>
    <w:p w14:paraId="760B3477">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（7）参保单位有配合供应商办理承保车辆入险手续的义务；</w:t>
      </w:r>
    </w:p>
    <w:p w14:paraId="4B228999">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（8）在合同有效期内，乙方承诺的中标价格为最高限价，参保单位可与乙方在最高限价下进行议价。</w:t>
      </w:r>
    </w:p>
    <w:p w14:paraId="3C742AF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w:t>
      </w:r>
      <w:r>
        <w:rPr>
          <w:rFonts w:ascii="宋体" w:hAnsi="宋体"/>
          <w:color w:val="auto"/>
          <w:szCs w:val="21"/>
          <w:highlight w:val="none"/>
        </w:rPr>
        <w:t>的权利和义务</w:t>
      </w:r>
    </w:p>
    <w:p w14:paraId="7D24E40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（1）供应商</w:t>
      </w:r>
      <w:r>
        <w:rPr>
          <w:rFonts w:ascii="宋体" w:hAnsi="宋体"/>
          <w:color w:val="auto"/>
          <w:szCs w:val="21"/>
          <w:highlight w:val="none"/>
        </w:rPr>
        <w:t>有要求</w:t>
      </w:r>
      <w:r>
        <w:rPr>
          <w:rFonts w:hint="eastAsia" w:ascii="宋体" w:hAnsi="宋体"/>
          <w:color w:val="auto"/>
          <w:szCs w:val="21"/>
          <w:highlight w:val="none"/>
        </w:rPr>
        <w:t>参保单位</w:t>
      </w:r>
      <w:r>
        <w:rPr>
          <w:rFonts w:ascii="宋体" w:hAnsi="宋体"/>
          <w:color w:val="auto"/>
          <w:szCs w:val="21"/>
          <w:highlight w:val="none"/>
        </w:rPr>
        <w:t>按时支付保险服务产品费用的权利；</w:t>
      </w:r>
    </w:p>
    <w:p w14:paraId="693581E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（2）供应商</w:t>
      </w:r>
      <w:r>
        <w:rPr>
          <w:rFonts w:ascii="宋体" w:hAnsi="宋体"/>
          <w:color w:val="auto"/>
          <w:szCs w:val="21"/>
          <w:highlight w:val="none"/>
        </w:rPr>
        <w:t>有要求</w:t>
      </w:r>
      <w:r>
        <w:rPr>
          <w:rFonts w:hint="eastAsia" w:ascii="宋体" w:hAnsi="宋体"/>
          <w:color w:val="auto"/>
          <w:szCs w:val="21"/>
          <w:highlight w:val="none"/>
        </w:rPr>
        <w:t>参保单位提供</w:t>
      </w:r>
      <w:r>
        <w:rPr>
          <w:rFonts w:ascii="宋体" w:hAnsi="宋体"/>
          <w:color w:val="auto"/>
          <w:szCs w:val="21"/>
          <w:highlight w:val="none"/>
        </w:rPr>
        <w:t>办理车辆保险</w:t>
      </w:r>
      <w:r>
        <w:rPr>
          <w:rFonts w:hint="eastAsia" w:ascii="宋体" w:hAnsi="宋体"/>
          <w:color w:val="auto"/>
          <w:szCs w:val="21"/>
          <w:highlight w:val="none"/>
        </w:rPr>
        <w:t>所需材料的</w:t>
      </w:r>
      <w:r>
        <w:rPr>
          <w:rFonts w:ascii="宋体" w:hAnsi="宋体"/>
          <w:color w:val="auto"/>
          <w:szCs w:val="21"/>
          <w:highlight w:val="none"/>
        </w:rPr>
        <w:t>权利；</w:t>
      </w:r>
    </w:p>
    <w:p w14:paraId="36BB461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（3）供应商</w:t>
      </w:r>
      <w:r>
        <w:rPr>
          <w:rFonts w:ascii="宋体" w:hAnsi="宋体"/>
          <w:color w:val="auto"/>
          <w:szCs w:val="21"/>
          <w:highlight w:val="none"/>
        </w:rPr>
        <w:t>有履行交易文件、合同、投标资料（</w:t>
      </w:r>
      <w:r>
        <w:rPr>
          <w:rFonts w:hint="eastAsia" w:ascii="宋体" w:hAnsi="宋体"/>
          <w:color w:val="auto"/>
          <w:szCs w:val="21"/>
          <w:highlight w:val="none"/>
        </w:rPr>
        <w:t>响应</w:t>
      </w:r>
      <w:r>
        <w:rPr>
          <w:rFonts w:ascii="宋体" w:hAnsi="宋体"/>
          <w:color w:val="auto"/>
          <w:szCs w:val="21"/>
          <w:highlight w:val="none"/>
        </w:rPr>
        <w:t>文件）</w:t>
      </w:r>
      <w:r>
        <w:rPr>
          <w:rFonts w:hint="eastAsia" w:ascii="宋体" w:hAnsi="宋体"/>
          <w:color w:val="auto"/>
          <w:szCs w:val="21"/>
          <w:highlight w:val="none"/>
        </w:rPr>
        <w:t>及</w:t>
      </w:r>
      <w:r>
        <w:rPr>
          <w:rFonts w:ascii="宋体" w:hAnsi="宋体"/>
          <w:color w:val="auto"/>
          <w:szCs w:val="21"/>
          <w:highlight w:val="none"/>
        </w:rPr>
        <w:t>服务承诺的义务；</w:t>
      </w:r>
    </w:p>
    <w:p w14:paraId="48BB6DC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（4）供应商</w:t>
      </w:r>
      <w:r>
        <w:rPr>
          <w:rFonts w:ascii="宋体" w:hAnsi="宋体"/>
          <w:color w:val="auto"/>
          <w:szCs w:val="21"/>
          <w:highlight w:val="none"/>
        </w:rPr>
        <w:t>有</w:t>
      </w:r>
      <w:r>
        <w:rPr>
          <w:rFonts w:hint="eastAsia" w:ascii="宋体" w:hAnsi="宋体"/>
          <w:color w:val="auto"/>
          <w:szCs w:val="21"/>
          <w:highlight w:val="none"/>
        </w:rPr>
        <w:t>接受参保单位</w:t>
      </w:r>
      <w:r>
        <w:rPr>
          <w:rFonts w:ascii="宋体" w:hAnsi="宋体"/>
          <w:color w:val="auto"/>
          <w:szCs w:val="21"/>
          <w:highlight w:val="none"/>
        </w:rPr>
        <w:t>监督，并积极配合包括但不限于车辆</w:t>
      </w:r>
      <w:r>
        <w:rPr>
          <w:rFonts w:hint="eastAsia" w:ascii="宋体" w:hAnsi="宋体"/>
          <w:color w:val="auto"/>
          <w:szCs w:val="21"/>
          <w:highlight w:val="none"/>
        </w:rPr>
        <w:t>入险</w:t>
      </w:r>
      <w:r>
        <w:rPr>
          <w:rFonts w:ascii="宋体" w:hAnsi="宋体"/>
          <w:color w:val="auto"/>
          <w:szCs w:val="21"/>
          <w:highlight w:val="none"/>
        </w:rPr>
        <w:t>等</w:t>
      </w:r>
      <w:r>
        <w:rPr>
          <w:rFonts w:hint="eastAsia" w:ascii="宋体" w:hAnsi="宋体"/>
          <w:color w:val="auto"/>
          <w:szCs w:val="21"/>
          <w:highlight w:val="none"/>
        </w:rPr>
        <w:t>的</w:t>
      </w:r>
      <w:r>
        <w:rPr>
          <w:rFonts w:ascii="宋体" w:hAnsi="宋体"/>
          <w:color w:val="auto"/>
          <w:szCs w:val="21"/>
          <w:highlight w:val="none"/>
        </w:rPr>
        <w:t>义务。</w:t>
      </w:r>
    </w:p>
    <w:p w14:paraId="6CEA99C1">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第七条  违约处罚</w:t>
      </w:r>
    </w:p>
    <w:p w14:paraId="01A678E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1、如果在参保单位发出车辆事故报案后1天内，供应商未能采取处理措施，参保单位有权要求乙方赔偿相应损失，并可单方终止合同；</w:t>
      </w:r>
    </w:p>
    <w:p w14:paraId="2FBA2BA0">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2、如果乙方遇到特大事故不能及时处理，应及时以书面形式将不能及时处理的理由、延误时间通知参保单位；</w:t>
      </w:r>
    </w:p>
    <w:p w14:paraId="43C5405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3、如果参保单位不能按照合同约定时间及时支付价款，乙方有权要求终止合同；</w:t>
      </w:r>
    </w:p>
    <w:p w14:paraId="0599330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kern w:val="0"/>
          <w:szCs w:val="21"/>
          <w:highlight w:val="none"/>
        </w:rPr>
        <w:t>参保单位对乙方进行投诉的，对于投诉达到三次（含三次）的或乙方出现违反本合同约定情况的，甲方均有权要求乙方进行整改或单方解除合同，乙方因违约行为给各参保单位造成的损失还应承担相应赔偿责任。</w:t>
      </w:r>
    </w:p>
    <w:p w14:paraId="324C1967">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第八条 合同争议的解决  </w:t>
      </w:r>
    </w:p>
    <w:p w14:paraId="39CC5FDE">
      <w:pPr>
        <w:spacing w:line="4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本合同履行过程中发生的争议，双方当事人均可通过和解或者调解解决；不愿和解、调解或者和解、调解不成的，可以向滁州市人民法院起诉解决。</w:t>
      </w:r>
    </w:p>
    <w:p w14:paraId="71FA989C">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第九条  其他服务要求</w:t>
      </w:r>
    </w:p>
    <w:p w14:paraId="68D47D4A">
      <w:pPr>
        <w:spacing w:line="460" w:lineRule="exact"/>
        <w:ind w:firstLine="342" w:firstLineChars="163"/>
        <w:rPr>
          <w:rFonts w:hint="eastAsia" w:ascii="宋体" w:hAnsi="宋体" w:cs="宋体"/>
          <w:bCs/>
          <w:color w:val="auto"/>
          <w:szCs w:val="21"/>
          <w:highlight w:val="none"/>
        </w:rPr>
      </w:pPr>
      <w:r>
        <w:rPr>
          <w:rFonts w:hint="eastAsia" w:ascii="宋体" w:hAnsi="宋体" w:cs="宋体"/>
          <w:bCs/>
          <w:color w:val="auto"/>
          <w:szCs w:val="21"/>
          <w:highlight w:val="none"/>
        </w:rPr>
        <w:t>1、保险车辆涉及事故处理的损失赔偿、施救费、招标代理费、评审费等所有相关费用均应由承担责任的保险公司支付，车辆恢复的零部件必须使用原车辆的正厂配套件。</w:t>
      </w:r>
    </w:p>
    <w:p w14:paraId="6B4D2C10">
      <w:pPr>
        <w:spacing w:line="460" w:lineRule="exact"/>
        <w:ind w:firstLine="342" w:firstLineChars="163"/>
        <w:rPr>
          <w:rFonts w:hint="eastAsia" w:ascii="宋体" w:hAnsi="宋体" w:cs="宋体"/>
          <w:bCs/>
          <w:color w:val="auto"/>
          <w:szCs w:val="21"/>
          <w:highlight w:val="none"/>
        </w:rPr>
      </w:pPr>
      <w:r>
        <w:rPr>
          <w:rFonts w:hint="eastAsia" w:ascii="宋体" w:hAnsi="宋体" w:cs="宋体"/>
          <w:bCs/>
          <w:color w:val="auto"/>
          <w:szCs w:val="21"/>
          <w:highlight w:val="none"/>
        </w:rPr>
        <w:t>2、供应商必须在计算承诺服务项目必要费用的基础上，对上述要求产生的费用，在投标报价中进行考虑，并对此承担全部责任。</w:t>
      </w:r>
    </w:p>
    <w:p w14:paraId="250E7D37">
      <w:pPr>
        <w:spacing w:line="460" w:lineRule="exact"/>
        <w:ind w:firstLine="342" w:firstLineChars="163"/>
        <w:rPr>
          <w:rFonts w:hint="eastAsia" w:ascii="宋体" w:hAnsi="宋体"/>
          <w:color w:val="auto"/>
          <w:szCs w:val="21"/>
          <w:highlight w:val="none"/>
        </w:rPr>
      </w:pPr>
      <w:r>
        <w:rPr>
          <w:rFonts w:hint="eastAsia" w:ascii="宋体" w:hAnsi="宋体"/>
          <w:color w:val="auto"/>
          <w:szCs w:val="21"/>
          <w:highlight w:val="none"/>
        </w:rPr>
        <w:t>3、定损和修理厂的确定，一般应选择4S店或采购人指定的公务车辆定点维修企业。</w:t>
      </w:r>
    </w:p>
    <w:p w14:paraId="0FA7CC6C">
      <w:pPr>
        <w:spacing w:line="460" w:lineRule="exact"/>
        <w:ind w:firstLine="342" w:firstLineChars="163"/>
        <w:rPr>
          <w:rFonts w:hint="eastAsia" w:ascii="宋体" w:hAnsi="宋体"/>
          <w:color w:val="auto"/>
          <w:szCs w:val="21"/>
          <w:highlight w:val="none"/>
        </w:rPr>
      </w:pPr>
      <w:r>
        <w:rPr>
          <w:rFonts w:hint="eastAsia" w:ascii="宋体" w:hAnsi="宋体"/>
          <w:color w:val="auto"/>
          <w:szCs w:val="21"/>
          <w:highlight w:val="none"/>
        </w:rPr>
        <w:t>4、如甲方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供应商不得以任何借口和方式加以拒绝。</w:t>
      </w:r>
    </w:p>
    <w:p w14:paraId="11251974">
      <w:pPr>
        <w:spacing w:line="460" w:lineRule="exact"/>
        <w:ind w:firstLine="420" w:firstLineChars="200"/>
        <w:rPr>
          <w:rFonts w:ascii="宋体" w:hAnsi="宋体"/>
          <w:color w:val="auto"/>
          <w:szCs w:val="21"/>
          <w:highlight w:val="none"/>
        </w:rPr>
      </w:pPr>
      <w:r>
        <w:rPr>
          <w:rFonts w:hint="eastAsia" w:ascii="宋体" w:hAnsi="宋体" w:cs="宋体"/>
          <w:bCs/>
          <w:color w:val="auto"/>
          <w:szCs w:val="21"/>
          <w:highlight w:val="none"/>
        </w:rPr>
        <w:t>5、其他服务要求：详见“保险条款”、“服务承诺”等。</w:t>
      </w:r>
    </w:p>
    <w:p w14:paraId="680D6F37">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第十条  理赔</w:t>
      </w:r>
    </w:p>
    <w:p w14:paraId="1CC39E77">
      <w:pPr>
        <w:spacing w:line="460" w:lineRule="exact"/>
        <w:ind w:firstLine="420" w:firstLineChars="200"/>
        <w:rPr>
          <w:rFonts w:ascii="宋体" w:hAnsi="宋体"/>
          <w:color w:val="auto"/>
          <w:szCs w:val="21"/>
          <w:highlight w:val="none"/>
        </w:rPr>
      </w:pPr>
      <w:bookmarkStart w:id="71" w:name="_Toc42086312"/>
      <w:r>
        <w:rPr>
          <w:rFonts w:hint="eastAsia" w:ascii="宋体" w:hAnsi="宋体"/>
          <w:color w:val="auto"/>
          <w:szCs w:val="21"/>
          <w:highlight w:val="none"/>
        </w:rPr>
        <w:t>（一）出险报案</w:t>
      </w:r>
      <w:bookmarkEnd w:id="71"/>
    </w:p>
    <w:p w14:paraId="69197F3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中标单位需为本项目被保险单位提供二种报案方式：</w:t>
      </w:r>
    </w:p>
    <w:p w14:paraId="51AFB6A1">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①服务专线提供24小时×365天接报案服务，在全国范围内开通的保险服务专线电话，客户可在全国各地任何地点拨打专线客服将帮助客户迅速完成报案理赔等工作、并负责对客户索赔提供指导。</w:t>
      </w:r>
    </w:p>
    <w:p w14:paraId="5C8F6CA8">
      <w:pPr>
        <w:pStyle w:val="5"/>
        <w:spacing w:before="0" w:after="0" w:line="460" w:lineRule="exact"/>
        <w:ind w:firstLine="420" w:firstLineChars="200"/>
        <w:rPr>
          <w:rFonts w:hint="eastAsia" w:ascii="宋体" w:hAnsi="宋体" w:eastAsia="宋体"/>
          <w:b w:val="0"/>
          <w:bCs w:val="0"/>
          <w:color w:val="auto"/>
          <w:kern w:val="2"/>
          <w:sz w:val="21"/>
          <w:szCs w:val="21"/>
          <w:highlight w:val="none"/>
        </w:rPr>
      </w:pPr>
      <w:r>
        <w:rPr>
          <w:rFonts w:hint="eastAsia" w:ascii="宋体" w:hAnsi="宋体" w:eastAsia="宋体"/>
          <w:b w:val="0"/>
          <w:bCs w:val="0"/>
          <w:color w:val="auto"/>
          <w:kern w:val="2"/>
          <w:sz w:val="21"/>
          <w:szCs w:val="21"/>
          <w:highlight w:val="none"/>
        </w:rPr>
        <w:t>②被保险人报案后，受理报案的人员将按VIP客户服务标准处理报案。接报案人员进行报案处理后立即通知事故发生地的调度人员进行案件的调度、理赔处理等。</w:t>
      </w:r>
    </w:p>
    <w:p w14:paraId="402C013A">
      <w:pPr>
        <w:numPr>
          <w:ilvl w:val="0"/>
          <w:numId w:val="10"/>
        </w:numPr>
        <w:spacing w:line="460" w:lineRule="exact"/>
        <w:ind w:firstLine="420" w:firstLineChars="200"/>
        <w:rPr>
          <w:rFonts w:hint="eastAsia"/>
          <w:color w:val="auto"/>
          <w:szCs w:val="21"/>
          <w:highlight w:val="none"/>
        </w:rPr>
      </w:pPr>
      <w:bookmarkStart w:id="72" w:name="_Toc340927742"/>
      <w:bookmarkStart w:id="73" w:name="_Toc445365195"/>
      <w:bookmarkStart w:id="74" w:name="_Toc462750694"/>
      <w:bookmarkStart w:id="75" w:name="_Toc440308773"/>
      <w:bookmarkStart w:id="76" w:name="_Toc449087604"/>
      <w:bookmarkStart w:id="77" w:name="_Toc448478464"/>
      <w:bookmarkStart w:id="78" w:name="_Toc340930804"/>
      <w:bookmarkStart w:id="79" w:name="_Toc26812967"/>
      <w:bookmarkStart w:id="80" w:name="_Toc407357260"/>
      <w:bookmarkStart w:id="81" w:name="_Toc42086313"/>
      <w:r>
        <w:rPr>
          <w:rFonts w:hint="eastAsia" w:ascii="宋体" w:hAnsi="宋体"/>
          <w:color w:val="auto"/>
          <w:szCs w:val="21"/>
          <w:highlight w:val="none"/>
        </w:rPr>
        <w:t>查勘</w:t>
      </w:r>
      <w:bookmarkEnd w:id="72"/>
      <w:bookmarkEnd w:id="73"/>
      <w:bookmarkEnd w:id="74"/>
      <w:bookmarkEnd w:id="75"/>
      <w:bookmarkEnd w:id="76"/>
      <w:bookmarkEnd w:id="77"/>
      <w:bookmarkEnd w:id="78"/>
      <w:bookmarkEnd w:id="79"/>
      <w:bookmarkEnd w:id="80"/>
      <w:r>
        <w:rPr>
          <w:rFonts w:hint="eastAsia" w:ascii="宋体" w:hAnsi="宋体"/>
          <w:color w:val="auto"/>
          <w:szCs w:val="21"/>
          <w:highlight w:val="none"/>
        </w:rPr>
        <w:t>方案及服务承诺</w:t>
      </w:r>
      <w:bookmarkEnd w:id="81"/>
    </w:p>
    <w:p w14:paraId="66A2281E">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查勘定损人员实行全天候、24小时服务，查勘定损人员接到查勘指令后会积极与客户取得联系，在规定的时间内到达现场或向客户明确到达时间。不能按时到达的，在规定或约定的时间前主动联系客户，说明情况。</w:t>
      </w:r>
    </w:p>
    <w:p w14:paraId="2BD504FB">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事故地点在县外的，乙方应及时直接派人前去或委托当地本系统保险公司或当地分支机构查勘；并派专人全程协助被保险单位就近办理相关的理赔等手续</w:t>
      </w:r>
      <w:bookmarkStart w:id="82" w:name="_Toc42086314"/>
      <w:bookmarkStart w:id="83" w:name="_Toc445365196"/>
      <w:bookmarkStart w:id="84" w:name="_Toc26812968"/>
      <w:bookmarkStart w:id="85" w:name="_Toc440308774"/>
      <w:bookmarkStart w:id="86" w:name="_Toc407357261"/>
      <w:bookmarkStart w:id="87" w:name="_Toc449087605"/>
      <w:bookmarkStart w:id="88" w:name="_Toc448478465"/>
      <w:bookmarkStart w:id="89" w:name="_Toc462750695"/>
      <w:r>
        <w:rPr>
          <w:rFonts w:hint="eastAsia" w:ascii="宋体" w:hAnsi="宋体"/>
          <w:color w:val="auto"/>
          <w:szCs w:val="21"/>
          <w:highlight w:val="none"/>
        </w:rPr>
        <w:t>。</w:t>
      </w:r>
    </w:p>
    <w:p w14:paraId="39771A96">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如乙方无法按照约定时间到达事故现场，将以被保险人提供的现场照片、损失清单、事故说明、修理发票及其他证明材料作为赔付理算依据。查勘人员当时无法拍照的，被保险人可自行进行现场拍照。</w:t>
      </w:r>
    </w:p>
    <w:p w14:paraId="108E074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（三）定损</w:t>
      </w:r>
      <w:bookmarkEnd w:id="82"/>
      <w:bookmarkEnd w:id="83"/>
      <w:bookmarkEnd w:id="84"/>
      <w:bookmarkEnd w:id="85"/>
      <w:bookmarkEnd w:id="86"/>
      <w:bookmarkEnd w:id="87"/>
      <w:bookmarkEnd w:id="88"/>
      <w:bookmarkEnd w:id="89"/>
    </w:p>
    <w:p w14:paraId="4D6A02B1">
      <w:pPr>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准确、合理赔付的服务宗旨，在定损过程中根据损失的具体情况及市场信息，快速及时提出合理的定损方案，并与客户协商达成共识。</w:t>
      </w:r>
    </w:p>
    <w:p w14:paraId="06A0D01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1、施救费用的确定原则：依据出险地物价局确定的标准执行（免费救援项目除外）。</w:t>
      </w:r>
    </w:p>
    <w:p w14:paraId="072D47DB">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2、修理厂家的确定原则：</w:t>
      </w:r>
    </w:p>
    <w:p w14:paraId="6B565E2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①车辆出险后，被保险人可以选择中标单位提供的合作修理厂（含4S店），也可自选资质合格的修理厂（含4S店）修理受损车辆。出险单位选择在自选修理厂（含4S店）进行车辆修理，根据被保险人的要求，中标单位将积极与自选修理厂（含4S店）进行价格商谈，并以最终商定的价格作为定损依据。</w:t>
      </w:r>
    </w:p>
    <w:p w14:paraId="4E33E2AE">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②受损车辆的维修按修复为主原则，但涉及车辆行车安全的关键零部件受损（如：刹车系统、转向系统），中标单位同意予以更换。</w:t>
      </w:r>
    </w:p>
    <w:p w14:paraId="53F05D2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换件的依据及材料质量</w:t>
      </w:r>
    </w:p>
    <w:p w14:paraId="3C57705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根据配件的损坏程度作为更换标准，以修复为主。不能修复或修复后不能达到产品设计标准的配件则必须更换同品牌车辆配件。换件质量由配件采购方予以质量保证，确保其正常使用并按国家法律法规给予相关质量保证。确保车辆安全使用并能达到安全行驶的状态。</w:t>
      </w:r>
    </w:p>
    <w:p w14:paraId="3A1F4BCC">
      <w:pPr>
        <w:spacing w:line="460" w:lineRule="exact"/>
        <w:ind w:firstLine="420" w:firstLineChars="200"/>
        <w:rPr>
          <w:rFonts w:ascii="宋体" w:hAnsi="宋体"/>
          <w:color w:val="auto"/>
          <w:szCs w:val="21"/>
          <w:highlight w:val="none"/>
        </w:rPr>
      </w:pPr>
      <w:bookmarkStart w:id="90" w:name="_Toc42086315"/>
      <w:bookmarkStart w:id="91" w:name="_Toc26812969"/>
      <w:bookmarkStart w:id="92" w:name="_Toc37244524"/>
      <w:bookmarkStart w:id="93" w:name="_Toc462750696"/>
      <w:r>
        <w:rPr>
          <w:rFonts w:hint="eastAsia" w:ascii="宋体" w:hAnsi="宋体"/>
          <w:color w:val="auto"/>
          <w:szCs w:val="21"/>
          <w:highlight w:val="none"/>
        </w:rPr>
        <w:t>（四）</w:t>
      </w:r>
      <w:bookmarkEnd w:id="90"/>
      <w:bookmarkEnd w:id="91"/>
      <w:bookmarkEnd w:id="92"/>
      <w:bookmarkEnd w:id="93"/>
      <w:r>
        <w:rPr>
          <w:rFonts w:hint="eastAsia" w:ascii="宋体" w:hAnsi="宋体"/>
          <w:color w:val="auto"/>
          <w:szCs w:val="21"/>
          <w:highlight w:val="none"/>
        </w:rPr>
        <w:t>理赔及事故处理</w:t>
      </w:r>
    </w:p>
    <w:p w14:paraId="24177836">
      <w:pPr>
        <w:spacing w:line="460" w:lineRule="exact"/>
        <w:ind w:firstLine="420" w:firstLineChars="200"/>
        <w:rPr>
          <w:rFonts w:ascii="宋体" w:hAnsi="宋体"/>
          <w:color w:val="auto"/>
          <w:szCs w:val="21"/>
          <w:highlight w:val="none"/>
        </w:rPr>
      </w:pPr>
      <w:bookmarkStart w:id="94" w:name="_Toc448478467"/>
      <w:bookmarkStart w:id="95" w:name="_Toc449087607"/>
      <w:bookmarkStart w:id="96" w:name="_Toc340930807"/>
      <w:bookmarkStart w:id="97" w:name="_Toc340927745"/>
      <w:bookmarkStart w:id="98" w:name="_Toc407357263"/>
      <w:bookmarkStart w:id="99" w:name="_Toc445365198"/>
      <w:bookmarkStart w:id="100" w:name="_Toc462750697"/>
      <w:bookmarkStart w:id="101" w:name="_Toc440308776"/>
      <w:r>
        <w:rPr>
          <w:rFonts w:hint="eastAsia" w:ascii="宋体" w:hAnsi="宋体"/>
          <w:color w:val="auto"/>
          <w:szCs w:val="21"/>
          <w:highlight w:val="none"/>
        </w:rPr>
        <w:t>1、一般应选择4S店或采购人指定的公务车辆定点维修企业。</w:t>
      </w:r>
    </w:p>
    <w:p w14:paraId="62B65F92">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2、受损车辆的维修按修复为主原则，但涉及车辆行车安全的关键零部件受损（如：刹车系统、转向系统），应予以更换。</w:t>
      </w:r>
    </w:p>
    <w:p w14:paraId="5542F3A5">
      <w:pPr>
        <w:spacing w:line="460" w:lineRule="exact"/>
        <w:ind w:firstLine="420" w:firstLineChars="200"/>
        <w:rPr>
          <w:rFonts w:ascii="宋体" w:hAnsi="宋体"/>
          <w:color w:val="auto"/>
          <w:szCs w:val="21"/>
          <w:highlight w:val="none"/>
        </w:rPr>
      </w:pPr>
      <w:bookmarkStart w:id="102" w:name="_Toc42086316"/>
      <w:bookmarkStart w:id="103" w:name="_Toc37244525"/>
      <w:bookmarkStart w:id="104" w:name="_Toc26812970"/>
      <w:r>
        <w:rPr>
          <w:rFonts w:hint="eastAsia" w:ascii="宋体" w:hAnsi="宋体"/>
          <w:color w:val="auto"/>
          <w:szCs w:val="21"/>
          <w:highlight w:val="none"/>
        </w:rPr>
        <w:t>3、第三者责任事故处理</w:t>
      </w:r>
      <w:bookmarkEnd w:id="102"/>
      <w:bookmarkEnd w:id="103"/>
      <w:bookmarkEnd w:id="104"/>
      <w:r>
        <w:rPr>
          <w:rFonts w:hint="eastAsia" w:ascii="宋体" w:hAnsi="宋体"/>
          <w:color w:val="auto"/>
          <w:szCs w:val="21"/>
          <w:highlight w:val="none"/>
        </w:rPr>
        <w:t>：涉及第三者责任事故的，遵循先交强险后商业险的赔付原则。</w:t>
      </w:r>
    </w:p>
    <w:p w14:paraId="6E3CBF97">
      <w:pPr>
        <w:spacing w:line="460" w:lineRule="exact"/>
        <w:ind w:firstLine="420" w:firstLineChars="200"/>
        <w:rPr>
          <w:rFonts w:ascii="宋体" w:hAnsi="宋体"/>
          <w:color w:val="auto"/>
          <w:szCs w:val="21"/>
          <w:highlight w:val="none"/>
        </w:rPr>
      </w:pPr>
      <w:bookmarkStart w:id="105" w:name="_Toc42086318"/>
      <w:bookmarkStart w:id="106" w:name="_Toc37244526"/>
      <w:bookmarkStart w:id="107" w:name="_Toc26812971"/>
      <w:r>
        <w:rPr>
          <w:rFonts w:hint="eastAsia" w:ascii="宋体" w:hAnsi="宋体"/>
          <w:color w:val="auto"/>
          <w:szCs w:val="21"/>
          <w:highlight w:val="none"/>
        </w:rPr>
        <w:t>4、提交索赔材料</w:t>
      </w:r>
      <w:bookmarkEnd w:id="94"/>
      <w:bookmarkEnd w:id="95"/>
      <w:bookmarkEnd w:id="96"/>
      <w:bookmarkEnd w:id="97"/>
      <w:bookmarkEnd w:id="98"/>
      <w:bookmarkEnd w:id="99"/>
      <w:bookmarkEnd w:id="100"/>
      <w:bookmarkEnd w:id="101"/>
      <w:bookmarkEnd w:id="105"/>
      <w:bookmarkEnd w:id="106"/>
      <w:bookmarkEnd w:id="107"/>
      <w:r>
        <w:rPr>
          <w:rFonts w:hint="eastAsia" w:ascii="宋体" w:hAnsi="宋体"/>
          <w:color w:val="auto"/>
          <w:szCs w:val="21"/>
          <w:highlight w:val="none"/>
        </w:rPr>
        <w:t>：发生保险事故后，被保险人向乙方提交相应的索赔材料。由于特殊原因无法提供上述部分索赔单证的，投保人应出具合理的书面证明或说明，供应商应予以认可。</w:t>
      </w:r>
    </w:p>
    <w:p w14:paraId="32DC714A">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5、乙方在接到上述材料后应立即审验核实，若认为有关证明或材料不完整，将立刻以书面方式一次性告知应补充提供的有关证明或材料。若在接到索赔资料后1个工作日内（特殊情况下不超过3个工作日）未给予有关审核意见，则视为认可索赔资料的完整性。</w:t>
      </w:r>
    </w:p>
    <w:p w14:paraId="216A6597">
      <w:pPr>
        <w:spacing w:line="460" w:lineRule="exact"/>
        <w:ind w:firstLine="420" w:firstLineChars="200"/>
        <w:rPr>
          <w:rFonts w:ascii="宋体" w:hAnsi="宋体"/>
          <w:color w:val="auto"/>
          <w:szCs w:val="21"/>
          <w:highlight w:val="none"/>
        </w:rPr>
      </w:pPr>
      <w:bookmarkStart w:id="108" w:name="_Toc37244527"/>
      <w:bookmarkStart w:id="109" w:name="_Toc26812972"/>
      <w:bookmarkStart w:id="110" w:name="_Toc42086319"/>
      <w:r>
        <w:rPr>
          <w:rFonts w:hint="eastAsia" w:ascii="宋体" w:hAnsi="宋体"/>
          <w:color w:val="auto"/>
          <w:szCs w:val="21"/>
          <w:highlight w:val="none"/>
        </w:rPr>
        <w:t>（五）赔款时限</w:t>
      </w:r>
      <w:bookmarkEnd w:id="108"/>
      <w:bookmarkEnd w:id="109"/>
      <w:bookmarkEnd w:id="110"/>
    </w:p>
    <w:p w14:paraId="0B12A7FF">
      <w:pPr>
        <w:spacing w:line="4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在被保险人提供必要的索赔材料后，乙方应及时确定赔偿金额，并在承诺时限前向被保险人支付赔款。</w:t>
      </w:r>
    </w:p>
    <w:p w14:paraId="4711661F">
      <w:pPr>
        <w:spacing w:line="460" w:lineRule="exact"/>
        <w:ind w:firstLine="420" w:firstLineChars="200"/>
        <w:rPr>
          <w:rFonts w:ascii="宋体" w:hAnsi="宋体"/>
          <w:color w:val="auto"/>
          <w:szCs w:val="21"/>
          <w:highlight w:val="none"/>
        </w:rPr>
      </w:pPr>
      <w:bookmarkStart w:id="111" w:name="_Toc37244528"/>
      <w:bookmarkStart w:id="112" w:name="_Toc26812973"/>
      <w:bookmarkStart w:id="113" w:name="_Toc42086320"/>
      <w:r>
        <w:rPr>
          <w:rFonts w:hint="eastAsia" w:ascii="宋体" w:hAnsi="宋体"/>
          <w:color w:val="auto"/>
          <w:szCs w:val="21"/>
          <w:highlight w:val="none"/>
        </w:rPr>
        <w:t>（六）预付赔款</w:t>
      </w:r>
      <w:bookmarkEnd w:id="111"/>
      <w:bookmarkEnd w:id="112"/>
      <w:bookmarkEnd w:id="113"/>
    </w:p>
    <w:p w14:paraId="7E1BAC99">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在以下情况下，根据被保险人书面申请，可提供预付赔款服务：</w:t>
      </w:r>
    </w:p>
    <w:p w14:paraId="04D73235">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当发生交通事故出现人员伤亡时，在明确了事故责任属于保险责任后，乙方在接到被保险人书面申请后1个工作日内，根据被保险人提供的符合要求的必要的索赔材料，按估损金额的60%先行赔付。被保险人应继续配合收集整理完整的索赔单证，在双方就最终赔偿金额达成一致后，对最终赔款金额与预付赔款金额的差额部分进行结算。</w:t>
      </w:r>
    </w:p>
    <w:p w14:paraId="1A0F1133">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发生重大事故快速预赔，对于重、特大事故，责任明确，超过最高分项保险限额的，可满保额预先赔付。</w:t>
      </w:r>
    </w:p>
    <w:p w14:paraId="3913120C">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被保险机动车发生交通事故，造成受害人受伤需要抢救的，保险人在接到公安机关交通管理部门的书面通知和医疗机构出具的抢救费用清单后，属保险责任的，按照国务院卫生主管部门组织制定的交通事故人员创伤临床诊疗指南和国家基本医疗保险标准进行核实。对于符合规定的抢救费用，保险人在交强险医疗费用赔偿限额内垫付。被保险人在交通事故中无责任的，保险人在交强险无责任医疗费用赔偿限额内垫付。</w:t>
      </w:r>
    </w:p>
    <w:p w14:paraId="7943A52F">
      <w:pPr>
        <w:spacing w:line="46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第十一条    合同生效</w:t>
      </w:r>
    </w:p>
    <w:p w14:paraId="0446F36D">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1、合同应在双方法定代表人签字或单位加盖公章后生效。</w:t>
      </w:r>
    </w:p>
    <w:p w14:paraId="279964B8">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2、本合同一式三份，采购人一份</w:t>
      </w:r>
      <w:r>
        <w:rPr>
          <w:rFonts w:ascii="宋体" w:hAnsi="宋体"/>
          <w:color w:val="auto"/>
          <w:szCs w:val="21"/>
          <w:highlight w:val="none"/>
        </w:rPr>
        <w:t>、</w:t>
      </w:r>
      <w:r>
        <w:rPr>
          <w:rFonts w:hint="eastAsia" w:ascii="宋体" w:hAnsi="宋体"/>
          <w:color w:val="auto"/>
          <w:szCs w:val="21"/>
          <w:highlight w:val="none"/>
        </w:rPr>
        <w:t>供应商一份、代理机构一份。</w:t>
      </w:r>
    </w:p>
    <w:p w14:paraId="07E69D74">
      <w:pPr>
        <w:spacing w:line="460" w:lineRule="exact"/>
        <w:ind w:firstLine="422" w:firstLineChars="200"/>
        <w:rPr>
          <w:rFonts w:ascii="宋体" w:hAnsi="宋体" w:cs="宋体"/>
          <w:color w:val="auto"/>
          <w:szCs w:val="21"/>
          <w:highlight w:val="none"/>
          <w:u w:val="single"/>
        </w:rPr>
      </w:pPr>
      <w:r>
        <w:rPr>
          <w:rFonts w:hint="eastAsia" w:ascii="宋体" w:hAnsi="宋体"/>
          <w:b/>
          <w:bCs/>
          <w:color w:val="auto"/>
          <w:szCs w:val="21"/>
          <w:highlight w:val="none"/>
        </w:rPr>
        <w:t>第十二条、</w:t>
      </w:r>
      <w:r>
        <w:rPr>
          <w:rFonts w:hint="eastAsia" w:ascii="宋体" w:hAnsi="宋体" w:cs="宋体"/>
          <w:color w:val="auto"/>
          <w:szCs w:val="21"/>
          <w:highlight w:val="none"/>
        </w:rPr>
        <w:t>其他要求</w:t>
      </w:r>
      <w:r>
        <w:rPr>
          <w:rFonts w:hint="eastAsia" w:ascii="宋体" w:hAnsi="宋体" w:cs="宋体"/>
          <w:color w:val="auto"/>
          <w:szCs w:val="21"/>
          <w:highlight w:val="none"/>
          <w:u w:val="single"/>
        </w:rPr>
        <w:t xml:space="preserve">  在合同有效期限内，如遇国家相关政策调整或其他原因，导致本合同需要调整的，经甲乙双方协商一致，可以进行调整，调整后的内容与本合同具有同等法律效力。                                                                                                                                        </w:t>
      </w:r>
    </w:p>
    <w:p w14:paraId="4DCA90F4">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0437BB6">
      <w:pPr>
        <w:spacing w:line="460" w:lineRule="exact"/>
        <w:ind w:firstLine="420" w:firstLineChars="200"/>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 xml:space="preserve">采购人：                              供应商：  </w:t>
      </w:r>
    </w:p>
    <w:p w14:paraId="1DFF5CDF">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名  称：（盖章）            </w:t>
      </w:r>
      <w:r>
        <w:rPr>
          <w:rFonts w:ascii="宋体" w:hAnsi="宋体"/>
          <w:color w:val="auto"/>
          <w:szCs w:val="21"/>
          <w:highlight w:val="none"/>
        </w:rPr>
        <w:t xml:space="preserve">      </w:t>
      </w:r>
      <w:r>
        <w:rPr>
          <w:rFonts w:hint="eastAsia" w:ascii="宋体" w:hAnsi="宋体"/>
          <w:color w:val="auto"/>
          <w:szCs w:val="21"/>
          <w:highlight w:val="none"/>
        </w:rPr>
        <w:t xml:space="preserve">     名  称：（盖章）              </w:t>
      </w:r>
    </w:p>
    <w:p w14:paraId="2383E0C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法定代表人（或委托代理人）：           法定代表人（或委托代理人）：                             </w:t>
      </w:r>
    </w:p>
    <w:p w14:paraId="0E990184">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地    址：                            地    址： </w:t>
      </w:r>
    </w:p>
    <w:p w14:paraId="0CBEB2A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邮政编码：                  </w:t>
      </w:r>
      <w:r>
        <w:rPr>
          <w:rFonts w:ascii="宋体" w:hAnsi="宋体"/>
          <w:color w:val="auto"/>
          <w:szCs w:val="21"/>
          <w:highlight w:val="none"/>
        </w:rPr>
        <w:t xml:space="preserve">     </w:t>
      </w:r>
      <w:r>
        <w:rPr>
          <w:rFonts w:hint="eastAsia" w:ascii="宋体" w:hAnsi="宋体"/>
          <w:color w:val="auto"/>
          <w:szCs w:val="21"/>
          <w:highlight w:val="none"/>
        </w:rPr>
        <w:t xml:space="preserve">     邮政编码：         </w:t>
      </w:r>
    </w:p>
    <w:p w14:paraId="4F87F261">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电    话：                            电    话：    </w:t>
      </w:r>
    </w:p>
    <w:p w14:paraId="23DCF497">
      <w:pPr>
        <w:spacing w:line="4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日    期：              </w:t>
      </w:r>
      <w:r>
        <w:rPr>
          <w:rFonts w:ascii="宋体" w:hAnsi="宋体"/>
          <w:color w:val="auto"/>
          <w:szCs w:val="21"/>
          <w:highlight w:val="none"/>
        </w:rPr>
        <w:t xml:space="preserve">            </w:t>
      </w:r>
      <w:r>
        <w:rPr>
          <w:rFonts w:hint="eastAsia" w:ascii="宋体" w:hAnsi="宋体"/>
          <w:color w:val="auto"/>
          <w:szCs w:val="21"/>
          <w:highlight w:val="none"/>
        </w:rPr>
        <w:t xml:space="preserve">  日    期：</w:t>
      </w:r>
    </w:p>
    <w:p w14:paraId="76216EB3">
      <w:pPr>
        <w:rPr>
          <w:rFonts w:hint="eastAsia" w:ascii="宋体"/>
          <w:b/>
          <w:color w:val="auto"/>
          <w:sz w:val="32"/>
          <w:szCs w:val="32"/>
          <w:highlight w:val="none"/>
        </w:rPr>
      </w:pPr>
      <w:r>
        <w:rPr>
          <w:rFonts w:hint="eastAsia" w:ascii="宋体"/>
          <w:b/>
          <w:color w:val="auto"/>
          <w:sz w:val="32"/>
          <w:szCs w:val="32"/>
          <w:highlight w:val="none"/>
        </w:rPr>
        <w:br w:type="page"/>
      </w:r>
    </w:p>
    <w:p w14:paraId="4EA61A9E">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六</w:t>
      </w:r>
      <w:r>
        <w:rPr>
          <w:rFonts w:hint="eastAsia" w:ascii="宋体"/>
          <w:b/>
          <w:color w:val="auto"/>
          <w:sz w:val="32"/>
          <w:szCs w:val="32"/>
          <w:highlight w:val="none"/>
        </w:rPr>
        <w:t>章  投标文件格式</w:t>
      </w:r>
    </w:p>
    <w:p w14:paraId="46DAF9D9">
      <w:pPr>
        <w:jc w:val="center"/>
        <w:rPr>
          <w:rFonts w:hint="eastAsia" w:eastAsia="黑体"/>
          <w:color w:val="auto"/>
          <w:sz w:val="20"/>
          <w:highlight w:val="none"/>
        </w:rPr>
      </w:pPr>
    </w:p>
    <w:p w14:paraId="5280E730">
      <w:pPr>
        <w:rPr>
          <w:rFonts w:hint="eastAsia" w:eastAsia="黑体"/>
          <w:color w:val="auto"/>
          <w:sz w:val="20"/>
          <w:highlight w:val="none"/>
        </w:rPr>
      </w:pPr>
    </w:p>
    <w:p w14:paraId="5DB30896">
      <w:pPr>
        <w:pStyle w:val="18"/>
        <w:rPr>
          <w:rFonts w:hint="eastAsia"/>
          <w:color w:val="auto"/>
          <w:highlight w:val="none"/>
        </w:rPr>
      </w:pPr>
    </w:p>
    <w:p w14:paraId="7F434800">
      <w:pPr>
        <w:rPr>
          <w:rFonts w:hint="eastAsia" w:eastAsia="黑体"/>
          <w:color w:val="auto"/>
          <w:sz w:val="20"/>
          <w:highlight w:val="none"/>
        </w:rPr>
      </w:pPr>
    </w:p>
    <w:p w14:paraId="18851856">
      <w:pPr>
        <w:rPr>
          <w:rFonts w:hint="eastAsia" w:eastAsia="黑体"/>
          <w:color w:val="auto"/>
          <w:sz w:val="20"/>
          <w:highlight w:val="none"/>
        </w:rPr>
      </w:pPr>
    </w:p>
    <w:p w14:paraId="33892C26">
      <w:pPr>
        <w:jc w:val="center"/>
        <w:rPr>
          <w:rFonts w:hint="eastAsia" w:ascii="宋体"/>
          <w:b/>
          <w:color w:val="auto"/>
          <w:sz w:val="44"/>
          <w:szCs w:val="44"/>
          <w:highlight w:val="none"/>
        </w:rPr>
      </w:pPr>
      <w:bookmarkStart w:id="114" w:name="_Toc350698753"/>
      <w:bookmarkStart w:id="115"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114"/>
      <w:bookmarkEnd w:id="115"/>
    </w:p>
    <w:p w14:paraId="6FA5C2FA">
      <w:pPr>
        <w:jc w:val="center"/>
        <w:rPr>
          <w:rFonts w:hint="eastAsia" w:eastAsia="黑体"/>
          <w:color w:val="auto"/>
          <w:sz w:val="44"/>
          <w:szCs w:val="44"/>
          <w:highlight w:val="none"/>
        </w:rPr>
      </w:pPr>
    </w:p>
    <w:p w14:paraId="4807EC95">
      <w:pPr>
        <w:jc w:val="center"/>
        <w:rPr>
          <w:rFonts w:hint="eastAsia" w:eastAsia="黑体"/>
          <w:color w:val="auto"/>
          <w:sz w:val="44"/>
          <w:szCs w:val="44"/>
          <w:highlight w:val="none"/>
        </w:rPr>
      </w:pPr>
    </w:p>
    <w:p w14:paraId="23D0232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60D76DB0">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58426A73">
      <w:pPr>
        <w:rPr>
          <w:rFonts w:hint="eastAsia" w:ascii="宋体"/>
          <w:color w:val="auto"/>
          <w:sz w:val="28"/>
          <w:szCs w:val="28"/>
          <w:highlight w:val="none"/>
        </w:rPr>
      </w:pPr>
    </w:p>
    <w:p w14:paraId="7FC0D103">
      <w:pPr>
        <w:pStyle w:val="18"/>
        <w:ind w:left="0" w:leftChars="0" w:firstLine="0" w:firstLineChars="0"/>
        <w:rPr>
          <w:rFonts w:hint="eastAsia" w:ascii="宋体"/>
          <w:color w:val="auto"/>
          <w:sz w:val="28"/>
          <w:szCs w:val="28"/>
          <w:highlight w:val="none"/>
        </w:rPr>
      </w:pPr>
    </w:p>
    <w:p w14:paraId="390CB8DA">
      <w:pPr>
        <w:rPr>
          <w:rFonts w:hint="eastAsia" w:ascii="宋体"/>
          <w:color w:val="auto"/>
          <w:sz w:val="28"/>
          <w:szCs w:val="28"/>
          <w:highlight w:val="none"/>
        </w:rPr>
      </w:pPr>
    </w:p>
    <w:p w14:paraId="029209F4">
      <w:pPr>
        <w:rPr>
          <w:rFonts w:hint="eastAsia" w:ascii="宋体"/>
          <w:color w:val="auto"/>
          <w:sz w:val="28"/>
          <w:szCs w:val="28"/>
          <w:highlight w:val="none"/>
        </w:rPr>
      </w:pPr>
    </w:p>
    <w:p w14:paraId="0AE0B28A">
      <w:pPr>
        <w:rPr>
          <w:rFonts w:hint="eastAsia" w:ascii="宋体"/>
          <w:color w:val="auto"/>
          <w:sz w:val="28"/>
          <w:szCs w:val="28"/>
          <w:highlight w:val="none"/>
        </w:rPr>
      </w:pPr>
    </w:p>
    <w:p w14:paraId="35056370">
      <w:pPr>
        <w:rPr>
          <w:rFonts w:hint="eastAsia" w:ascii="宋体"/>
          <w:color w:val="auto"/>
          <w:sz w:val="28"/>
          <w:szCs w:val="28"/>
          <w:highlight w:val="none"/>
        </w:rPr>
      </w:pPr>
    </w:p>
    <w:p w14:paraId="58E98CC0">
      <w:pPr>
        <w:rPr>
          <w:rFonts w:hint="eastAsia" w:ascii="宋体"/>
          <w:color w:val="auto"/>
          <w:sz w:val="28"/>
          <w:szCs w:val="28"/>
          <w:highlight w:val="none"/>
        </w:rPr>
      </w:pPr>
    </w:p>
    <w:p w14:paraId="4904BFC7">
      <w:pPr>
        <w:rPr>
          <w:rFonts w:hint="eastAsia" w:ascii="宋体"/>
          <w:color w:val="auto"/>
          <w:sz w:val="28"/>
          <w:szCs w:val="28"/>
          <w:highlight w:val="none"/>
        </w:rPr>
      </w:pPr>
    </w:p>
    <w:p w14:paraId="06EA1CE6">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30D36895">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7E1ABF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D938487">
      <w:pPr>
        <w:spacing w:line="720" w:lineRule="auto"/>
        <w:jc w:val="center"/>
        <w:rPr>
          <w:rFonts w:hint="eastAsia" w:ascii="宋体"/>
          <w:b/>
          <w:color w:val="auto"/>
          <w:sz w:val="36"/>
          <w:szCs w:val="36"/>
          <w:highlight w:val="none"/>
        </w:rPr>
      </w:pPr>
    </w:p>
    <w:p w14:paraId="3FED1E3D">
      <w:pPr>
        <w:spacing w:line="400" w:lineRule="exact"/>
        <w:ind w:firstLine="4130" w:firstLineChars="935"/>
        <w:rPr>
          <w:rFonts w:hint="eastAsia"/>
          <w:b/>
          <w:color w:val="auto"/>
          <w:sz w:val="44"/>
          <w:szCs w:val="44"/>
          <w:highlight w:val="none"/>
        </w:rPr>
      </w:pPr>
    </w:p>
    <w:p w14:paraId="4FFAA9DB">
      <w:pPr>
        <w:spacing w:line="400" w:lineRule="exact"/>
        <w:ind w:firstLine="4130" w:firstLineChars="935"/>
        <w:rPr>
          <w:rFonts w:hint="eastAsia"/>
          <w:b/>
          <w:color w:val="auto"/>
          <w:sz w:val="44"/>
          <w:szCs w:val="44"/>
          <w:highlight w:val="none"/>
        </w:rPr>
      </w:pPr>
    </w:p>
    <w:p w14:paraId="7C2F551F">
      <w:pPr>
        <w:jc w:val="center"/>
        <w:rPr>
          <w:rFonts w:hint="eastAsia"/>
          <w:b/>
          <w:color w:val="auto"/>
          <w:sz w:val="44"/>
          <w:szCs w:val="44"/>
          <w:highlight w:val="none"/>
        </w:rPr>
      </w:pPr>
      <w:r>
        <w:rPr>
          <w:rFonts w:hint="eastAsia"/>
          <w:b/>
          <w:color w:val="auto"/>
          <w:sz w:val="36"/>
          <w:szCs w:val="36"/>
          <w:highlight w:val="none"/>
        </w:rPr>
        <w:t>目   录</w:t>
      </w:r>
    </w:p>
    <w:p w14:paraId="0F833109">
      <w:pPr>
        <w:spacing w:line="400" w:lineRule="exact"/>
        <w:ind w:firstLine="562" w:firstLineChars="200"/>
        <w:rPr>
          <w:rFonts w:hint="eastAsia"/>
          <w:b/>
          <w:color w:val="auto"/>
          <w:sz w:val="28"/>
          <w:szCs w:val="28"/>
          <w:highlight w:val="none"/>
        </w:rPr>
      </w:pPr>
    </w:p>
    <w:p w14:paraId="13D5A713">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61481D13">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2</w:t>
      </w:r>
      <w:r>
        <w:rPr>
          <w:rFonts w:hint="eastAsia" w:ascii="宋体"/>
          <w:color w:val="auto"/>
          <w:szCs w:val="21"/>
          <w:highlight w:val="none"/>
          <w:lang w:eastAsia="zh-CN"/>
        </w:rPr>
        <w:t>）诚信投标承诺书（格式见附件）；</w:t>
      </w:r>
      <w:r>
        <w:rPr>
          <w:rFonts w:hint="eastAsia" w:ascii="宋体"/>
          <w:color w:val="auto"/>
          <w:szCs w:val="21"/>
          <w:highlight w:val="none"/>
        </w:rPr>
        <w:t xml:space="preserve">                                                                                                                                                                                                                                                                                                                                                                                                                                                                                                                                                                                                                                                                                                                                                                                                                                                                                                                                                                                                                                                                                                                                                                                                                                                                                                                                                                                                                                                                                                                                                                                                                                                                                      </w:t>
      </w:r>
    </w:p>
    <w:p w14:paraId="2287EDBC">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761F611A">
      <w:pPr>
        <w:spacing w:line="500" w:lineRule="exact"/>
        <w:ind w:firstLine="420" w:firstLineChars="200"/>
        <w:jc w:val="left"/>
        <w:rPr>
          <w:rFonts w:hint="eastAsia" w:ascii="宋体" w:hAnsi="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4）投标人有效的经营保险业务许可证；</w:t>
      </w:r>
    </w:p>
    <w:p w14:paraId="1FF40C24">
      <w:pPr>
        <w:spacing w:line="500" w:lineRule="exact"/>
        <w:ind w:firstLine="420" w:firstLineChars="200"/>
        <w:jc w:val="left"/>
        <w:rPr>
          <w:rFonts w:hint="default" w:ascii="宋体" w:hAnsi="宋体" w:cs="宋体-18030"/>
          <w:color w:val="auto"/>
          <w:szCs w:val="21"/>
          <w:highlight w:val="none"/>
          <w:lang w:val="en-US" w:eastAsia="zh-CN"/>
        </w:rPr>
      </w:pPr>
      <w:r>
        <w:rPr>
          <w:rFonts w:hint="eastAsia" w:ascii="宋体" w:hAnsi="宋体" w:cs="宋体-18030"/>
          <w:color w:val="auto"/>
          <w:szCs w:val="21"/>
          <w:highlight w:val="none"/>
          <w:lang w:val="en-US" w:eastAsia="zh-CN"/>
        </w:rPr>
        <w:t>（5）投标函（格式见附件）；</w:t>
      </w:r>
    </w:p>
    <w:p w14:paraId="1E4A1497">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6）服务承诺书（格式见附件）；</w:t>
      </w:r>
    </w:p>
    <w:p w14:paraId="4F1EFD1C">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7</w:t>
      </w:r>
      <w:r>
        <w:rPr>
          <w:rFonts w:hint="eastAsia" w:ascii="宋体" w:hAnsi="Times New Roman" w:eastAsia="宋体" w:cs="Times New Roman"/>
          <w:color w:val="auto"/>
          <w:szCs w:val="21"/>
          <w:highlight w:val="none"/>
        </w:rPr>
        <w:t>）招标文件中要求的</w:t>
      </w:r>
      <w:r>
        <w:rPr>
          <w:rFonts w:hint="eastAsia" w:ascii="宋体" w:cs="Times New Roman"/>
          <w:color w:val="auto"/>
          <w:szCs w:val="21"/>
          <w:highlight w:val="none"/>
          <w:lang w:val="en-US" w:eastAsia="zh-CN"/>
        </w:rPr>
        <w:t>其他</w:t>
      </w:r>
      <w:r>
        <w:rPr>
          <w:rFonts w:hint="eastAsia" w:ascii="宋体" w:hAnsi="Times New Roman" w:eastAsia="宋体" w:cs="Times New Roman"/>
          <w:color w:val="auto"/>
          <w:szCs w:val="21"/>
          <w:highlight w:val="none"/>
        </w:rPr>
        <w:t>评审和评分的支持资料</w:t>
      </w:r>
      <w:r>
        <w:rPr>
          <w:rFonts w:hint="eastAsia" w:ascii="宋体" w:cs="Times New Roman"/>
          <w:color w:val="auto"/>
          <w:szCs w:val="21"/>
          <w:highlight w:val="none"/>
          <w:lang w:eastAsia="zh-CN"/>
        </w:rPr>
        <w:t>。</w:t>
      </w:r>
    </w:p>
    <w:p w14:paraId="6B693F28">
      <w:pPr>
        <w:spacing w:line="500" w:lineRule="exact"/>
        <w:ind w:firstLine="420" w:firstLineChars="200"/>
        <w:jc w:val="left"/>
        <w:rPr>
          <w:rFonts w:hint="eastAsia" w:ascii="宋体" w:hAnsi="Times New Roman" w:eastAsia="宋体" w:cs="Times New Roman"/>
          <w:color w:val="auto"/>
          <w:szCs w:val="21"/>
          <w:highlight w:val="none"/>
        </w:rPr>
      </w:pPr>
    </w:p>
    <w:p w14:paraId="27527F4D">
      <w:pPr>
        <w:spacing w:line="400" w:lineRule="exact"/>
        <w:ind w:firstLine="562" w:firstLineChars="200"/>
        <w:rPr>
          <w:rFonts w:hint="eastAsia"/>
          <w:b/>
          <w:color w:val="auto"/>
          <w:sz w:val="28"/>
          <w:szCs w:val="28"/>
          <w:highlight w:val="none"/>
        </w:rPr>
      </w:pPr>
    </w:p>
    <w:p w14:paraId="721E9B25">
      <w:pPr>
        <w:spacing w:line="400" w:lineRule="exact"/>
        <w:ind w:firstLine="562" w:firstLineChars="200"/>
        <w:rPr>
          <w:rFonts w:hint="eastAsia"/>
          <w:b/>
          <w:color w:val="auto"/>
          <w:sz w:val="28"/>
          <w:szCs w:val="28"/>
          <w:highlight w:val="none"/>
        </w:rPr>
      </w:pPr>
    </w:p>
    <w:p w14:paraId="651EB215">
      <w:pPr>
        <w:spacing w:line="400" w:lineRule="exact"/>
        <w:ind w:firstLine="562" w:firstLineChars="200"/>
        <w:rPr>
          <w:rFonts w:hint="eastAsia"/>
          <w:b/>
          <w:color w:val="auto"/>
          <w:sz w:val="28"/>
          <w:szCs w:val="28"/>
          <w:highlight w:val="none"/>
        </w:rPr>
      </w:pPr>
    </w:p>
    <w:p w14:paraId="7A3B3510">
      <w:pPr>
        <w:spacing w:line="400" w:lineRule="exact"/>
        <w:ind w:firstLine="562" w:firstLineChars="200"/>
        <w:rPr>
          <w:rFonts w:hint="eastAsia"/>
          <w:b/>
          <w:color w:val="auto"/>
          <w:sz w:val="28"/>
          <w:szCs w:val="28"/>
          <w:highlight w:val="none"/>
        </w:rPr>
      </w:pPr>
    </w:p>
    <w:p w14:paraId="389FB3C2">
      <w:pPr>
        <w:spacing w:line="400" w:lineRule="exact"/>
        <w:ind w:firstLine="562" w:firstLineChars="200"/>
        <w:rPr>
          <w:rFonts w:hint="eastAsia"/>
          <w:b/>
          <w:color w:val="auto"/>
          <w:sz w:val="28"/>
          <w:szCs w:val="28"/>
          <w:highlight w:val="none"/>
        </w:rPr>
      </w:pPr>
    </w:p>
    <w:p w14:paraId="37C5111F">
      <w:pPr>
        <w:spacing w:line="400" w:lineRule="exact"/>
        <w:rPr>
          <w:b/>
          <w:color w:val="auto"/>
          <w:sz w:val="28"/>
          <w:szCs w:val="28"/>
          <w:highlight w:val="none"/>
        </w:rPr>
        <w:sectPr>
          <w:headerReference r:id="rId9" w:type="default"/>
          <w:footerReference r:id="rId10" w:type="default"/>
          <w:pgSz w:w="11906" w:h="16838"/>
          <w:pgMar w:top="1440" w:right="1066" w:bottom="1440" w:left="1800" w:header="851" w:footer="992" w:gutter="0"/>
          <w:pgNumType w:fmt="numberInDash"/>
          <w:cols w:space="720" w:num="1"/>
          <w:docGrid w:type="lines" w:linePitch="312" w:charSpace="0"/>
        </w:sectPr>
      </w:pPr>
    </w:p>
    <w:p w14:paraId="7A63AA04">
      <w:pPr>
        <w:spacing w:line="360" w:lineRule="auto"/>
        <w:rPr>
          <w:rFonts w:hint="eastAsia"/>
          <w:b/>
          <w:color w:val="auto"/>
          <w:sz w:val="28"/>
          <w:szCs w:val="28"/>
          <w:highlight w:val="none"/>
        </w:rPr>
      </w:pPr>
      <w:r>
        <w:rPr>
          <w:rFonts w:hint="eastAsia"/>
          <w:b/>
          <w:color w:val="auto"/>
          <w:sz w:val="28"/>
          <w:szCs w:val="28"/>
          <w:highlight w:val="none"/>
        </w:rPr>
        <w:t>附件1</w:t>
      </w:r>
    </w:p>
    <w:p w14:paraId="12C15BBB">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5F9AA5F5">
      <w:pPr>
        <w:pStyle w:val="123"/>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1A928786">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D212AF8">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0CE710E5">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459BA3C">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3066736">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1EF24644">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DE2B0D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05AD4DEF">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070C1DA">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5C03CB3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3EBABC8B">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1D7FE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19774F0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03AA18CF">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07B90ECC">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7CC0099D">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387DE2CD">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0E2C8016">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6B7A2607">
      <w:pPr>
        <w:spacing w:line="360" w:lineRule="exact"/>
        <w:ind w:firstLine="413" w:firstLineChars="147"/>
        <w:rPr>
          <w:rFonts w:hint="eastAsia"/>
          <w:b/>
          <w:color w:val="auto"/>
          <w:sz w:val="28"/>
          <w:szCs w:val="28"/>
          <w:highlight w:val="none"/>
          <w:u w:val="single"/>
        </w:rPr>
      </w:pPr>
    </w:p>
    <w:p w14:paraId="2495343D">
      <w:pPr>
        <w:spacing w:line="360" w:lineRule="exact"/>
        <w:ind w:firstLine="413" w:firstLineChars="147"/>
        <w:rPr>
          <w:rFonts w:hint="eastAsia"/>
          <w:b/>
          <w:color w:val="auto"/>
          <w:sz w:val="28"/>
          <w:szCs w:val="28"/>
          <w:highlight w:val="none"/>
          <w:u w:val="single"/>
        </w:rPr>
      </w:pPr>
    </w:p>
    <w:p w14:paraId="680B5FB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590317EC">
      <w:pPr>
        <w:spacing w:line="360" w:lineRule="auto"/>
        <w:jc w:val="center"/>
        <w:rPr>
          <w:rFonts w:hint="eastAsia"/>
          <w:b/>
          <w:color w:val="auto"/>
          <w:sz w:val="28"/>
          <w:szCs w:val="28"/>
          <w:highlight w:val="none"/>
        </w:rPr>
      </w:pPr>
      <w:bookmarkStart w:id="116" w:name="_Toc449028950"/>
      <w:bookmarkStart w:id="117" w:name="_Toc440443268"/>
      <w:r>
        <w:rPr>
          <w:rFonts w:hint="eastAsia"/>
          <w:b/>
          <w:color w:val="auto"/>
          <w:sz w:val="28"/>
          <w:szCs w:val="28"/>
          <w:highlight w:val="none"/>
        </w:rPr>
        <w:t>诚信投标承诺书 </w:t>
      </w:r>
    </w:p>
    <w:p w14:paraId="6E79C1E4">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4EFB91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6489454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、不出借、转让资质证书，不让他人挂靠，不以他人名义或者以其他方式弄虚作假，骗取成交；</w:t>
      </w:r>
    </w:p>
    <w:p w14:paraId="4E838B82">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、不与其他供应商相互串通响应报价，不排挤其他供应商的公平竞争、损害采购人的合法权益；</w:t>
      </w:r>
    </w:p>
    <w:p w14:paraId="437B2CCE">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、不与</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、代理机构或其他供应商串通响应，损害国家利益、社会公共利益或者他人的合法权益；</w:t>
      </w:r>
    </w:p>
    <w:p w14:paraId="61024B49">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（企业名称）或       （企业名称）</w:t>
      </w:r>
      <w:r>
        <w:rPr>
          <w:rFonts w:hint="eastAsia" w:asciiTheme="minorEastAsia" w:hAnsiTheme="minorEastAsia" w:eastAsiaTheme="minorEastAsia" w:cstheme="minorEastAsia"/>
          <w:color w:val="auto"/>
          <w:kern w:val="0"/>
          <w:sz w:val="24"/>
          <w:szCs w:val="24"/>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11B865DF">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、严格遵守谈判现场纪律，服从监管人员管理；</w:t>
      </w:r>
    </w:p>
    <w:p w14:paraId="44F0CD7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、保证成交后不转包，若有分包征得采购人同意；</w:t>
      </w:r>
    </w:p>
    <w:p w14:paraId="51A0450A">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、保证成交之后，按照响应文件要求提供相关后续服务；</w:t>
      </w:r>
    </w:p>
    <w:p w14:paraId="3DCC27A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2F8BCA6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781B1B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06887F77">
      <w:pPr>
        <w:spacing w:line="560" w:lineRule="exact"/>
        <w:ind w:firstLine="480" w:firstLineChars="200"/>
        <w:jc w:val="left"/>
        <w:rPr>
          <w:rFonts w:ascii="宋体" w:hAnsi="宋体" w:eastAsia="宋体" w:cs="宋体"/>
          <w:color w:val="auto"/>
          <w:sz w:val="24"/>
          <w:szCs w:val="24"/>
          <w:highlight w:val="none"/>
        </w:rPr>
      </w:pPr>
    </w:p>
    <w:p w14:paraId="0BB7BCA6">
      <w:pPr>
        <w:spacing w:line="520" w:lineRule="exact"/>
        <w:jc w:val="left"/>
        <w:rPr>
          <w:rFonts w:ascii="宋体" w:hAnsi="宋体" w:eastAsia="宋体" w:cs="宋体"/>
          <w:color w:val="auto"/>
          <w:sz w:val="24"/>
          <w:szCs w:val="24"/>
          <w:highlight w:val="none"/>
        </w:rPr>
      </w:pPr>
    </w:p>
    <w:p w14:paraId="0AFCDFEA">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5915D8AF">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7E243A40">
      <w:pPr>
        <w:spacing w:line="600" w:lineRule="exact"/>
        <w:ind w:firstLine="4095" w:firstLineChars="1950"/>
        <w:rPr>
          <w:rFonts w:ascii="宋体" w:hAnsi="宋体"/>
          <w:color w:val="auto"/>
          <w:szCs w:val="21"/>
          <w:highlight w:val="none"/>
        </w:rPr>
      </w:pPr>
    </w:p>
    <w:p w14:paraId="0267D788">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B6C59AF">
      <w:pPr>
        <w:spacing w:line="360" w:lineRule="auto"/>
        <w:jc w:val="center"/>
        <w:rPr>
          <w:rFonts w:hint="eastAsia"/>
          <w:b/>
          <w:color w:val="auto"/>
          <w:sz w:val="28"/>
          <w:szCs w:val="28"/>
          <w:highlight w:val="none"/>
        </w:rPr>
      </w:pPr>
    </w:p>
    <w:p w14:paraId="427FC823">
      <w:pPr>
        <w:spacing w:line="360" w:lineRule="exact"/>
        <w:ind w:firstLine="443" w:firstLineChars="147"/>
        <w:rPr>
          <w:rFonts w:hint="eastAsia" w:ascii="宋体"/>
          <w:b/>
          <w:color w:val="auto"/>
          <w:sz w:val="30"/>
          <w:szCs w:val="30"/>
          <w:highlight w:val="none"/>
        </w:rPr>
      </w:pPr>
    </w:p>
    <w:p w14:paraId="34347FA1">
      <w:pPr>
        <w:spacing w:line="360" w:lineRule="exact"/>
        <w:ind w:firstLine="443" w:firstLineChars="147"/>
        <w:rPr>
          <w:rFonts w:hint="eastAsia" w:ascii="宋体"/>
          <w:b/>
          <w:color w:val="auto"/>
          <w:sz w:val="30"/>
          <w:szCs w:val="30"/>
          <w:highlight w:val="none"/>
        </w:rPr>
      </w:pPr>
    </w:p>
    <w:p w14:paraId="4C790666">
      <w:pPr>
        <w:spacing w:line="360" w:lineRule="exact"/>
        <w:ind w:firstLine="443" w:firstLineChars="147"/>
        <w:rPr>
          <w:rFonts w:hint="eastAsia" w:ascii="宋体"/>
          <w:b/>
          <w:color w:val="auto"/>
          <w:sz w:val="30"/>
          <w:szCs w:val="30"/>
          <w:highlight w:val="none"/>
        </w:rPr>
      </w:pPr>
    </w:p>
    <w:p w14:paraId="34B15911">
      <w:pPr>
        <w:spacing w:line="360" w:lineRule="exact"/>
        <w:ind w:firstLine="443" w:firstLineChars="147"/>
        <w:rPr>
          <w:rFonts w:hint="eastAsia" w:ascii="宋体"/>
          <w:b/>
          <w:color w:val="auto"/>
          <w:sz w:val="30"/>
          <w:szCs w:val="30"/>
          <w:highlight w:val="none"/>
        </w:rPr>
      </w:pPr>
    </w:p>
    <w:p w14:paraId="3AE21F83">
      <w:pPr>
        <w:spacing w:line="360" w:lineRule="exact"/>
        <w:ind w:firstLine="443" w:firstLineChars="147"/>
        <w:rPr>
          <w:rFonts w:hint="eastAsia" w:ascii="宋体"/>
          <w:b/>
          <w:color w:val="auto"/>
          <w:sz w:val="30"/>
          <w:szCs w:val="30"/>
          <w:highlight w:val="none"/>
        </w:rPr>
      </w:pPr>
    </w:p>
    <w:p w14:paraId="4BD741D5">
      <w:pPr>
        <w:spacing w:line="360" w:lineRule="exact"/>
        <w:ind w:firstLine="443" w:firstLineChars="147"/>
        <w:rPr>
          <w:rFonts w:hint="eastAsia" w:ascii="宋体"/>
          <w:b/>
          <w:color w:val="auto"/>
          <w:sz w:val="30"/>
          <w:szCs w:val="30"/>
          <w:highlight w:val="none"/>
        </w:rPr>
      </w:pPr>
    </w:p>
    <w:p w14:paraId="031E3DFE">
      <w:pPr>
        <w:spacing w:line="360" w:lineRule="exact"/>
        <w:ind w:firstLine="443" w:firstLineChars="147"/>
        <w:rPr>
          <w:rFonts w:hint="eastAsia" w:ascii="宋体"/>
          <w:b/>
          <w:color w:val="auto"/>
          <w:sz w:val="30"/>
          <w:szCs w:val="30"/>
          <w:highlight w:val="none"/>
        </w:rPr>
      </w:pPr>
    </w:p>
    <w:p w14:paraId="360B71F7">
      <w:pPr>
        <w:spacing w:line="360" w:lineRule="exact"/>
        <w:ind w:firstLine="443" w:firstLineChars="147"/>
        <w:rPr>
          <w:rFonts w:hint="eastAsia" w:ascii="宋体"/>
          <w:b/>
          <w:color w:val="auto"/>
          <w:sz w:val="30"/>
          <w:szCs w:val="30"/>
          <w:highlight w:val="none"/>
        </w:rPr>
      </w:pPr>
    </w:p>
    <w:p w14:paraId="6633F598">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bookmarkEnd w:id="116"/>
    <w:bookmarkEnd w:id="117"/>
    <w:p w14:paraId="43C05828">
      <w:pPr>
        <w:rPr>
          <w:rFonts w:hint="eastAsia" w:ascii="宋体"/>
          <w:b/>
          <w:color w:val="auto"/>
          <w:sz w:val="30"/>
          <w:szCs w:val="30"/>
          <w:highlight w:val="none"/>
          <w:lang w:val="en-US" w:eastAsia="zh-CN"/>
        </w:rPr>
      </w:pPr>
      <w:r>
        <w:rPr>
          <w:rFonts w:hint="eastAsia" w:ascii="宋体"/>
          <w:b/>
          <w:color w:val="auto"/>
          <w:sz w:val="30"/>
          <w:szCs w:val="30"/>
          <w:highlight w:val="none"/>
          <w:lang w:val="en-US" w:eastAsia="zh-CN"/>
        </w:rPr>
        <w:t>附件3</w:t>
      </w:r>
    </w:p>
    <w:p w14:paraId="65755518">
      <w:pPr>
        <w:jc w:val="center"/>
        <w:rPr>
          <w:rFonts w:hint="eastAsia" w:ascii="宋体" w:hAnsi="Times New Roman" w:cs="Times New Roman"/>
          <w:b/>
          <w:color w:val="auto"/>
          <w:sz w:val="30"/>
          <w:szCs w:val="30"/>
          <w:highlight w:val="none"/>
          <w:lang w:val="en-US" w:eastAsia="zh-CN"/>
        </w:rPr>
      </w:pPr>
      <w:r>
        <w:rPr>
          <w:rFonts w:hint="eastAsia" w:ascii="宋体" w:hAnsi="Times New Roman" w:cs="Times New Roman"/>
          <w:b/>
          <w:color w:val="auto"/>
          <w:sz w:val="30"/>
          <w:szCs w:val="30"/>
          <w:highlight w:val="none"/>
          <w:lang w:val="en-US" w:eastAsia="zh-CN"/>
        </w:rPr>
        <w:t>投标函</w:t>
      </w:r>
    </w:p>
    <w:p w14:paraId="62304E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(招标人)       </w:t>
      </w:r>
      <w:r>
        <w:rPr>
          <w:rFonts w:hint="eastAsia" w:ascii="宋体" w:hAnsi="宋体" w:eastAsia="宋体" w:cs="宋体"/>
          <w:color w:val="auto"/>
          <w:sz w:val="22"/>
          <w:szCs w:val="22"/>
          <w:highlight w:val="none"/>
        </w:rPr>
        <w:t xml:space="preserve"> </w:t>
      </w:r>
    </w:p>
    <w:p w14:paraId="53BF7B73">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1.我们决定参加贵单位组织的“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 xml:space="preserve">的采购。我方授权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(姓名和职务)代表我方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（投标人的名称）全权处理本项目投标的有关事宜。</w:t>
      </w:r>
    </w:p>
    <w:p w14:paraId="6DF041E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2.我方愿意按照招标文件规定提供服务的投标报价为（每辆车辆保费商业险自主定价系数）</w:t>
      </w:r>
      <w:r>
        <w:rPr>
          <w:rFonts w:hint="eastAsia" w:ascii="宋体" w:hAnsi="宋体" w:eastAsia="宋体" w:cs="宋体"/>
          <w:color w:val="auto"/>
          <w:sz w:val="22"/>
          <w:szCs w:val="22"/>
          <w:highlight w:val="none"/>
          <w:u w:val="single"/>
        </w:rPr>
        <w:t xml:space="preserve">（大写）         （小写）            </w:t>
      </w:r>
      <w:r>
        <w:rPr>
          <w:rFonts w:hint="eastAsia" w:ascii="宋体" w:hAnsi="宋体" w:eastAsia="宋体" w:cs="宋体"/>
          <w:color w:val="auto"/>
          <w:sz w:val="22"/>
          <w:szCs w:val="22"/>
          <w:highlight w:val="none"/>
        </w:rPr>
        <w:t>，服务期限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响应招标文件要求</w:t>
      </w:r>
      <w:r>
        <w:rPr>
          <w:rFonts w:hint="eastAsia" w:ascii="宋体" w:hAnsi="宋体" w:eastAsia="宋体" w:cs="宋体"/>
          <w:color w:val="auto"/>
          <w:sz w:val="22"/>
          <w:szCs w:val="22"/>
          <w:highlight w:val="none"/>
          <w:u w:val="single"/>
        </w:rPr>
        <w:t>。</w:t>
      </w:r>
    </w:p>
    <w:p w14:paraId="0B463E7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3.一旦我方成为合同签字人，我方将严格履行合同规定的责任和义务。</w:t>
      </w:r>
    </w:p>
    <w:p w14:paraId="78EE4CD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4.我方同意按照招标文件的要求，递交金额为人民币</w:t>
      </w:r>
      <w:r>
        <w:rPr>
          <w:rFonts w:hint="eastAsia" w:ascii="宋体" w:hAnsi="宋体" w:eastAsia="宋体" w:cs="宋体"/>
          <w:color w:val="auto"/>
          <w:sz w:val="22"/>
          <w:szCs w:val="22"/>
          <w:highlight w:val="none"/>
          <w:u w:val="single"/>
        </w:rPr>
        <w:t xml:space="preserve">  0元  </w:t>
      </w:r>
      <w:r>
        <w:rPr>
          <w:rFonts w:hint="eastAsia" w:ascii="宋体" w:hAnsi="宋体" w:eastAsia="宋体" w:cs="宋体"/>
          <w:color w:val="auto"/>
          <w:sz w:val="22"/>
          <w:szCs w:val="22"/>
          <w:highlight w:val="none"/>
        </w:rPr>
        <w:t>的投标保证金。并且承诺，在投标有效期内如果我方撤回响应文件或成为合同签字人后拒绝签订合同，我方将放弃要求退还该保证金的权力。</w:t>
      </w:r>
    </w:p>
    <w:p w14:paraId="028F8AC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5.若我方中标，愿意为本项目提交的纸质投标书一式</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份，其中正本一份、副本</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份。</w:t>
      </w:r>
    </w:p>
    <w:p w14:paraId="2D4FA8D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6.我方愿意提供可能另外要求的、与采购投标有关的文件资料，并保证我方已提供和将要提供的文件是真实的、准确的。</w:t>
      </w:r>
    </w:p>
    <w:p w14:paraId="5A713AA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7.我单位提供如下通讯地址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，电子邮箱（地址）：</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，确认本项目相关法律文书均通过提供的以上地址送达，相关文书只要发送至以上电子邮箱（地址）即视为送达，投标人愿意承担一切法律后果。</w:t>
      </w:r>
    </w:p>
    <w:p w14:paraId="7B787743">
      <w:pPr>
        <w:spacing w:line="440" w:lineRule="exact"/>
        <w:rPr>
          <w:rFonts w:hint="eastAsia" w:ascii="宋体"/>
          <w:color w:val="auto"/>
          <w:sz w:val="24"/>
          <w:highlight w:val="none"/>
        </w:rPr>
      </w:pPr>
      <w:r>
        <w:rPr>
          <w:rFonts w:hint="eastAsia" w:ascii="宋体"/>
          <w:color w:val="auto"/>
          <w:sz w:val="24"/>
          <w:highlight w:val="none"/>
        </w:rPr>
        <w:t> </w:t>
      </w:r>
    </w:p>
    <w:p w14:paraId="3AB7EB3D">
      <w:pPr>
        <w:pStyle w:val="32"/>
        <w:spacing w:line="360" w:lineRule="auto"/>
        <w:rPr>
          <w:rFonts w:hint="eastAsia"/>
          <w:color w:val="auto"/>
          <w:sz w:val="22"/>
          <w:szCs w:val="22"/>
          <w:highlight w:val="none"/>
        </w:rPr>
      </w:pPr>
      <w:r>
        <w:rPr>
          <w:rFonts w:hint="eastAsia"/>
          <w:color w:val="auto"/>
          <w:sz w:val="22"/>
          <w:szCs w:val="22"/>
          <w:highlight w:val="none"/>
        </w:rPr>
        <w:t>投标人：</w:t>
      </w:r>
      <w:r>
        <w:rPr>
          <w:rFonts w:hint="eastAsia"/>
          <w:color w:val="auto"/>
          <w:sz w:val="22"/>
          <w:szCs w:val="22"/>
          <w:highlight w:val="none"/>
          <w:u w:val="single"/>
        </w:rPr>
        <w:t xml:space="preserve">( 盖章 )                ； </w:t>
      </w:r>
    </w:p>
    <w:p w14:paraId="14301923">
      <w:pPr>
        <w:pStyle w:val="32"/>
        <w:spacing w:line="360" w:lineRule="auto"/>
        <w:rPr>
          <w:rFonts w:hint="eastAsia"/>
          <w:color w:val="auto"/>
          <w:sz w:val="22"/>
          <w:szCs w:val="22"/>
          <w:highlight w:val="none"/>
        </w:rPr>
      </w:pPr>
      <w:r>
        <w:rPr>
          <w:rFonts w:hint="eastAsia"/>
          <w:color w:val="auto"/>
          <w:sz w:val="22"/>
          <w:szCs w:val="22"/>
          <w:highlight w:val="none"/>
        </w:rPr>
        <w:t>单位地址：</w:t>
      </w:r>
      <w:r>
        <w:rPr>
          <w:rFonts w:hint="eastAsia"/>
          <w:color w:val="auto"/>
          <w:sz w:val="22"/>
          <w:szCs w:val="22"/>
          <w:highlight w:val="none"/>
          <w:u w:val="single"/>
        </w:rPr>
        <w:t>                     ；</w:t>
      </w:r>
    </w:p>
    <w:p w14:paraId="7CDED427">
      <w:pPr>
        <w:pStyle w:val="32"/>
        <w:spacing w:line="360" w:lineRule="auto"/>
        <w:rPr>
          <w:rFonts w:hint="eastAsia"/>
          <w:color w:val="auto"/>
          <w:sz w:val="22"/>
          <w:szCs w:val="22"/>
          <w:highlight w:val="none"/>
        </w:rPr>
      </w:pPr>
      <w:r>
        <w:rPr>
          <w:rFonts w:hint="eastAsia"/>
          <w:color w:val="auto"/>
          <w:sz w:val="22"/>
          <w:szCs w:val="22"/>
          <w:highlight w:val="none"/>
        </w:rPr>
        <w:t>法人代表或委托代理人：</w:t>
      </w:r>
      <w:r>
        <w:rPr>
          <w:rFonts w:hint="eastAsia"/>
          <w:color w:val="auto"/>
          <w:sz w:val="22"/>
          <w:szCs w:val="22"/>
          <w:highlight w:val="none"/>
          <w:u w:val="single"/>
        </w:rPr>
        <w:t>（签字或盖章）              ；</w:t>
      </w:r>
    </w:p>
    <w:p w14:paraId="3F326C4E">
      <w:pPr>
        <w:pStyle w:val="32"/>
        <w:spacing w:line="360" w:lineRule="auto"/>
        <w:rPr>
          <w:rFonts w:hint="eastAsia"/>
          <w:color w:val="auto"/>
          <w:sz w:val="22"/>
          <w:szCs w:val="22"/>
          <w:highlight w:val="none"/>
        </w:rPr>
      </w:pPr>
      <w:r>
        <w:rPr>
          <w:rFonts w:hint="eastAsia"/>
          <w:color w:val="auto"/>
          <w:sz w:val="22"/>
          <w:szCs w:val="22"/>
          <w:highlight w:val="none"/>
        </w:rPr>
        <w:t>电话：</w:t>
      </w:r>
      <w:r>
        <w:rPr>
          <w:rFonts w:hint="eastAsia"/>
          <w:color w:val="auto"/>
          <w:sz w:val="22"/>
          <w:szCs w:val="22"/>
          <w:highlight w:val="none"/>
          <w:u w:val="single"/>
        </w:rPr>
        <w:t xml:space="preserve">                </w:t>
      </w:r>
      <w:r>
        <w:rPr>
          <w:rFonts w:hint="eastAsia"/>
          <w:color w:val="auto"/>
          <w:sz w:val="22"/>
          <w:szCs w:val="22"/>
          <w:highlight w:val="none"/>
        </w:rPr>
        <w:t>邮箱：</w:t>
      </w:r>
      <w:r>
        <w:rPr>
          <w:rFonts w:hint="eastAsia"/>
          <w:color w:val="auto"/>
          <w:sz w:val="22"/>
          <w:szCs w:val="22"/>
          <w:highlight w:val="none"/>
          <w:u w:val="single"/>
        </w:rPr>
        <w:t>            ；</w:t>
      </w:r>
    </w:p>
    <w:p w14:paraId="4F7C6FDA">
      <w:pPr>
        <w:pStyle w:val="32"/>
        <w:spacing w:line="360" w:lineRule="auto"/>
        <w:rPr>
          <w:rFonts w:hint="eastAsia"/>
          <w:color w:val="auto"/>
          <w:sz w:val="22"/>
          <w:szCs w:val="22"/>
          <w:highlight w:val="none"/>
          <w:u w:val="single"/>
        </w:rPr>
      </w:pPr>
      <w:r>
        <w:rPr>
          <w:rFonts w:hint="eastAsia"/>
          <w:color w:val="auto"/>
          <w:sz w:val="22"/>
          <w:szCs w:val="22"/>
          <w:highlight w:val="none"/>
        </w:rPr>
        <w:t>日期：</w:t>
      </w:r>
      <w:r>
        <w:rPr>
          <w:rFonts w:hint="eastAsia"/>
          <w:color w:val="auto"/>
          <w:sz w:val="22"/>
          <w:szCs w:val="22"/>
          <w:highlight w:val="none"/>
          <w:u w:val="single"/>
        </w:rPr>
        <w:t xml:space="preserve">             </w:t>
      </w:r>
      <w:r>
        <w:rPr>
          <w:rFonts w:hint="eastAsia"/>
          <w:color w:val="auto"/>
          <w:sz w:val="22"/>
          <w:szCs w:val="22"/>
          <w:highlight w:val="none"/>
        </w:rPr>
        <w:t>年</w:t>
      </w:r>
      <w:r>
        <w:rPr>
          <w:rFonts w:hint="eastAsia"/>
          <w:color w:val="auto"/>
          <w:sz w:val="22"/>
          <w:szCs w:val="22"/>
          <w:highlight w:val="none"/>
          <w:u w:val="single"/>
        </w:rPr>
        <w:t xml:space="preserve">         </w:t>
      </w:r>
      <w:r>
        <w:rPr>
          <w:rFonts w:hint="eastAsia"/>
          <w:color w:val="auto"/>
          <w:sz w:val="22"/>
          <w:szCs w:val="22"/>
          <w:highlight w:val="none"/>
        </w:rPr>
        <w:t>月</w:t>
      </w:r>
      <w:r>
        <w:rPr>
          <w:rFonts w:hint="eastAsia"/>
          <w:color w:val="auto"/>
          <w:sz w:val="22"/>
          <w:szCs w:val="22"/>
          <w:highlight w:val="none"/>
          <w:u w:val="single"/>
        </w:rPr>
        <w:t xml:space="preserve">          </w:t>
      </w:r>
      <w:r>
        <w:rPr>
          <w:rFonts w:hint="eastAsia"/>
          <w:color w:val="auto"/>
          <w:sz w:val="22"/>
          <w:szCs w:val="22"/>
          <w:highlight w:val="none"/>
        </w:rPr>
        <w:t xml:space="preserve">日 </w:t>
      </w:r>
    </w:p>
    <w:p w14:paraId="0890225D">
      <w:pPr>
        <w:jc w:val="center"/>
        <w:rPr>
          <w:rFonts w:hint="eastAsia"/>
          <w:color w:val="auto"/>
          <w:highlight w:val="none"/>
        </w:rPr>
      </w:pPr>
      <w:r>
        <w:rPr>
          <w:rFonts w:hint="eastAsia" w:ascii="宋体"/>
          <w:b/>
          <w:color w:val="auto"/>
          <w:sz w:val="30"/>
          <w:szCs w:val="30"/>
          <w:highlight w:val="none"/>
        </w:rPr>
        <w:br w:type="page"/>
      </w:r>
    </w:p>
    <w:p w14:paraId="3451F88B">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4</w:t>
      </w:r>
    </w:p>
    <w:p w14:paraId="71843435">
      <w:pPr>
        <w:jc w:val="center"/>
        <w:rPr>
          <w:rFonts w:hint="eastAsia" w:ascii="宋体"/>
          <w:b/>
          <w:color w:val="auto"/>
          <w:sz w:val="30"/>
          <w:szCs w:val="30"/>
          <w:highlight w:val="none"/>
        </w:rPr>
      </w:pPr>
    </w:p>
    <w:p w14:paraId="26394BCE">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711615B3">
      <w:pPr>
        <w:ind w:firstLine="480" w:firstLineChars="200"/>
        <w:rPr>
          <w:rFonts w:hint="eastAsia" w:ascii="宋体"/>
          <w:color w:val="auto"/>
          <w:sz w:val="24"/>
          <w:highlight w:val="none"/>
        </w:rPr>
      </w:pPr>
    </w:p>
    <w:p w14:paraId="788C4665">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44FCC525">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1FC8003E">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23943D50">
      <w:pPr>
        <w:spacing w:line="600" w:lineRule="exact"/>
        <w:rPr>
          <w:rFonts w:hint="eastAsia" w:ascii="宋体"/>
          <w:color w:val="auto"/>
          <w:sz w:val="24"/>
          <w:highlight w:val="none"/>
        </w:rPr>
      </w:pPr>
      <w:r>
        <w:rPr>
          <w:rFonts w:hint="eastAsia" w:ascii="宋体"/>
          <w:color w:val="auto"/>
          <w:sz w:val="24"/>
          <w:highlight w:val="none"/>
        </w:rPr>
        <w:t> </w:t>
      </w:r>
    </w:p>
    <w:p w14:paraId="090D9EB2">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7FA63719">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3EA03897">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45908FB">
      <w:pPr>
        <w:pStyle w:val="13"/>
        <w:rPr>
          <w:color w:val="auto"/>
          <w:highlight w:val="none"/>
        </w:rPr>
      </w:pPr>
    </w:p>
    <w:p w14:paraId="596A7CD6">
      <w:pPr>
        <w:spacing w:line="400" w:lineRule="exact"/>
        <w:ind w:firstLine="562" w:firstLineChars="200"/>
        <w:rPr>
          <w:rFonts w:hint="eastAsia"/>
          <w:b/>
          <w:color w:val="auto"/>
          <w:sz w:val="28"/>
          <w:szCs w:val="28"/>
          <w:highlight w:val="none"/>
        </w:rPr>
      </w:pPr>
    </w:p>
    <w:p w14:paraId="7050DA6C">
      <w:pPr>
        <w:spacing w:line="400" w:lineRule="exact"/>
        <w:ind w:firstLine="562" w:firstLineChars="200"/>
        <w:rPr>
          <w:rFonts w:hint="eastAsia"/>
          <w:b/>
          <w:color w:val="auto"/>
          <w:sz w:val="28"/>
          <w:szCs w:val="28"/>
          <w:highlight w:val="none"/>
        </w:rPr>
      </w:pPr>
    </w:p>
    <w:p w14:paraId="0C9D3088">
      <w:pPr>
        <w:spacing w:line="400" w:lineRule="exact"/>
        <w:ind w:firstLine="562" w:firstLineChars="200"/>
        <w:rPr>
          <w:rFonts w:hint="eastAsia"/>
          <w:b/>
          <w:color w:val="auto"/>
          <w:sz w:val="28"/>
          <w:szCs w:val="28"/>
          <w:highlight w:val="none"/>
        </w:rPr>
      </w:pPr>
    </w:p>
    <w:p w14:paraId="1DCE1F66">
      <w:pPr>
        <w:spacing w:line="400" w:lineRule="exact"/>
        <w:ind w:firstLine="562" w:firstLineChars="200"/>
        <w:rPr>
          <w:rFonts w:hint="eastAsia"/>
          <w:b/>
          <w:color w:val="auto"/>
          <w:sz w:val="28"/>
          <w:szCs w:val="28"/>
          <w:highlight w:val="none"/>
        </w:rPr>
      </w:pPr>
    </w:p>
    <w:p w14:paraId="78E7B546">
      <w:pPr>
        <w:spacing w:line="400" w:lineRule="exact"/>
        <w:ind w:firstLine="562" w:firstLineChars="200"/>
        <w:rPr>
          <w:rFonts w:hint="eastAsia"/>
          <w:b/>
          <w:color w:val="auto"/>
          <w:sz w:val="28"/>
          <w:szCs w:val="28"/>
          <w:highlight w:val="none"/>
        </w:rPr>
      </w:pPr>
    </w:p>
    <w:p w14:paraId="634A1429">
      <w:pPr>
        <w:spacing w:line="400" w:lineRule="exact"/>
        <w:ind w:firstLine="562" w:firstLineChars="200"/>
        <w:rPr>
          <w:rFonts w:hint="eastAsia"/>
          <w:b/>
          <w:color w:val="auto"/>
          <w:sz w:val="28"/>
          <w:szCs w:val="28"/>
          <w:highlight w:val="none"/>
        </w:rPr>
      </w:pPr>
    </w:p>
    <w:p w14:paraId="60036278">
      <w:pPr>
        <w:spacing w:line="400" w:lineRule="exact"/>
        <w:ind w:firstLine="562" w:firstLineChars="200"/>
        <w:rPr>
          <w:rFonts w:hint="eastAsia"/>
          <w:b/>
          <w:color w:val="auto"/>
          <w:sz w:val="28"/>
          <w:szCs w:val="28"/>
          <w:highlight w:val="none"/>
        </w:rPr>
      </w:pPr>
    </w:p>
    <w:p w14:paraId="030D830D">
      <w:pPr>
        <w:spacing w:line="400" w:lineRule="exact"/>
        <w:ind w:firstLine="562" w:firstLineChars="200"/>
        <w:rPr>
          <w:rFonts w:hint="eastAsia"/>
          <w:b/>
          <w:color w:val="auto"/>
          <w:sz w:val="28"/>
          <w:szCs w:val="28"/>
          <w:highlight w:val="none"/>
        </w:rPr>
      </w:pPr>
    </w:p>
    <w:p w14:paraId="7A4A11C3">
      <w:pPr>
        <w:spacing w:line="400" w:lineRule="exact"/>
        <w:ind w:firstLine="562" w:firstLineChars="200"/>
        <w:rPr>
          <w:b/>
          <w:color w:val="auto"/>
          <w:sz w:val="28"/>
          <w:szCs w:val="28"/>
          <w:highlight w:val="none"/>
        </w:rPr>
      </w:pPr>
    </w:p>
    <w:p w14:paraId="1F99CDFA">
      <w:pPr>
        <w:spacing w:line="400" w:lineRule="exact"/>
        <w:ind w:firstLine="562" w:firstLineChars="200"/>
        <w:rPr>
          <w:b/>
          <w:color w:val="auto"/>
          <w:sz w:val="28"/>
          <w:szCs w:val="28"/>
          <w:highlight w:val="none"/>
        </w:rPr>
      </w:pPr>
    </w:p>
    <w:p w14:paraId="259668B3">
      <w:pPr>
        <w:spacing w:line="400" w:lineRule="exact"/>
        <w:ind w:firstLine="562" w:firstLineChars="200"/>
        <w:rPr>
          <w:b/>
          <w:color w:val="auto"/>
          <w:sz w:val="28"/>
          <w:szCs w:val="28"/>
          <w:highlight w:val="none"/>
        </w:rPr>
      </w:pPr>
    </w:p>
    <w:p w14:paraId="4BFB704F">
      <w:pPr>
        <w:pStyle w:val="36"/>
        <w:rPr>
          <w:color w:val="auto"/>
          <w:highlight w:val="none"/>
        </w:rPr>
      </w:pPr>
    </w:p>
    <w:p w14:paraId="03AE9702">
      <w:pPr>
        <w:spacing w:line="400" w:lineRule="exact"/>
        <w:ind w:firstLine="562" w:firstLineChars="200"/>
        <w:rPr>
          <w:rFonts w:hint="eastAsia"/>
          <w:b/>
          <w:color w:val="auto"/>
          <w:sz w:val="28"/>
          <w:szCs w:val="28"/>
          <w:highlight w:val="none"/>
        </w:rPr>
      </w:pPr>
    </w:p>
    <w:bookmarkEnd w:id="69"/>
    <w:bookmarkEnd w:id="70"/>
    <w:p w14:paraId="21489F37">
      <w:pPr>
        <w:spacing w:line="440" w:lineRule="exact"/>
        <w:jc w:val="center"/>
        <w:outlineLvl w:val="0"/>
        <w:rPr>
          <w:rFonts w:hint="eastAsia" w:ascii="宋体"/>
          <w:b/>
          <w:color w:val="auto"/>
          <w:sz w:val="32"/>
          <w:szCs w:val="32"/>
          <w:highlight w:val="none"/>
          <w:lang w:val="en-US" w:eastAsia="zh-CN"/>
        </w:rPr>
      </w:pPr>
      <w:bookmarkStart w:id="118" w:name="_Toc449028957"/>
      <w:bookmarkStart w:id="119" w:name="_Toc58430333"/>
    </w:p>
    <w:p w14:paraId="2D1FC77D">
      <w:pPr>
        <w:spacing w:line="440" w:lineRule="exact"/>
        <w:jc w:val="center"/>
        <w:outlineLvl w:val="0"/>
        <w:rPr>
          <w:rFonts w:hint="eastAsia" w:ascii="宋体"/>
          <w:b/>
          <w:color w:val="auto"/>
          <w:sz w:val="32"/>
          <w:szCs w:val="32"/>
          <w:highlight w:val="none"/>
          <w:lang w:val="en-US" w:eastAsia="zh-CN"/>
        </w:rPr>
      </w:pPr>
    </w:p>
    <w:p w14:paraId="135E20A2">
      <w:pPr>
        <w:spacing w:line="440" w:lineRule="exact"/>
        <w:jc w:val="center"/>
        <w:outlineLvl w:val="0"/>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118"/>
      <w:bookmarkEnd w:id="119"/>
    </w:p>
    <w:p w14:paraId="04E2E7F0">
      <w:pPr>
        <w:spacing w:line="440" w:lineRule="exact"/>
        <w:rPr>
          <w:rFonts w:hint="eastAsia" w:ascii="宋体"/>
          <w:color w:val="auto"/>
          <w:sz w:val="24"/>
          <w:highlight w:val="none"/>
          <w:u w:val="single"/>
        </w:rPr>
      </w:pPr>
    </w:p>
    <w:tbl>
      <w:tblPr>
        <w:tblStyle w:val="37"/>
        <w:tblW w:w="0" w:type="auto"/>
        <w:jc w:val="center"/>
        <w:tblLayout w:type="fixed"/>
        <w:tblCellMar>
          <w:top w:w="0" w:type="dxa"/>
          <w:left w:w="108" w:type="dxa"/>
          <w:bottom w:w="0" w:type="dxa"/>
          <w:right w:w="108" w:type="dxa"/>
        </w:tblCellMar>
      </w:tblPr>
      <w:tblGrid>
        <w:gridCol w:w="9374"/>
      </w:tblGrid>
      <w:tr w14:paraId="771D33CC">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A493853">
            <w:pPr>
              <w:spacing w:line="440" w:lineRule="exact"/>
              <w:ind w:firstLine="560" w:firstLineChars="200"/>
              <w:rPr>
                <w:rFonts w:hint="eastAsia" w:ascii="宋体" w:cs="宋体"/>
                <w:color w:val="auto"/>
                <w:sz w:val="28"/>
                <w:szCs w:val="28"/>
                <w:highlight w:val="none"/>
              </w:rPr>
            </w:pPr>
          </w:p>
          <w:p w14:paraId="0A2F0462">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滁州市军粮供应站有限公司车辆定点保险项目（三次）</w:t>
            </w:r>
            <w:r>
              <w:rPr>
                <w:rFonts w:hint="eastAsia" w:ascii="宋体" w:cs="宋体"/>
                <w:color w:val="auto"/>
                <w:sz w:val="28"/>
                <w:szCs w:val="28"/>
                <w:highlight w:val="none"/>
              </w:rPr>
              <w:t>的招标文件进行确认。</w:t>
            </w:r>
          </w:p>
          <w:p w14:paraId="208C4681">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滁州市军粮供应站有限公司</w:t>
            </w:r>
          </w:p>
          <w:p w14:paraId="33D21314">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钟庆阳</w:t>
            </w:r>
          </w:p>
          <w:p w14:paraId="6A4C4EC9">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15375026152</w:t>
            </w:r>
          </w:p>
          <w:p w14:paraId="0980A568">
            <w:pPr>
              <w:spacing w:line="540" w:lineRule="exact"/>
              <w:ind w:firstLine="560" w:firstLineChars="200"/>
              <w:jc w:val="left"/>
              <w:rPr>
                <w:rFonts w:hint="default" w:ascii="宋体" w:eastAsia="宋体" w:cs="宋体"/>
                <w:color w:val="auto"/>
                <w:sz w:val="28"/>
                <w:szCs w:val="28"/>
                <w:highlight w:val="none"/>
                <w:lang w:val="en-US" w:eastAsia="zh-CN"/>
              </w:rPr>
            </w:pPr>
            <w:r>
              <w:rPr>
                <w:rFonts w:hint="eastAsia" w:ascii="宋体" w:cs="宋体"/>
                <w:color w:val="auto"/>
                <w:sz w:val="28"/>
                <w:szCs w:val="28"/>
                <w:highlight w:val="none"/>
                <w:lang w:val="en-US" w:eastAsia="zh-CN"/>
              </w:rPr>
              <w:t>监督电话：0550-3017855</w:t>
            </w:r>
          </w:p>
          <w:p w14:paraId="03AC67FC">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1A1E50CE">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tr w14:paraId="43268E00">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6CEC725">
            <w:pPr>
              <w:spacing w:line="440" w:lineRule="exact"/>
              <w:rPr>
                <w:rFonts w:hint="eastAsia" w:ascii="宋体" w:cs="宋体"/>
                <w:color w:val="auto"/>
                <w:sz w:val="28"/>
                <w:szCs w:val="28"/>
                <w:highlight w:val="none"/>
              </w:rPr>
            </w:pPr>
          </w:p>
          <w:p w14:paraId="73FF673E">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C8823D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38485FE">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1BA16D76">
            <w:pPr>
              <w:spacing w:line="520" w:lineRule="exact"/>
              <w:ind w:firstLine="6300" w:firstLineChars="2250"/>
              <w:rPr>
                <w:rFonts w:hint="eastAsia" w:ascii="宋体" w:cs="宋体"/>
                <w:color w:val="auto"/>
                <w:sz w:val="28"/>
                <w:szCs w:val="28"/>
                <w:highlight w:val="none"/>
              </w:rPr>
            </w:pPr>
          </w:p>
          <w:p w14:paraId="59B20341">
            <w:pPr>
              <w:pStyle w:val="36"/>
              <w:rPr>
                <w:rFonts w:hint="eastAsia"/>
                <w:color w:val="auto"/>
                <w:highlight w:val="none"/>
              </w:rPr>
            </w:pPr>
          </w:p>
          <w:p w14:paraId="3D6B0BBC">
            <w:pPr>
              <w:spacing w:line="520" w:lineRule="exact"/>
              <w:ind w:firstLine="6580" w:firstLineChars="2350"/>
              <w:rPr>
                <w:rFonts w:hint="eastAsia" w:ascii="宋体" w:cs="宋体"/>
                <w:color w:val="auto"/>
                <w:sz w:val="28"/>
                <w:szCs w:val="28"/>
                <w:highlight w:val="none"/>
              </w:rPr>
            </w:pPr>
          </w:p>
          <w:p w14:paraId="4EDBD045">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1DD4D9EE">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bookmarkEnd w:id="0"/>
    </w:tbl>
    <w:p w14:paraId="06F58E31">
      <w:pPr>
        <w:rPr>
          <w:color w:val="auto"/>
          <w:highlight w:val="none"/>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2A13">
    <w:pPr>
      <w:pStyle w:val="26"/>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5838">
    <w:pPr>
      <w:pStyle w:val="26"/>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4909F532">
    <w:pPr>
      <w:pStyle w:val="2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7B6C">
    <w:pPr>
      <w:pStyle w:val="26"/>
      <w:framePr w:wrap="around" w:vAnchor="text" w:hAnchor="margin" w:xAlign="center" w:y="1"/>
      <w:tabs>
        <w:tab w:val="clear" w:pos="4153"/>
        <w:tab w:val="clear" w:pos="8306"/>
      </w:tabs>
      <w:rPr>
        <w:rStyle w:val="41"/>
        <w:rFonts w:hint="eastAsia"/>
      </w:rPr>
    </w:pPr>
  </w:p>
  <w:p w14:paraId="6C40E2D4">
    <w:pPr>
      <w:pStyle w:val="26"/>
      <w:tabs>
        <w:tab w:val="clear" w:pos="4153"/>
        <w:tab w:val="clear" w:pos="8306"/>
      </w:tabs>
      <w:rPr>
        <w:rFonts w:hint="eastAsia"/>
        <w:szCs w:val="21"/>
      </w:rPr>
    </w:pPr>
  </w:p>
  <w:p w14:paraId="63FD2CFC">
    <w:pPr>
      <w:pStyle w:val="2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5200">
    <w:pPr>
      <w:pStyle w:val="26"/>
      <w:tabs>
        <w:tab w:val="clear" w:pos="4153"/>
        <w:tab w:val="clear" w:pos="8306"/>
      </w:tabs>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0D0FB6">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230D0FB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F890">
    <w:pPr>
      <w:pStyle w:val="26"/>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B525F8">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4B525F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C387">
    <w:pPr>
      <w:pStyle w:val="26"/>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9271FC">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119271FC">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AA44">
    <w:pPr>
      <w:pStyle w:val="2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F5A1">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8540">
    <w:pPr>
      <w:pStyle w:val="27"/>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6362">
    <w:pPr>
      <w:pStyle w:val="2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9C1BF29A"/>
    <w:multiLevelType w:val="singleLevel"/>
    <w:tmpl w:val="9C1BF29A"/>
    <w:lvl w:ilvl="0" w:tentative="0">
      <w:start w:val="2"/>
      <w:numFmt w:val="chineseCounting"/>
      <w:suff w:val="nothing"/>
      <w:lvlText w:val="%1、"/>
      <w:lvlJc w:val="left"/>
      <w:rPr>
        <w:rFonts w:hint="eastAsia"/>
      </w:rPr>
    </w:lvl>
  </w:abstractNum>
  <w:abstractNum w:abstractNumId="2">
    <w:nsid w:val="C70B480E"/>
    <w:multiLevelType w:val="singleLevel"/>
    <w:tmpl w:val="C70B480E"/>
    <w:lvl w:ilvl="0" w:tentative="0">
      <w:start w:val="2"/>
      <w:numFmt w:val="chineseCounting"/>
      <w:suff w:val="nothing"/>
      <w:lvlText w:val="（%1）"/>
      <w:lvlJc w:val="left"/>
      <w:rPr>
        <w:rFonts w:hint="eastAsia"/>
      </w:rPr>
    </w:lvl>
  </w:abstractNum>
  <w:abstractNum w:abstractNumId="3">
    <w:nsid w:val="00000019"/>
    <w:multiLevelType w:val="multilevel"/>
    <w:tmpl w:val="00000019"/>
    <w:lvl w:ilvl="0" w:tentative="0">
      <w:start w:val="1"/>
      <w:numFmt w:val="chineseCountingThousand"/>
      <w:pStyle w:val="120"/>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4">
    <w:nsid w:val="18995355"/>
    <w:multiLevelType w:val="multilevel"/>
    <w:tmpl w:val="18995355"/>
    <w:lvl w:ilvl="0" w:tentative="0">
      <w:start w:val="1"/>
      <w:numFmt w:val="decimal"/>
      <w:pStyle w:val="10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323379E"/>
    <w:multiLevelType w:val="multilevel"/>
    <w:tmpl w:val="2323379E"/>
    <w:lvl w:ilvl="0" w:tentative="0">
      <w:start w:val="1"/>
      <w:numFmt w:val="chineseCountingThousand"/>
      <w:pStyle w:val="34"/>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857717"/>
    <w:multiLevelType w:val="multilevel"/>
    <w:tmpl w:val="26857717"/>
    <w:lvl w:ilvl="0" w:tentative="0">
      <w:start w:val="1"/>
      <w:numFmt w:val="chineseCountingThousand"/>
      <w:pStyle w:val="103"/>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8">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9">
    <w:nsid w:val="6F1D7D26"/>
    <w:multiLevelType w:val="multilevel"/>
    <w:tmpl w:val="6F1D7D26"/>
    <w:lvl w:ilvl="0" w:tentative="0">
      <w:start w:val="1"/>
      <w:numFmt w:val="decimal"/>
      <w:pStyle w:val="29"/>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8"/>
  </w:num>
  <w:num w:numId="3">
    <w:abstractNumId w:val="9"/>
  </w:num>
  <w:num w:numId="4">
    <w:abstractNumId w:val="5"/>
  </w:num>
  <w:num w:numId="5">
    <w:abstractNumId w:val="6"/>
  </w:num>
  <w:num w:numId="6">
    <w:abstractNumId w:val="4"/>
  </w:num>
  <w:num w:numId="7">
    <w:abstractNumId w:val="3"/>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3AD7"/>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74D4A"/>
    <w:rsid w:val="04C90D1F"/>
    <w:rsid w:val="050138D2"/>
    <w:rsid w:val="05037796"/>
    <w:rsid w:val="05047743"/>
    <w:rsid w:val="05072DB3"/>
    <w:rsid w:val="051E0804"/>
    <w:rsid w:val="055C132D"/>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7443"/>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82EF0"/>
    <w:rsid w:val="0C7B0EF4"/>
    <w:rsid w:val="0C7D0C73"/>
    <w:rsid w:val="0C8E44C1"/>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A61F41"/>
    <w:rsid w:val="11B01C7F"/>
    <w:rsid w:val="11C72224"/>
    <w:rsid w:val="11D16BFE"/>
    <w:rsid w:val="11E20E0C"/>
    <w:rsid w:val="11E579C9"/>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2FBB"/>
    <w:rsid w:val="13C44C6D"/>
    <w:rsid w:val="13F53078"/>
    <w:rsid w:val="13FD017F"/>
    <w:rsid w:val="1400703C"/>
    <w:rsid w:val="14024E31"/>
    <w:rsid w:val="1409043E"/>
    <w:rsid w:val="140B464A"/>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AC459E"/>
    <w:rsid w:val="16BB08D6"/>
    <w:rsid w:val="16C33CD0"/>
    <w:rsid w:val="16C86EEE"/>
    <w:rsid w:val="16CF74AC"/>
    <w:rsid w:val="16D62899"/>
    <w:rsid w:val="16D86AD9"/>
    <w:rsid w:val="16E24DAF"/>
    <w:rsid w:val="16E478E9"/>
    <w:rsid w:val="16F21AF1"/>
    <w:rsid w:val="16F45869"/>
    <w:rsid w:val="17025136"/>
    <w:rsid w:val="17080CB3"/>
    <w:rsid w:val="17104E33"/>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6269"/>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8D3DC1"/>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A068A5"/>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825A9"/>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4029BB"/>
    <w:rsid w:val="29683511"/>
    <w:rsid w:val="296D1EE4"/>
    <w:rsid w:val="29944EB8"/>
    <w:rsid w:val="299C4433"/>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E3714"/>
    <w:rsid w:val="2BBF02A4"/>
    <w:rsid w:val="2BD24D2D"/>
    <w:rsid w:val="2BDE71AB"/>
    <w:rsid w:val="2BEE51CA"/>
    <w:rsid w:val="2BF8505C"/>
    <w:rsid w:val="2C3B319A"/>
    <w:rsid w:val="2C3C1A6A"/>
    <w:rsid w:val="2C540D91"/>
    <w:rsid w:val="2C6537E2"/>
    <w:rsid w:val="2C6C7279"/>
    <w:rsid w:val="2C815051"/>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BB358E"/>
    <w:rsid w:val="2FCB7EDC"/>
    <w:rsid w:val="2FD951A4"/>
    <w:rsid w:val="2FE60F0B"/>
    <w:rsid w:val="2FF150C3"/>
    <w:rsid w:val="2FFE3400"/>
    <w:rsid w:val="301B0290"/>
    <w:rsid w:val="303C4D07"/>
    <w:rsid w:val="30647164"/>
    <w:rsid w:val="306C3ED5"/>
    <w:rsid w:val="306C6C6A"/>
    <w:rsid w:val="306D3F93"/>
    <w:rsid w:val="30711C4D"/>
    <w:rsid w:val="308A649E"/>
    <w:rsid w:val="308E5A68"/>
    <w:rsid w:val="30A2226B"/>
    <w:rsid w:val="30BB2AFC"/>
    <w:rsid w:val="30C22649"/>
    <w:rsid w:val="30D90D23"/>
    <w:rsid w:val="30DC08E6"/>
    <w:rsid w:val="30E97669"/>
    <w:rsid w:val="312E022B"/>
    <w:rsid w:val="314221E6"/>
    <w:rsid w:val="314A45AB"/>
    <w:rsid w:val="314D7BF8"/>
    <w:rsid w:val="31534D0D"/>
    <w:rsid w:val="317118EE"/>
    <w:rsid w:val="318555E4"/>
    <w:rsid w:val="318A3760"/>
    <w:rsid w:val="31C84C92"/>
    <w:rsid w:val="31D163B5"/>
    <w:rsid w:val="31D976DD"/>
    <w:rsid w:val="31DE4220"/>
    <w:rsid w:val="3201528F"/>
    <w:rsid w:val="32070193"/>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91BA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E54418"/>
    <w:rsid w:val="33F07509"/>
    <w:rsid w:val="33F627C9"/>
    <w:rsid w:val="341A5E10"/>
    <w:rsid w:val="34272982"/>
    <w:rsid w:val="342804A8"/>
    <w:rsid w:val="343C7EFD"/>
    <w:rsid w:val="34472085"/>
    <w:rsid w:val="34572B3B"/>
    <w:rsid w:val="3474193F"/>
    <w:rsid w:val="347A4AA6"/>
    <w:rsid w:val="34BA5036"/>
    <w:rsid w:val="34BC5AFA"/>
    <w:rsid w:val="34D337DA"/>
    <w:rsid w:val="34D6600F"/>
    <w:rsid w:val="34EE34A0"/>
    <w:rsid w:val="34FA7F15"/>
    <w:rsid w:val="34FB24F0"/>
    <w:rsid w:val="351F7AFD"/>
    <w:rsid w:val="352930DB"/>
    <w:rsid w:val="353B59DD"/>
    <w:rsid w:val="35534E88"/>
    <w:rsid w:val="355A14CA"/>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5E74BB"/>
    <w:rsid w:val="38645F08"/>
    <w:rsid w:val="38697E97"/>
    <w:rsid w:val="387168C2"/>
    <w:rsid w:val="3888121E"/>
    <w:rsid w:val="389B1BDF"/>
    <w:rsid w:val="38A1659F"/>
    <w:rsid w:val="38AF2F46"/>
    <w:rsid w:val="38C95821"/>
    <w:rsid w:val="38F02478"/>
    <w:rsid w:val="390239BE"/>
    <w:rsid w:val="39180C1C"/>
    <w:rsid w:val="392A1B36"/>
    <w:rsid w:val="392A34F7"/>
    <w:rsid w:val="392A4E38"/>
    <w:rsid w:val="392E20B7"/>
    <w:rsid w:val="393A6E69"/>
    <w:rsid w:val="39675500"/>
    <w:rsid w:val="396B1563"/>
    <w:rsid w:val="39754190"/>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A1177A"/>
    <w:rsid w:val="3ABC194A"/>
    <w:rsid w:val="3AF37A62"/>
    <w:rsid w:val="3AF61300"/>
    <w:rsid w:val="3AFB6916"/>
    <w:rsid w:val="3AFD73E8"/>
    <w:rsid w:val="3B381919"/>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C367A"/>
    <w:rsid w:val="3DB039E8"/>
    <w:rsid w:val="3DC01751"/>
    <w:rsid w:val="3DCF2188"/>
    <w:rsid w:val="3DD1570D"/>
    <w:rsid w:val="3DDE7492"/>
    <w:rsid w:val="3DF2026B"/>
    <w:rsid w:val="3DF80EEB"/>
    <w:rsid w:val="3DFA1107"/>
    <w:rsid w:val="3DFF04CC"/>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5E1222"/>
    <w:rsid w:val="3F6A4370"/>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3606C6"/>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C1214"/>
    <w:rsid w:val="47021DBA"/>
    <w:rsid w:val="470B38B4"/>
    <w:rsid w:val="471F2FD5"/>
    <w:rsid w:val="475D3DAD"/>
    <w:rsid w:val="478101A3"/>
    <w:rsid w:val="479C5383"/>
    <w:rsid w:val="479F646B"/>
    <w:rsid w:val="47A56FB4"/>
    <w:rsid w:val="47AD7CF1"/>
    <w:rsid w:val="47B70069"/>
    <w:rsid w:val="47C73D3A"/>
    <w:rsid w:val="47D67F88"/>
    <w:rsid w:val="4803505C"/>
    <w:rsid w:val="480831B5"/>
    <w:rsid w:val="480D66CD"/>
    <w:rsid w:val="480F105A"/>
    <w:rsid w:val="48194880"/>
    <w:rsid w:val="482849BA"/>
    <w:rsid w:val="483D056E"/>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D3F70"/>
    <w:rsid w:val="4A103FF4"/>
    <w:rsid w:val="4A1277D9"/>
    <w:rsid w:val="4A5D0A54"/>
    <w:rsid w:val="4A666565"/>
    <w:rsid w:val="4A7B66E4"/>
    <w:rsid w:val="4A7D5113"/>
    <w:rsid w:val="4A7F4FCB"/>
    <w:rsid w:val="4A812A30"/>
    <w:rsid w:val="4A89523C"/>
    <w:rsid w:val="4AB019AF"/>
    <w:rsid w:val="4AC54E91"/>
    <w:rsid w:val="4AD5154D"/>
    <w:rsid w:val="4AEA3364"/>
    <w:rsid w:val="4AF73617"/>
    <w:rsid w:val="4B101F6A"/>
    <w:rsid w:val="4B49722A"/>
    <w:rsid w:val="4B593BC4"/>
    <w:rsid w:val="4B6A463C"/>
    <w:rsid w:val="4B902FB1"/>
    <w:rsid w:val="4B9E0E3F"/>
    <w:rsid w:val="4BB63B5B"/>
    <w:rsid w:val="4BB9615E"/>
    <w:rsid w:val="4BCC283D"/>
    <w:rsid w:val="4BD35E6D"/>
    <w:rsid w:val="4BDC1E4C"/>
    <w:rsid w:val="4BE1231B"/>
    <w:rsid w:val="4BFE6021"/>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4972AB"/>
    <w:rsid w:val="5373169B"/>
    <w:rsid w:val="53747D16"/>
    <w:rsid w:val="5378497F"/>
    <w:rsid w:val="53C6061F"/>
    <w:rsid w:val="53E544DB"/>
    <w:rsid w:val="53F046E7"/>
    <w:rsid w:val="53F82EC8"/>
    <w:rsid w:val="540B1521"/>
    <w:rsid w:val="5415227F"/>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7473DD"/>
    <w:rsid w:val="57911484"/>
    <w:rsid w:val="57BE00CF"/>
    <w:rsid w:val="57C33EC0"/>
    <w:rsid w:val="57CF104F"/>
    <w:rsid w:val="57CF47C9"/>
    <w:rsid w:val="57D939CD"/>
    <w:rsid w:val="57DE6F4C"/>
    <w:rsid w:val="57FB5468"/>
    <w:rsid w:val="57FF0946"/>
    <w:rsid w:val="58075B26"/>
    <w:rsid w:val="580A355F"/>
    <w:rsid w:val="580E4D1D"/>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C21F1"/>
    <w:rsid w:val="5A447687"/>
    <w:rsid w:val="5A4C2893"/>
    <w:rsid w:val="5A603305"/>
    <w:rsid w:val="5A701838"/>
    <w:rsid w:val="5A8156DE"/>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926FC"/>
    <w:rsid w:val="5BF54320"/>
    <w:rsid w:val="5C1633F6"/>
    <w:rsid w:val="5C246971"/>
    <w:rsid w:val="5C4867F4"/>
    <w:rsid w:val="5C514191"/>
    <w:rsid w:val="5C6737F1"/>
    <w:rsid w:val="5C9C18B0"/>
    <w:rsid w:val="5C9E7970"/>
    <w:rsid w:val="5CB36BF9"/>
    <w:rsid w:val="5CBD1826"/>
    <w:rsid w:val="5CC37F37"/>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A7453C"/>
    <w:rsid w:val="5EAE0F71"/>
    <w:rsid w:val="5ED27BE1"/>
    <w:rsid w:val="5ED35BB4"/>
    <w:rsid w:val="5ED75612"/>
    <w:rsid w:val="5EE25574"/>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5FF4555F"/>
    <w:rsid w:val="602676E1"/>
    <w:rsid w:val="602E4F74"/>
    <w:rsid w:val="603418A5"/>
    <w:rsid w:val="60366D51"/>
    <w:rsid w:val="60487659"/>
    <w:rsid w:val="604D4C6F"/>
    <w:rsid w:val="60936B26"/>
    <w:rsid w:val="6098238E"/>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6478C2"/>
    <w:rsid w:val="626529F4"/>
    <w:rsid w:val="626C4988"/>
    <w:rsid w:val="62854B94"/>
    <w:rsid w:val="62A47FD8"/>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6845B1"/>
    <w:rsid w:val="668D3AA7"/>
    <w:rsid w:val="668D6304"/>
    <w:rsid w:val="669C6028"/>
    <w:rsid w:val="669F0689"/>
    <w:rsid w:val="66A87A0F"/>
    <w:rsid w:val="66B20509"/>
    <w:rsid w:val="66C50541"/>
    <w:rsid w:val="66C509D5"/>
    <w:rsid w:val="66DA2CB3"/>
    <w:rsid w:val="66F40793"/>
    <w:rsid w:val="670E33AA"/>
    <w:rsid w:val="6717038D"/>
    <w:rsid w:val="671706D3"/>
    <w:rsid w:val="672F48CC"/>
    <w:rsid w:val="6730396A"/>
    <w:rsid w:val="67346B89"/>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85CC0"/>
    <w:rsid w:val="6AF7771D"/>
    <w:rsid w:val="6B036F9E"/>
    <w:rsid w:val="6B311795"/>
    <w:rsid w:val="6B4D0219"/>
    <w:rsid w:val="6BA17867"/>
    <w:rsid w:val="6BA8544F"/>
    <w:rsid w:val="6BB141CE"/>
    <w:rsid w:val="6BBA58AE"/>
    <w:rsid w:val="6BBE4C73"/>
    <w:rsid w:val="6BD45513"/>
    <w:rsid w:val="6BEF0C80"/>
    <w:rsid w:val="6BF41DBA"/>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B3108B"/>
    <w:rsid w:val="6DBD5004"/>
    <w:rsid w:val="6DC63E68"/>
    <w:rsid w:val="6DCF4F15"/>
    <w:rsid w:val="6DD447A6"/>
    <w:rsid w:val="6DDE4DD4"/>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672B20"/>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93477"/>
    <w:rsid w:val="76063D02"/>
    <w:rsid w:val="7631116A"/>
    <w:rsid w:val="76312C11"/>
    <w:rsid w:val="76345B3A"/>
    <w:rsid w:val="764346F2"/>
    <w:rsid w:val="76454D95"/>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61305"/>
    <w:rsid w:val="784974F5"/>
    <w:rsid w:val="784B19A6"/>
    <w:rsid w:val="78540E39"/>
    <w:rsid w:val="78681083"/>
    <w:rsid w:val="788B24B1"/>
    <w:rsid w:val="789079E5"/>
    <w:rsid w:val="7891016B"/>
    <w:rsid w:val="78A04C44"/>
    <w:rsid w:val="78AF42C1"/>
    <w:rsid w:val="78C338C8"/>
    <w:rsid w:val="78E72828"/>
    <w:rsid w:val="78EA7B9F"/>
    <w:rsid w:val="79224F56"/>
    <w:rsid w:val="79336CA0"/>
    <w:rsid w:val="793A7966"/>
    <w:rsid w:val="793B1C09"/>
    <w:rsid w:val="7947274B"/>
    <w:rsid w:val="794B3FEA"/>
    <w:rsid w:val="79BA79F3"/>
    <w:rsid w:val="79BB215E"/>
    <w:rsid w:val="79D87646"/>
    <w:rsid w:val="79E82BC7"/>
    <w:rsid w:val="79EB6979"/>
    <w:rsid w:val="7A1067EC"/>
    <w:rsid w:val="7A192CE7"/>
    <w:rsid w:val="7A2E2EA3"/>
    <w:rsid w:val="7A3007C8"/>
    <w:rsid w:val="7A3231AD"/>
    <w:rsid w:val="7A4A77F3"/>
    <w:rsid w:val="7A5A72EE"/>
    <w:rsid w:val="7A844288"/>
    <w:rsid w:val="7AA82540"/>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8303D8"/>
    <w:rsid w:val="7BA43E85"/>
    <w:rsid w:val="7BBF4208"/>
    <w:rsid w:val="7BC0312E"/>
    <w:rsid w:val="7BC40083"/>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9932BE"/>
    <w:rsid w:val="7C9B286D"/>
    <w:rsid w:val="7C9B7FF0"/>
    <w:rsid w:val="7CB53251"/>
    <w:rsid w:val="7CB62D19"/>
    <w:rsid w:val="7CD93821"/>
    <w:rsid w:val="7CD95805"/>
    <w:rsid w:val="7D13314E"/>
    <w:rsid w:val="7D230DDA"/>
    <w:rsid w:val="7D365DD8"/>
    <w:rsid w:val="7D3A23FC"/>
    <w:rsid w:val="7D625FC7"/>
    <w:rsid w:val="7D650CA3"/>
    <w:rsid w:val="7D6A0419"/>
    <w:rsid w:val="7D6B7727"/>
    <w:rsid w:val="7D7A5D33"/>
    <w:rsid w:val="7D7B0C16"/>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8"/>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after="64" w:line="320" w:lineRule="auto"/>
      <w:outlineLvl w:val="6"/>
    </w:pPr>
    <w:rPr>
      <w:b/>
      <w:bCs/>
      <w:sz w:val="24"/>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2"/>
    <w:autoRedefine/>
    <w:qFormat/>
    <w:uiPriority w:val="0"/>
    <w:pPr>
      <w:jc w:val="left"/>
    </w:pPr>
  </w:style>
  <w:style w:type="paragraph" w:styleId="13">
    <w:name w:val="Body Text"/>
    <w:basedOn w:val="1"/>
    <w:next w:val="14"/>
    <w:autoRedefine/>
    <w:semiHidden/>
    <w:qFormat/>
    <w:uiPriority w:val="0"/>
    <w:pPr>
      <w:spacing w:after="120"/>
    </w:pPr>
  </w:style>
  <w:style w:type="paragraph" w:styleId="14">
    <w:name w:val="Body Text First Indent"/>
    <w:basedOn w:val="13"/>
    <w:next w:val="15"/>
    <w:qFormat/>
    <w:uiPriority w:val="0"/>
    <w:pPr>
      <w:ind w:firstLine="420" w:firstLineChars="100"/>
    </w:pPr>
    <w:rPr>
      <w:rFonts w:ascii="Times New Roman" w:hAnsi="Times New Roman" w:eastAsia="宋体" w:cs="Times New Roman"/>
    </w:rPr>
  </w:style>
  <w:style w:type="paragraph" w:styleId="15">
    <w:name w:val="toc 6"/>
    <w:basedOn w:val="1"/>
    <w:next w:val="1"/>
    <w:qFormat/>
    <w:uiPriority w:val="0"/>
    <w:pPr>
      <w:autoSpaceDE w:val="0"/>
      <w:autoSpaceDN w:val="0"/>
      <w:ind w:left="1700"/>
      <w:jc w:val="left"/>
      <w:textAlignment w:val="baseline"/>
    </w:pPr>
    <w:rPr>
      <w:kern w:val="0"/>
      <w:sz w:val="18"/>
      <w:szCs w:val="18"/>
    </w:rPr>
  </w:style>
  <w:style w:type="paragraph" w:styleId="16">
    <w:name w:val="Body Text Indent"/>
    <w:basedOn w:val="1"/>
    <w:next w:val="17"/>
    <w:link w:val="55"/>
    <w:autoRedefine/>
    <w:qFormat/>
    <w:uiPriority w:val="0"/>
    <w:pPr>
      <w:spacing w:after="120"/>
      <w:ind w:left="200" w:leftChars="200"/>
    </w:pPr>
  </w:style>
  <w:style w:type="paragraph" w:styleId="17">
    <w:name w:val="envelope return"/>
    <w:basedOn w:val="1"/>
    <w:autoRedefine/>
    <w:qFormat/>
    <w:uiPriority w:val="0"/>
    <w:pPr>
      <w:snapToGrid w:val="0"/>
    </w:pPr>
    <w:rPr>
      <w:rFonts w:ascii="Arial" w:hAnsi="Arial"/>
    </w:rPr>
  </w:style>
  <w:style w:type="paragraph" w:styleId="18">
    <w:name w:val="List 2"/>
    <w:basedOn w:val="1"/>
    <w:unhideWhenUsed/>
    <w:qFormat/>
    <w:uiPriority w:val="99"/>
    <w:pPr>
      <w:ind w:left="840" w:hanging="420"/>
    </w:pPr>
    <w:rPr>
      <w:sz w:val="24"/>
      <w:szCs w:val="20"/>
    </w:rPr>
  </w:style>
  <w:style w:type="paragraph" w:styleId="19">
    <w:name w:val="index 4"/>
    <w:basedOn w:val="1"/>
    <w:next w:val="1"/>
    <w:qFormat/>
    <w:uiPriority w:val="0"/>
    <w:pPr>
      <w:ind w:left="600" w:leftChars="600"/>
    </w:pPr>
    <w:rPr>
      <w:rFonts w:ascii="Times New Roman" w:hAnsi="Times New Roman" w:eastAsia="宋体" w:cs="Times New Roman"/>
    </w:rPr>
  </w:style>
  <w:style w:type="paragraph" w:styleId="20">
    <w:name w:val="toc 3"/>
    <w:basedOn w:val="1"/>
    <w:next w:val="1"/>
    <w:autoRedefine/>
    <w:qFormat/>
    <w:uiPriority w:val="39"/>
    <w:pPr>
      <w:tabs>
        <w:tab w:val="right" w:leader="dot" w:pos="9288"/>
      </w:tabs>
      <w:ind w:left="400" w:leftChars="400"/>
    </w:pPr>
    <w:rPr>
      <w:rFonts w:ascii="宋体"/>
    </w:rPr>
  </w:style>
  <w:style w:type="paragraph" w:styleId="21">
    <w:name w:val="Plain Text"/>
    <w:basedOn w:val="1"/>
    <w:next w:val="1"/>
    <w:link w:val="63"/>
    <w:qFormat/>
    <w:uiPriority w:val="99"/>
    <w:rPr>
      <w:rFonts w:ascii="宋体"/>
      <w:color w:val="000000"/>
      <w:szCs w:val="20"/>
      <w:u w:val="none" w:color="000000"/>
    </w:rPr>
  </w:style>
  <w:style w:type="paragraph" w:styleId="22">
    <w:name w:val="Date"/>
    <w:basedOn w:val="1"/>
    <w:next w:val="1"/>
    <w:link w:val="64"/>
    <w:autoRedefine/>
    <w:qFormat/>
    <w:uiPriority w:val="0"/>
    <w:rPr>
      <w:rFonts w:ascii="Arial" w:hAnsi="Arial" w:eastAsia="仿宋_GB2312"/>
      <w:color w:val="000000"/>
      <w:sz w:val="32"/>
      <w:szCs w:val="20"/>
      <w:u w:val="none" w:color="000000"/>
    </w:rPr>
  </w:style>
  <w:style w:type="paragraph" w:styleId="23">
    <w:name w:val="Body Text Indent 2"/>
    <w:basedOn w:val="1"/>
    <w:link w:val="65"/>
    <w:autoRedefine/>
    <w:qFormat/>
    <w:uiPriority w:val="0"/>
    <w:pPr>
      <w:spacing w:after="120" w:line="480" w:lineRule="auto"/>
      <w:ind w:left="420" w:leftChars="200"/>
    </w:pPr>
  </w:style>
  <w:style w:type="paragraph" w:styleId="24">
    <w:name w:val="endnote text"/>
    <w:basedOn w:val="1"/>
    <w:autoRedefine/>
    <w:qFormat/>
    <w:uiPriority w:val="99"/>
    <w:pPr>
      <w:snapToGrid w:val="0"/>
    </w:pPr>
    <w:rPr>
      <w:rFonts w:ascii="仿宋" w:hAnsi="仿宋"/>
    </w:rPr>
  </w:style>
  <w:style w:type="paragraph" w:styleId="25">
    <w:name w:val="Balloon Text"/>
    <w:basedOn w:val="1"/>
    <w:link w:val="66"/>
    <w:autoRedefine/>
    <w:qFormat/>
    <w:uiPriority w:val="0"/>
    <w:rPr>
      <w:sz w:val="18"/>
      <w:szCs w:val="18"/>
    </w:rPr>
  </w:style>
  <w:style w:type="paragraph" w:styleId="26">
    <w:name w:val="footer"/>
    <w:basedOn w:val="1"/>
    <w:link w:val="67"/>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30">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31">
    <w:name w:val="toc 2"/>
    <w:basedOn w:val="1"/>
    <w:next w:val="1"/>
    <w:qFormat/>
    <w:uiPriority w:val="39"/>
    <w:pPr>
      <w:ind w:left="200" w:leftChars="200"/>
    </w:pPr>
  </w:style>
  <w:style w:type="paragraph" w:styleId="32">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autoRedefine/>
    <w:qFormat/>
    <w:uiPriority w:val="0"/>
    <w:pPr>
      <w:jc w:val="center"/>
    </w:pPr>
    <w:rPr>
      <w:rFonts w:ascii="Arial" w:hAnsi="Arial" w:eastAsia="Arial" w:cs="Arial"/>
      <w:b/>
      <w:bCs/>
      <w:sz w:val="28"/>
    </w:rPr>
  </w:style>
  <w:style w:type="paragraph" w:styleId="34">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5">
    <w:name w:val="annotation subject"/>
    <w:basedOn w:val="12"/>
    <w:next w:val="12"/>
    <w:link w:val="69"/>
    <w:autoRedefine/>
    <w:qFormat/>
    <w:uiPriority w:val="0"/>
    <w:rPr>
      <w:b/>
      <w:bCs/>
    </w:rPr>
  </w:style>
  <w:style w:type="paragraph" w:styleId="36">
    <w:name w:val="Body Text First Indent 2"/>
    <w:basedOn w:val="16"/>
    <w:next w:val="1"/>
    <w:link w:val="56"/>
    <w:autoRedefine/>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rPr>
  </w:style>
  <w:style w:type="character" w:styleId="41">
    <w:name w:val="page number"/>
    <w:autoRedefine/>
    <w:qFormat/>
    <w:uiPriority w:val="0"/>
  </w:style>
  <w:style w:type="character" w:styleId="42">
    <w:name w:val="FollowedHyperlink"/>
    <w:autoRedefine/>
    <w:qFormat/>
    <w:uiPriority w:val="0"/>
    <w:rPr>
      <w:color w:val="333333"/>
      <w:u w:val="none"/>
    </w:rPr>
  </w:style>
  <w:style w:type="character" w:styleId="43">
    <w:name w:val="Emphasis"/>
    <w:autoRedefine/>
    <w:qFormat/>
    <w:uiPriority w:val="20"/>
    <w:rPr>
      <w:i/>
      <w:iCs/>
    </w:rPr>
  </w:style>
  <w:style w:type="character" w:styleId="44">
    <w:name w:val="HTML Definition"/>
    <w:autoRedefine/>
    <w:qFormat/>
    <w:uiPriority w:val="0"/>
  </w:style>
  <w:style w:type="character" w:styleId="45">
    <w:name w:val="HTML Typewriter"/>
    <w:autoRedefine/>
    <w:qFormat/>
    <w:uiPriority w:val="0"/>
    <w:rPr>
      <w:rFonts w:ascii="monospace" w:hAnsi="monospace" w:eastAsia="monospace" w:cs="monospace"/>
      <w:sz w:val="20"/>
    </w:rPr>
  </w:style>
  <w:style w:type="character" w:styleId="46">
    <w:name w:val="HTML Acronym"/>
    <w:autoRedefine/>
    <w:qFormat/>
    <w:uiPriority w:val="0"/>
  </w:style>
  <w:style w:type="character" w:styleId="47">
    <w:name w:val="HTML Variable"/>
    <w:autoRedefine/>
    <w:qFormat/>
    <w:uiPriority w:val="0"/>
  </w:style>
  <w:style w:type="character" w:styleId="48">
    <w:name w:val="Hyperlink"/>
    <w:autoRedefine/>
    <w:qFormat/>
    <w:uiPriority w:val="99"/>
    <w:rPr>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autoRedefin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autoRedefine/>
    <w:qFormat/>
    <w:uiPriority w:val="0"/>
    <w:rPr>
      <w:rFonts w:hint="default" w:ascii="monospace" w:hAnsi="monospace" w:eastAsia="monospace" w:cs="monospace"/>
    </w:rPr>
  </w:style>
  <w:style w:type="paragraph" w:customStyle="1" w:styleId="54">
    <w:name w:val="正文文字 8"/>
    <w:basedOn w:val="1"/>
    <w:next w:val="1"/>
    <w:autoRedefine/>
    <w:qFormat/>
    <w:uiPriority w:val="0"/>
    <w:pPr>
      <w:ind w:left="240"/>
    </w:pPr>
    <w:rPr>
      <w:sz w:val="16"/>
    </w:rPr>
  </w:style>
  <w:style w:type="character" w:customStyle="1" w:styleId="55">
    <w:name w:val="正文文本缩进 字符"/>
    <w:link w:val="16"/>
    <w:autoRedefine/>
    <w:qFormat/>
    <w:uiPriority w:val="0"/>
    <w:rPr>
      <w:kern w:val="2"/>
      <w:sz w:val="21"/>
      <w:szCs w:val="24"/>
    </w:rPr>
  </w:style>
  <w:style w:type="character" w:customStyle="1" w:styleId="56">
    <w:name w:val="正文文本首行缩进 2 字符"/>
    <w:link w:val="36"/>
    <w:autoRedefine/>
    <w:qFormat/>
    <w:uiPriority w:val="0"/>
  </w:style>
  <w:style w:type="character" w:customStyle="1" w:styleId="57">
    <w:name w:val="标题 1 字符"/>
    <w:link w:val="2"/>
    <w:autoRedefine/>
    <w:qFormat/>
    <w:uiPriority w:val="0"/>
    <w:rPr>
      <w:b/>
      <w:bCs/>
      <w:kern w:val="44"/>
      <w:sz w:val="44"/>
      <w:szCs w:val="44"/>
    </w:rPr>
  </w:style>
  <w:style w:type="character" w:customStyle="1" w:styleId="58">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9">
    <w:name w:val="标题 5 字符"/>
    <w:link w:val="6"/>
    <w:autoRedefine/>
    <w:semiHidden/>
    <w:qFormat/>
    <w:uiPriority w:val="0"/>
    <w:rPr>
      <w:b/>
      <w:bCs/>
      <w:kern w:val="2"/>
      <w:sz w:val="28"/>
      <w:szCs w:val="28"/>
    </w:rPr>
  </w:style>
  <w:style w:type="character" w:customStyle="1" w:styleId="60">
    <w:name w:val="标题 6 字符"/>
    <w:link w:val="7"/>
    <w:autoRedefine/>
    <w:semiHidden/>
    <w:qFormat/>
    <w:uiPriority w:val="0"/>
    <w:rPr>
      <w:rFonts w:ascii="Cambria" w:hAnsi="Cambria" w:eastAsia="宋体" w:cs="Times New Roman"/>
      <w:b/>
      <w:bCs/>
      <w:kern w:val="2"/>
      <w:sz w:val="24"/>
      <w:szCs w:val="24"/>
    </w:rPr>
  </w:style>
  <w:style w:type="character" w:customStyle="1" w:styleId="61">
    <w:name w:val="标题 7 字符"/>
    <w:link w:val="8"/>
    <w:autoRedefine/>
    <w:semiHidden/>
    <w:qFormat/>
    <w:uiPriority w:val="0"/>
    <w:rPr>
      <w:b/>
      <w:bCs/>
      <w:kern w:val="2"/>
      <w:sz w:val="24"/>
      <w:szCs w:val="24"/>
    </w:rPr>
  </w:style>
  <w:style w:type="character" w:customStyle="1" w:styleId="62">
    <w:name w:val="批注文字 字符"/>
    <w:link w:val="12"/>
    <w:autoRedefine/>
    <w:qFormat/>
    <w:uiPriority w:val="0"/>
    <w:rPr>
      <w:kern w:val="2"/>
      <w:sz w:val="21"/>
      <w:szCs w:val="24"/>
    </w:rPr>
  </w:style>
  <w:style w:type="character" w:customStyle="1" w:styleId="63">
    <w:name w:val="纯文本 字符"/>
    <w:link w:val="21"/>
    <w:autoRedefine/>
    <w:qFormat/>
    <w:uiPriority w:val="99"/>
    <w:rPr>
      <w:rFonts w:ascii="宋体" w:eastAsia="宋体"/>
      <w:color w:val="000000"/>
      <w:kern w:val="2"/>
      <w:sz w:val="21"/>
      <w:u w:val="none" w:color="000000"/>
      <w:lang w:val="en-US" w:eastAsia="zh-CN" w:bidi="ar-SA"/>
    </w:rPr>
  </w:style>
  <w:style w:type="character" w:customStyle="1" w:styleId="64">
    <w:name w:val="日期 字符"/>
    <w:link w:val="22"/>
    <w:autoRedefine/>
    <w:qFormat/>
    <w:uiPriority w:val="0"/>
    <w:rPr>
      <w:rFonts w:ascii="Arial" w:hAnsi="Arial" w:eastAsia="仿宋_GB2312"/>
      <w:color w:val="000000"/>
      <w:kern w:val="2"/>
      <w:sz w:val="32"/>
      <w:u w:val="none" w:color="000000"/>
    </w:rPr>
  </w:style>
  <w:style w:type="character" w:customStyle="1" w:styleId="65">
    <w:name w:val="正文文本缩进 2 字符"/>
    <w:link w:val="23"/>
    <w:autoRedefine/>
    <w:qFormat/>
    <w:uiPriority w:val="0"/>
    <w:rPr>
      <w:kern w:val="2"/>
      <w:sz w:val="21"/>
      <w:szCs w:val="24"/>
    </w:rPr>
  </w:style>
  <w:style w:type="character" w:customStyle="1" w:styleId="66">
    <w:name w:val="批注框文本 字符"/>
    <w:link w:val="25"/>
    <w:autoRedefine/>
    <w:qFormat/>
    <w:uiPriority w:val="0"/>
    <w:rPr>
      <w:kern w:val="2"/>
      <w:sz w:val="18"/>
      <w:szCs w:val="18"/>
    </w:rPr>
  </w:style>
  <w:style w:type="character" w:customStyle="1" w:styleId="67">
    <w:name w:val="页脚 字符"/>
    <w:link w:val="26"/>
    <w:autoRedefine/>
    <w:qFormat/>
    <w:locked/>
    <w:uiPriority w:val="0"/>
    <w:rPr>
      <w:kern w:val="2"/>
      <w:sz w:val="18"/>
      <w:szCs w:val="18"/>
    </w:rPr>
  </w:style>
  <w:style w:type="character" w:customStyle="1" w:styleId="68">
    <w:name w:val="页眉 字符"/>
    <w:link w:val="27"/>
    <w:autoRedefine/>
    <w:qFormat/>
    <w:locked/>
    <w:uiPriority w:val="0"/>
    <w:rPr>
      <w:kern w:val="2"/>
      <w:sz w:val="18"/>
      <w:szCs w:val="18"/>
    </w:rPr>
  </w:style>
  <w:style w:type="character" w:customStyle="1" w:styleId="69">
    <w:name w:val="批注主题 字符"/>
    <w:link w:val="35"/>
    <w:autoRedefine/>
    <w:qFormat/>
    <w:uiPriority w:val="0"/>
    <w:rPr>
      <w:b/>
      <w:bCs/>
      <w:kern w:val="2"/>
      <w:sz w:val="21"/>
      <w:szCs w:val="24"/>
    </w:rPr>
  </w:style>
  <w:style w:type="character" w:customStyle="1" w:styleId="70">
    <w:name w:val="font121"/>
    <w:autoRedefine/>
    <w:qFormat/>
    <w:uiPriority w:val="0"/>
    <w:rPr>
      <w:rFonts w:hint="eastAsia" w:ascii="宋体" w:hAnsi="宋体" w:eastAsia="宋体" w:cs="宋体"/>
      <w:color w:val="000000"/>
      <w:sz w:val="24"/>
      <w:szCs w:val="24"/>
      <w:u w:val="none"/>
    </w:rPr>
  </w:style>
  <w:style w:type="character" w:customStyle="1" w:styleId="71">
    <w:name w:val="font141"/>
    <w:qFormat/>
    <w:uiPriority w:val="0"/>
    <w:rPr>
      <w:rFonts w:ascii="Arial" w:hAnsi="Arial" w:cs="Arial"/>
      <w:color w:val="000000"/>
      <w:sz w:val="24"/>
      <w:szCs w:val="24"/>
      <w:u w:val="none"/>
    </w:rPr>
  </w:style>
  <w:style w:type="character" w:customStyle="1" w:styleId="72">
    <w:name w:val="_37aak"/>
    <w:autoRedefine/>
    <w:qFormat/>
    <w:uiPriority w:val="0"/>
  </w:style>
  <w:style w:type="character" w:customStyle="1" w:styleId="73">
    <w:name w:val="图表 Char"/>
    <w:link w:val="74"/>
    <w:autoRedefine/>
    <w:qFormat/>
    <w:uiPriority w:val="0"/>
    <w:rPr>
      <w:kern w:val="2"/>
      <w:sz w:val="21"/>
      <w:szCs w:val="21"/>
    </w:rPr>
  </w:style>
  <w:style w:type="paragraph" w:customStyle="1" w:styleId="74">
    <w:name w:val="图表"/>
    <w:basedOn w:val="1"/>
    <w:next w:val="1"/>
    <w:link w:val="73"/>
    <w:autoRedefine/>
    <w:qFormat/>
    <w:uiPriority w:val="0"/>
    <w:pPr>
      <w:jc w:val="center"/>
    </w:pPr>
    <w:rPr>
      <w:szCs w:val="21"/>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hover4"/>
    <w:autoRedefine/>
    <w:qFormat/>
    <w:uiPriority w:val="0"/>
    <w:rPr>
      <w:color w:val="2590EB"/>
      <w:shd w:val="clear" w:color="auto" w:fill="E9F4FD"/>
    </w:rPr>
  </w:style>
  <w:style w:type="character" w:customStyle="1" w:styleId="77">
    <w:name w:val="font101"/>
    <w:autoRedefine/>
    <w:qFormat/>
    <w:uiPriority w:val="0"/>
    <w:rPr>
      <w:rFonts w:hint="eastAsia" w:ascii="宋体" w:hAnsi="宋体" w:eastAsia="宋体" w:cs="宋体"/>
      <w:color w:val="000000"/>
      <w:sz w:val="18"/>
      <w:szCs w:val="18"/>
      <w:u w:val="none"/>
    </w:rPr>
  </w:style>
  <w:style w:type="character" w:customStyle="1" w:styleId="78">
    <w:name w:val="font161"/>
    <w:autoRedefine/>
    <w:qFormat/>
    <w:uiPriority w:val="0"/>
    <w:rPr>
      <w:rFonts w:hint="eastAsia" w:ascii="宋体" w:hAnsi="宋体" w:eastAsia="宋体" w:cs="宋体"/>
      <w:b/>
      <w:bCs/>
      <w:color w:val="333333"/>
      <w:sz w:val="27"/>
      <w:szCs w:val="27"/>
      <w:u w:val="none"/>
    </w:rPr>
  </w:style>
  <w:style w:type="character" w:customStyle="1" w:styleId="79">
    <w:name w:val="first-child"/>
    <w:autoRedefine/>
    <w:qFormat/>
    <w:uiPriority w:val="0"/>
  </w:style>
  <w:style w:type="character" w:customStyle="1" w:styleId="80">
    <w:name w:val="【正文】 Char"/>
    <w:link w:val="81"/>
    <w:autoRedefine/>
    <w:qFormat/>
    <w:uiPriority w:val="0"/>
    <w:rPr>
      <w:rFonts w:cs="DokChampa"/>
      <w:kern w:val="2"/>
      <w:sz w:val="24"/>
      <w:szCs w:val="22"/>
    </w:rPr>
  </w:style>
  <w:style w:type="paragraph" w:customStyle="1" w:styleId="81">
    <w:name w:val="【正文】"/>
    <w:basedOn w:val="1"/>
    <w:link w:val="80"/>
    <w:autoRedefine/>
    <w:qFormat/>
    <w:uiPriority w:val="0"/>
    <w:pPr>
      <w:spacing w:line="360" w:lineRule="auto"/>
      <w:ind w:firstLine="480" w:firstLineChars="200"/>
    </w:pPr>
    <w:rPr>
      <w:sz w:val="24"/>
      <w:szCs w:val="22"/>
    </w:rPr>
  </w:style>
  <w:style w:type="character" w:customStyle="1" w:styleId="82">
    <w:name w:val="font131"/>
    <w:autoRedefine/>
    <w:qFormat/>
    <w:uiPriority w:val="0"/>
    <w:rPr>
      <w:rFonts w:ascii="仿宋" w:hAnsi="仿宋" w:eastAsia="仿宋" w:cs="仿宋"/>
      <w:color w:val="000000"/>
      <w:sz w:val="24"/>
      <w:szCs w:val="24"/>
      <w:u w:val="none"/>
    </w:rPr>
  </w:style>
  <w:style w:type="character" w:customStyle="1" w:styleId="83">
    <w:name w:val="font181"/>
    <w:autoRedefine/>
    <w:qFormat/>
    <w:uiPriority w:val="0"/>
    <w:rPr>
      <w:rFonts w:hint="eastAsia" w:ascii="宋体" w:hAnsi="宋体" w:eastAsia="宋体" w:cs="宋体"/>
      <w:color w:val="1A66B3"/>
      <w:sz w:val="18"/>
      <w:szCs w:val="18"/>
      <w:u w:val="none"/>
    </w:rPr>
  </w:style>
  <w:style w:type="character" w:customStyle="1" w:styleId="84">
    <w:name w:val="hover3"/>
    <w:autoRedefine/>
    <w:qFormat/>
    <w:uiPriority w:val="0"/>
  </w:style>
  <w:style w:type="character" w:customStyle="1" w:styleId="85">
    <w:name w:val="font112"/>
    <w:autoRedefine/>
    <w:qFormat/>
    <w:uiPriority w:val="0"/>
    <w:rPr>
      <w:rFonts w:ascii="Verdana" w:hAnsi="Verdana" w:cs="Verdana"/>
      <w:color w:val="000000"/>
      <w:sz w:val="18"/>
      <w:szCs w:val="18"/>
      <w:u w:val="none"/>
    </w:rPr>
  </w:style>
  <w:style w:type="character" w:customStyle="1" w:styleId="86">
    <w:name w:val="font81"/>
    <w:autoRedefine/>
    <w:qFormat/>
    <w:uiPriority w:val="0"/>
    <w:rPr>
      <w:rFonts w:hint="default" w:ascii="Verdana" w:hAnsi="Verdana" w:cs="Verdana"/>
      <w:color w:val="000000"/>
      <w:sz w:val="18"/>
      <w:szCs w:val="18"/>
      <w:u w:val="none"/>
    </w:rPr>
  </w:style>
  <w:style w:type="character" w:customStyle="1" w:styleId="87">
    <w:name w:val="hover"/>
    <w:autoRedefine/>
    <w:qFormat/>
    <w:uiPriority w:val="0"/>
    <w:rPr>
      <w:color w:val="2590EB"/>
      <w:shd w:val="clear" w:color="auto" w:fill="E9F4FD"/>
    </w:rPr>
  </w:style>
  <w:style w:type="character" w:customStyle="1" w:styleId="88">
    <w:name w:val="font41"/>
    <w:autoRedefine/>
    <w:qFormat/>
    <w:uiPriority w:val="0"/>
    <w:rPr>
      <w:rFonts w:hint="eastAsia" w:ascii="宋体" w:hAnsi="宋体" w:eastAsia="宋体" w:cs="宋体"/>
      <w:color w:val="000000"/>
      <w:sz w:val="22"/>
      <w:szCs w:val="22"/>
      <w:u w:val="none"/>
    </w:rPr>
  </w:style>
  <w:style w:type="character" w:customStyle="1" w:styleId="89">
    <w:name w:val="hover2"/>
    <w:autoRedefine/>
    <w:qFormat/>
    <w:uiPriority w:val="0"/>
    <w:rPr>
      <w:color w:val="2590EB"/>
    </w:rPr>
  </w:style>
  <w:style w:type="character" w:customStyle="1" w:styleId="90">
    <w:name w:val="hover1"/>
    <w:autoRedefine/>
    <w:qFormat/>
    <w:uiPriority w:val="0"/>
    <w:rPr>
      <w:color w:val="2590EB"/>
    </w:rPr>
  </w:style>
  <w:style w:type="character" w:customStyle="1" w:styleId="91">
    <w:name w:val="first-child1"/>
    <w:autoRedefine/>
    <w:qFormat/>
    <w:uiPriority w:val="0"/>
  </w:style>
  <w:style w:type="character" w:customStyle="1" w:styleId="92">
    <w:name w:val="selected"/>
    <w:autoRedefine/>
    <w:qFormat/>
    <w:uiPriority w:val="0"/>
    <w:rPr>
      <w:shd w:val="clear" w:color="auto" w:fill="B00006"/>
    </w:rPr>
  </w:style>
  <w:style w:type="character" w:customStyle="1" w:styleId="93">
    <w:name w:val="gpa"/>
    <w:autoRedefine/>
    <w:qFormat/>
    <w:uiPriority w:val="0"/>
    <w:rPr>
      <w:rFonts w:ascii="Arial" w:hAnsi="Arial" w:cs="Arial"/>
      <w:sz w:val="15"/>
      <w:szCs w:val="15"/>
    </w:rPr>
  </w:style>
  <w:style w:type="character" w:customStyle="1" w:styleId="94">
    <w:name w:val="apple-converted-space"/>
    <w:autoRedefine/>
    <w:qFormat/>
    <w:uiPriority w:val="0"/>
  </w:style>
  <w:style w:type="character" w:customStyle="1" w:styleId="95">
    <w:name w:val="列出段落 Char"/>
    <w:link w:val="96"/>
    <w:autoRedefine/>
    <w:qFormat/>
    <w:locked/>
    <w:uiPriority w:val="0"/>
    <w:rPr>
      <w:rFonts w:ascii="Calibri" w:hAnsi="Calibri" w:eastAsia="宋体"/>
      <w:kern w:val="2"/>
      <w:sz w:val="21"/>
      <w:szCs w:val="22"/>
      <w:lang w:val="en-US" w:eastAsia="zh-CN" w:bidi="ar-SA"/>
    </w:rPr>
  </w:style>
  <w:style w:type="paragraph" w:customStyle="1" w:styleId="96">
    <w:name w:val="List Paragraph1"/>
    <w:basedOn w:val="1"/>
    <w:link w:val="95"/>
    <w:autoRedefine/>
    <w:qFormat/>
    <w:uiPriority w:val="0"/>
    <w:pPr>
      <w:spacing w:line="312" w:lineRule="auto"/>
      <w:ind w:firstLine="420" w:firstLineChars="200"/>
    </w:pPr>
    <w:rPr>
      <w:rFonts w:ascii="Calibri" w:hAnsi="Calibri"/>
      <w:szCs w:val="22"/>
    </w:rPr>
  </w:style>
  <w:style w:type="character" w:customStyle="1" w:styleId="97">
    <w:name w:val="displayarti"/>
    <w:autoRedefine/>
    <w:qFormat/>
    <w:uiPriority w:val="0"/>
    <w:rPr>
      <w:color w:val="FFFFFF"/>
      <w:shd w:val="clear" w:color="auto" w:fill="A00000"/>
    </w:rPr>
  </w:style>
  <w:style w:type="character" w:customStyle="1" w:styleId="98">
    <w:name w:val="正文首行缩进 2 Char1"/>
    <w:autoRedefine/>
    <w:qFormat/>
    <w:uiPriority w:val="0"/>
  </w:style>
  <w:style w:type="character" w:customStyle="1" w:styleId="99">
    <w:name w:val="layui-this"/>
    <w:autoRedefine/>
    <w:qFormat/>
    <w:uiPriority w:val="0"/>
    <w:rPr>
      <w:bdr w:val="single" w:color="EEEEEE" w:sz="6" w:space="0"/>
      <w:shd w:val="clear" w:color="auto" w:fill="FFFFFF"/>
    </w:rPr>
  </w:style>
  <w:style w:type="character" w:customStyle="1" w:styleId="100">
    <w:name w:val="font151"/>
    <w:autoRedefine/>
    <w:qFormat/>
    <w:uiPriority w:val="0"/>
    <w:rPr>
      <w:rFonts w:hint="default" w:ascii="Verdana" w:hAnsi="Verdana" w:cs="Verdana"/>
      <w:b/>
      <w:bCs/>
      <w:color w:val="333333"/>
      <w:sz w:val="27"/>
      <w:szCs w:val="27"/>
      <w:u w:val="none"/>
    </w:rPr>
  </w:style>
  <w:style w:type="character" w:customStyle="1" w:styleId="101">
    <w:name w:val="font171"/>
    <w:autoRedefine/>
    <w:qFormat/>
    <w:uiPriority w:val="0"/>
    <w:rPr>
      <w:rFonts w:hint="eastAsia" w:ascii="宋体" w:hAnsi="宋体" w:eastAsia="宋体" w:cs="宋体"/>
      <w:color w:val="646464"/>
      <w:sz w:val="18"/>
      <w:szCs w:val="18"/>
      <w:u w:val="none"/>
    </w:rPr>
  </w:style>
  <w:style w:type="character" w:customStyle="1" w:styleId="102">
    <w:name w:val="hover7"/>
    <w:autoRedefine/>
    <w:qFormat/>
    <w:uiPriority w:val="0"/>
    <w:rPr>
      <w:color w:val="315EFB"/>
    </w:rPr>
  </w:style>
  <w:style w:type="paragraph" w:customStyle="1" w:styleId="103">
    <w:name w:val="列表2"/>
    <w:basedOn w:val="1"/>
    <w:next w:val="1"/>
    <w:autoRedefine/>
    <w:qFormat/>
    <w:uiPriority w:val="0"/>
    <w:pPr>
      <w:numPr>
        <w:ilvl w:val="0"/>
        <w:numId w:val="5"/>
      </w:numPr>
      <w:spacing w:line="200" w:lineRule="atLeast"/>
    </w:pPr>
    <w:rPr>
      <w:rFonts w:eastAsia="仿宋"/>
      <w:sz w:val="28"/>
    </w:rPr>
  </w:style>
  <w:style w:type="paragraph" w:customStyle="1" w:styleId="104">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5">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6">
    <w:name w:val="Char"/>
    <w:basedOn w:val="1"/>
    <w:next w:val="1"/>
    <w:autoRedefine/>
    <w:qFormat/>
    <w:uiPriority w:val="0"/>
    <w:pPr>
      <w:widowControl/>
      <w:spacing w:line="360" w:lineRule="auto"/>
      <w:jc w:val="left"/>
    </w:pPr>
    <w:rPr>
      <w:kern w:val="0"/>
      <w:szCs w:val="20"/>
      <w:lang w:eastAsia="en-US"/>
    </w:rPr>
  </w:style>
  <w:style w:type="paragraph" w:customStyle="1" w:styleId="107">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8">
    <w:name w:val=" Char Char Char Char"/>
    <w:basedOn w:val="1"/>
    <w:autoRedefine/>
    <w:qFormat/>
    <w:uiPriority w:val="0"/>
    <w:rPr>
      <w:rFonts w:ascii="Tahoma" w:hAnsi="Tahoma"/>
      <w:sz w:val="24"/>
      <w:szCs w:val="20"/>
    </w:rPr>
  </w:style>
  <w:style w:type="paragraph" w:customStyle="1" w:styleId="109">
    <w:name w:val="_Style 4"/>
    <w:basedOn w:val="1"/>
    <w:autoRedefine/>
    <w:qFormat/>
    <w:uiPriority w:val="34"/>
    <w:pPr>
      <w:adjustRightInd w:val="0"/>
      <w:ind w:firstLine="420" w:firstLineChars="200"/>
      <w:jc w:val="left"/>
      <w:textAlignment w:val="baseline"/>
    </w:pPr>
    <w:rPr>
      <w:kern w:val="0"/>
      <w:szCs w:val="20"/>
    </w:rPr>
  </w:style>
  <w:style w:type="paragraph" w:customStyle="1" w:styleId="110">
    <w:name w:val="列出段落2"/>
    <w:basedOn w:val="1"/>
    <w:autoRedefine/>
    <w:qFormat/>
    <w:uiPriority w:val="0"/>
    <w:pPr>
      <w:ind w:firstLine="420" w:firstLineChars="200"/>
    </w:pPr>
    <w:rPr>
      <w:rFonts w:ascii="Calibri" w:hAnsi="Calibri"/>
      <w:szCs w:val="22"/>
    </w:rPr>
  </w:style>
  <w:style w:type="paragraph" w:customStyle="1" w:styleId="111">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2">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3">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Table Paragraph"/>
    <w:basedOn w:val="1"/>
    <w:autoRedefine/>
    <w:qFormat/>
    <w:uiPriority w:val="1"/>
    <w:rPr>
      <w:rFonts w:ascii="宋体" w:hAnsi="宋体" w:eastAsia="宋体" w:cs="宋体"/>
      <w:lang w:val="zh-CN" w:eastAsia="zh-CN" w:bidi="zh-CN"/>
    </w:rPr>
  </w:style>
  <w:style w:type="paragraph" w:customStyle="1" w:styleId="115">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列出段落1"/>
    <w:basedOn w:val="1"/>
    <w:autoRedefine/>
    <w:qFormat/>
    <w:uiPriority w:val="34"/>
    <w:pPr>
      <w:ind w:firstLine="420" w:firstLineChars="200"/>
    </w:pPr>
  </w:style>
  <w:style w:type="paragraph" w:customStyle="1" w:styleId="117">
    <w:name w:val="Char Char Char Char Char Char Char1 Char"/>
    <w:basedOn w:val="1"/>
    <w:autoRedefine/>
    <w:qFormat/>
    <w:uiPriority w:val="0"/>
    <w:rPr>
      <w:rFonts w:ascii="Tahoma" w:hAnsi="Tahoma"/>
      <w:sz w:val="24"/>
      <w:szCs w:val="20"/>
    </w:rPr>
  </w:style>
  <w:style w:type="paragraph" w:styleId="118">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9">
    <w:name w:val="List Paragraph2"/>
    <w:basedOn w:val="1"/>
    <w:autoRedefine/>
    <w:qFormat/>
    <w:uiPriority w:val="0"/>
    <w:pPr>
      <w:spacing w:line="360" w:lineRule="auto"/>
      <w:ind w:firstLine="420"/>
    </w:pPr>
    <w:rPr>
      <w:color w:val="000000"/>
      <w:sz w:val="24"/>
      <w:szCs w:val="21"/>
    </w:rPr>
  </w:style>
  <w:style w:type="paragraph" w:customStyle="1" w:styleId="120">
    <w:name w:val="（无样式）"/>
    <w:basedOn w:val="1"/>
    <w:autoRedefine/>
    <w:qFormat/>
    <w:uiPriority w:val="0"/>
    <w:pPr>
      <w:widowControl/>
      <w:numPr>
        <w:ilvl w:val="0"/>
        <w:numId w:val="7"/>
      </w:numPr>
      <w:spacing w:line="360" w:lineRule="auto"/>
      <w:ind w:firstLine="0"/>
    </w:pPr>
    <w:rPr>
      <w:sz w:val="24"/>
      <w:szCs w:val="20"/>
    </w:rPr>
  </w:style>
  <w:style w:type="paragraph" w:customStyle="1" w:styleId="121">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2">
    <w:name w:val="标题3-副本"/>
    <w:basedOn w:val="29"/>
    <w:autoRedefine/>
    <w:qFormat/>
    <w:uiPriority w:val="0"/>
    <w:pPr>
      <w:numPr>
        <w:ilvl w:val="0"/>
        <w:numId w:val="0"/>
      </w:numPr>
      <w:ind w:left="840"/>
    </w:pPr>
  </w:style>
  <w:style w:type="paragraph" w:customStyle="1" w:styleId="123">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4">
    <w:name w:val="_Style 2"/>
    <w:basedOn w:val="1"/>
    <w:autoRedefine/>
    <w:qFormat/>
    <w:uiPriority w:val="0"/>
  </w:style>
  <w:style w:type="paragraph" w:customStyle="1" w:styleId="125">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7">
    <w:name w:val=" Char"/>
    <w:basedOn w:val="1"/>
    <w:autoRedefine/>
    <w:qFormat/>
    <w:uiPriority w:val="0"/>
  </w:style>
  <w:style w:type="paragraph" w:customStyle="1" w:styleId="128">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9">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1">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2">
    <w:name w:val="num"/>
    <w:basedOn w:val="39"/>
    <w:autoRedefine/>
    <w:qFormat/>
    <w:uiPriority w:val="0"/>
    <w:rPr>
      <w:b/>
      <w:bCs/>
      <w:color w:val="FF7800"/>
    </w:rPr>
  </w:style>
  <w:style w:type="character" w:customStyle="1" w:styleId="133">
    <w:name w:val="a-desc"/>
    <w:basedOn w:val="39"/>
    <w:autoRedefine/>
    <w:qFormat/>
    <w:uiPriority w:val="0"/>
    <w:rPr>
      <w:color w:val="315EFB"/>
    </w:rPr>
  </w:style>
  <w:style w:type="character" w:customStyle="1" w:styleId="134">
    <w:name w:val="bg"/>
    <w:basedOn w:val="39"/>
    <w:autoRedefine/>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autoRedefine/>
    <w:qFormat/>
    <w:uiPriority w:val="0"/>
  </w:style>
  <w:style w:type="character" w:customStyle="1" w:styleId="138">
    <w:name w:val="del-btn"/>
    <w:basedOn w:val="39"/>
    <w:autoRedefine/>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autoRedefine/>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8374</Words>
  <Characters>9145</Characters>
  <Lines>358</Lines>
  <Paragraphs>100</Paragraphs>
  <TotalTime>3</TotalTime>
  <ScaleCrop>false</ScaleCrop>
  <LinksUpToDate>false</LinksUpToDate>
  <CharactersWithSpaces>9577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2025-05-07T08:47:00Z</cp:lastPrinted>
  <dcterms:modified xsi:type="dcterms:W3CDTF">2025-12-09T09:04:13Z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07311383E66246799E5F68329811B32F_13</vt:lpwstr>
  </property>
  <property fmtid="{D5CDD505-2E9C-101B-9397-08002B2CF9AE}" pid="4" name="KSOTemplateDocerSaveRecord">
    <vt:lpwstr>eyJoZGlkIjoiZmQ5MGI3YTdkMjVkZTZjM2ZjZTQ5YjMxYTJjZjRlOWEiLCJ1c2VySWQiOiIzNjE4MjQ5In0=</vt:lpwstr>
  </property>
</Properties>
</file>