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89BFD9">
      <w:pPr>
        <w:jc w:val="center"/>
        <w:rPr>
          <w:rFonts w:ascii="宋体" w:hAnsi="宋体" w:cs="宋体"/>
          <w:b/>
          <w:color w:val="auto"/>
          <w:kern w:val="0"/>
          <w:sz w:val="44"/>
          <w:szCs w:val="44"/>
          <w:highlight w:val="none"/>
        </w:rPr>
      </w:pPr>
      <w:bookmarkStart w:id="0" w:name="_Toc15058843"/>
      <w:bookmarkStart w:id="1" w:name="_Toc247085669"/>
      <w:bookmarkStart w:id="2" w:name="_Toc296602400"/>
      <w:bookmarkStart w:id="3" w:name="_Toc324404811"/>
      <w:bookmarkStart w:id="4" w:name="_Toc461631222"/>
      <w:bookmarkStart w:id="5" w:name="_Toc246996898"/>
      <w:bookmarkStart w:id="6" w:name="_Toc506107265"/>
      <w:bookmarkStart w:id="7" w:name="OLE_LINK2"/>
      <w:bookmarkStart w:id="8" w:name="OLE_LINK4"/>
      <w:bookmarkStart w:id="9" w:name="OLE_LINK5"/>
      <w:bookmarkStart w:id="10" w:name="OLE_LINK1"/>
      <w:bookmarkStart w:id="11" w:name="OLE_LINK3"/>
      <w:bookmarkStart w:id="1055" w:name="_GoBack"/>
      <w:bookmarkEnd w:id="1055"/>
    </w:p>
    <w:p w14:paraId="6CC6008C">
      <w:pPr>
        <w:pStyle w:val="2"/>
        <w:ind w:firstLine="420"/>
        <w:rPr>
          <w:color w:val="auto"/>
          <w:highlight w:val="none"/>
        </w:rPr>
      </w:pPr>
    </w:p>
    <w:p w14:paraId="5EF769C3">
      <w:pPr>
        <w:jc w:val="center"/>
        <w:rPr>
          <w:rFonts w:ascii="宋体" w:hAnsi="宋体"/>
          <w:color w:val="auto"/>
          <w:sz w:val="72"/>
          <w:szCs w:val="72"/>
          <w:highlight w:val="none"/>
        </w:rPr>
      </w:pPr>
      <w:r>
        <w:rPr>
          <w:rFonts w:hint="eastAsia" w:hAnsi="宋体" w:cs="宋体"/>
          <w:b/>
          <w:color w:val="auto"/>
          <w:kern w:val="0"/>
          <w:sz w:val="72"/>
          <w:szCs w:val="72"/>
          <w:highlight w:val="none"/>
          <w:lang w:eastAsia="zh-CN"/>
        </w:rPr>
        <w:t>滁州市奥体中心停车场光伏项目</w:t>
      </w:r>
    </w:p>
    <w:p w14:paraId="6723EC9E">
      <w:pPr>
        <w:pStyle w:val="2"/>
        <w:rPr>
          <w:color w:val="auto"/>
          <w:highlight w:val="none"/>
        </w:rPr>
      </w:pPr>
    </w:p>
    <w:p w14:paraId="53E3D05B">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328AD159">
      <w:pPr>
        <w:spacing w:line="400" w:lineRule="exact"/>
        <w:jc w:val="center"/>
        <w:rPr>
          <w:rFonts w:ascii="宋体" w:hAnsi="宋体"/>
          <w:b/>
          <w:color w:val="auto"/>
          <w:sz w:val="39"/>
          <w:highlight w:val="none"/>
        </w:rPr>
      </w:pPr>
    </w:p>
    <w:p w14:paraId="421414AF">
      <w:pPr>
        <w:spacing w:line="400" w:lineRule="exact"/>
        <w:rPr>
          <w:color w:val="auto"/>
          <w:highlight w:val="none"/>
        </w:rPr>
      </w:pPr>
    </w:p>
    <w:p w14:paraId="5769B39D">
      <w:pPr>
        <w:rPr>
          <w:color w:val="auto"/>
          <w:highlight w:val="none"/>
        </w:rPr>
      </w:pPr>
    </w:p>
    <w:p w14:paraId="7998F7CA">
      <w:pPr>
        <w:pStyle w:val="2"/>
        <w:rPr>
          <w:color w:val="auto"/>
          <w:highlight w:val="none"/>
        </w:rPr>
      </w:pPr>
    </w:p>
    <w:p w14:paraId="693DA26D">
      <w:pPr>
        <w:rPr>
          <w:color w:val="auto"/>
          <w:highlight w:val="none"/>
        </w:rPr>
      </w:pPr>
    </w:p>
    <w:p w14:paraId="4E6283AE">
      <w:pPr>
        <w:rPr>
          <w:color w:val="auto"/>
          <w:highlight w:val="none"/>
        </w:rPr>
      </w:pPr>
    </w:p>
    <w:p w14:paraId="3B1ACC75">
      <w:pPr>
        <w:pStyle w:val="2"/>
        <w:rPr>
          <w:color w:val="auto"/>
          <w:highlight w:val="none"/>
        </w:rPr>
      </w:pPr>
    </w:p>
    <w:p w14:paraId="2CA6D6BD">
      <w:pPr>
        <w:rPr>
          <w:color w:val="auto"/>
          <w:highlight w:val="none"/>
        </w:rPr>
      </w:pPr>
    </w:p>
    <w:p w14:paraId="594F67E3">
      <w:pPr>
        <w:pStyle w:val="2"/>
        <w:rPr>
          <w:color w:val="auto"/>
          <w:highlight w:val="none"/>
        </w:rPr>
      </w:pPr>
    </w:p>
    <w:p w14:paraId="77D3D92F">
      <w:pPr>
        <w:rPr>
          <w:color w:val="auto"/>
          <w:highlight w:val="none"/>
        </w:rPr>
      </w:pPr>
    </w:p>
    <w:p w14:paraId="5C5A86F7">
      <w:pPr>
        <w:pStyle w:val="2"/>
        <w:rPr>
          <w:color w:val="auto"/>
          <w:highlight w:val="none"/>
        </w:rPr>
      </w:pPr>
    </w:p>
    <w:p w14:paraId="63BAC7F0">
      <w:pPr>
        <w:spacing w:line="720" w:lineRule="exact"/>
        <w:rPr>
          <w:b/>
          <w:bCs/>
          <w:color w:val="auto"/>
          <w:sz w:val="28"/>
          <w:szCs w:val="28"/>
          <w:highlight w:val="none"/>
        </w:rPr>
      </w:pPr>
    </w:p>
    <w:p w14:paraId="4539479E">
      <w:pPr>
        <w:spacing w:before="156" w:beforeLines="50" w:after="156" w:afterLines="50" w:line="700" w:lineRule="exact"/>
        <w:jc w:val="center"/>
        <w:outlineLvl w:val="9"/>
        <w:rPr>
          <w:rFonts w:hint="eastAsia" w:ascii="宋体"/>
          <w:b/>
          <w:color w:val="auto"/>
          <w:sz w:val="32"/>
          <w:szCs w:val="32"/>
          <w:highlight w:val="none"/>
        </w:rPr>
      </w:pPr>
      <w:bookmarkStart w:id="12" w:name="_Toc32059"/>
      <w:bookmarkStart w:id="13" w:name="_Toc25057"/>
      <w:bookmarkStart w:id="14" w:name="_Toc20499"/>
      <w:bookmarkStart w:id="15" w:name="_Toc22225"/>
      <w:r>
        <w:rPr>
          <w:rFonts w:hint="eastAsia" w:ascii="宋体"/>
          <w:b/>
          <w:color w:val="auto"/>
          <w:sz w:val="32"/>
          <w:szCs w:val="32"/>
          <w:highlight w:val="none"/>
        </w:rPr>
        <w:t>招</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标</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lang w:eastAsia="zh-CN"/>
        </w:rPr>
        <w:t>滁州工投新能源开发有限公司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bookmarkEnd w:id="12"/>
      <w:bookmarkEnd w:id="13"/>
      <w:bookmarkEnd w:id="14"/>
      <w:bookmarkEnd w:id="15"/>
    </w:p>
    <w:p w14:paraId="3EAB10B5">
      <w:pPr>
        <w:spacing w:before="156" w:beforeLines="50" w:after="156" w:afterLines="50" w:line="700" w:lineRule="exact"/>
        <w:rPr>
          <w:rFonts w:hint="eastAsia" w:ascii="宋体"/>
          <w:b/>
          <w:color w:val="auto"/>
          <w:sz w:val="32"/>
          <w:szCs w:val="32"/>
          <w:highlight w:val="none"/>
          <w:u w:val="single"/>
        </w:rPr>
      </w:pPr>
      <w:r>
        <w:rPr>
          <w:rFonts w:hint="eastAsia" w:ascii="宋体"/>
          <w:b/>
          <w:color w:val="auto"/>
          <w:sz w:val="32"/>
          <w:szCs w:val="32"/>
          <w:highlight w:val="none"/>
        </w:rPr>
        <w:t>招标代理机构：</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p>
    <w:p w14:paraId="79674284">
      <w:pPr>
        <w:spacing w:before="156" w:beforeLines="50" w:after="156" w:afterLines="50" w:line="700" w:lineRule="exact"/>
        <w:jc w:val="center"/>
        <w:rPr>
          <w:rFonts w:hint="default" w:eastAsia="宋体"/>
          <w:color w:val="auto"/>
          <w:sz w:val="44"/>
          <w:szCs w:val="44"/>
          <w:highlight w:val="none"/>
          <w:lang w:val="en-US" w:eastAsia="zh-CN"/>
        </w:rPr>
        <w:sectPr>
          <w:headerReference r:id="rId3" w:type="default"/>
          <w:footerReference r:id="rId4" w:type="default"/>
          <w:pgSz w:w="11906" w:h="16838"/>
          <w:pgMar w:top="1134" w:right="1417" w:bottom="1134" w:left="1417" w:header="851" w:footer="992" w:gutter="0"/>
          <w:pgNumType w:fmt="decimal"/>
          <w:cols w:space="720" w:num="1"/>
          <w:docGrid w:type="lines" w:linePitch="312" w:charSpace="0"/>
        </w:sect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7</w:t>
      </w:r>
      <w:r>
        <w:rPr>
          <w:rFonts w:hint="eastAsia" w:ascii="宋体"/>
          <w:b/>
          <w:color w:val="auto"/>
          <w:sz w:val="32"/>
          <w:szCs w:val="32"/>
          <w:highlight w:val="none"/>
        </w:rPr>
        <w:t>月</w:t>
      </w:r>
      <w:r>
        <w:rPr>
          <w:rFonts w:hint="eastAsia" w:ascii="宋体"/>
          <w:b/>
          <w:color w:val="auto"/>
          <w:sz w:val="32"/>
          <w:szCs w:val="32"/>
          <w:highlight w:val="none"/>
          <w:u w:val="single"/>
          <w:lang w:val="en-US" w:eastAsia="zh-CN"/>
        </w:rPr>
        <w:t>25</w:t>
      </w:r>
      <w:r>
        <w:rPr>
          <w:rFonts w:hint="eastAsia" w:ascii="宋体"/>
          <w:b/>
          <w:color w:val="auto"/>
          <w:sz w:val="32"/>
          <w:szCs w:val="32"/>
          <w:highlight w:val="none"/>
          <w:lang w:val="en-US" w:eastAsia="zh-CN"/>
        </w:rPr>
        <w:t>日</w:t>
      </w:r>
    </w:p>
    <w:p w14:paraId="63C94192">
      <w:pPr>
        <w:spacing w:line="700" w:lineRule="exact"/>
        <w:jc w:val="center"/>
        <w:rPr>
          <w:rFonts w:hint="eastAsia"/>
          <w:color w:val="auto"/>
          <w:sz w:val="44"/>
          <w:szCs w:val="44"/>
          <w:highlight w:val="none"/>
        </w:rPr>
      </w:pPr>
    </w:p>
    <w:p w14:paraId="1C53E22C">
      <w:pPr>
        <w:spacing w:line="700" w:lineRule="exact"/>
        <w:jc w:val="center"/>
        <w:rPr>
          <w:color w:val="auto"/>
          <w:sz w:val="44"/>
          <w:szCs w:val="44"/>
          <w:highlight w:val="none"/>
        </w:rPr>
      </w:pPr>
      <w:r>
        <w:rPr>
          <w:rFonts w:hint="eastAsia"/>
          <w:color w:val="auto"/>
          <w:sz w:val="44"/>
          <w:szCs w:val="44"/>
          <w:highlight w:val="none"/>
        </w:rPr>
        <w:t>目   录</w:t>
      </w:r>
      <w:bookmarkEnd w:id="0"/>
      <w:bookmarkEnd w:id="1"/>
      <w:bookmarkEnd w:id="2"/>
      <w:bookmarkEnd w:id="3"/>
      <w:bookmarkEnd w:id="4"/>
      <w:bookmarkEnd w:id="5"/>
      <w:bookmarkEnd w:id="6"/>
      <w:bookmarkStart w:id="16" w:name="_Toc152042287"/>
      <w:bookmarkStart w:id="17" w:name="_Toc144974479"/>
      <w:bookmarkStart w:id="18" w:name="_Toc152045511"/>
      <w:bookmarkStart w:id="19" w:name="_Toc179632527"/>
    </w:p>
    <w:p w14:paraId="75DA3EB7">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TOC \o "1-1" \h \u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_Toc7325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招标公告信息</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_Toc7325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71616827">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_Toc8980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第一章  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_Toc8980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7AE0285D">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_Toc10676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第二章  资格审查办法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_Toc10676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20</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1E942369">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_Toc30518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 xml:space="preserve">第三章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评标办法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_Toc30518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CDEEB4F">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_Toc7231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第</w:t>
      </w:r>
      <w:r>
        <w:rPr>
          <w:rFonts w:hint="eastAsia" w:ascii="宋体" w:hAnsi="宋体" w:eastAsia="宋体" w:cs="宋体"/>
          <w:b w:val="0"/>
          <w:bCs w:val="0"/>
          <w:color w:val="auto"/>
          <w:kern w:val="0"/>
          <w:sz w:val="28"/>
          <w:szCs w:val="28"/>
          <w:highlight w:val="none"/>
          <w:lang w:val="en-US" w:eastAsia="zh-CN"/>
        </w:rPr>
        <w:t>四</w:t>
      </w:r>
      <w:r>
        <w:rPr>
          <w:rFonts w:hint="eastAsia" w:ascii="宋体" w:hAnsi="宋体" w:eastAsia="宋体" w:cs="宋体"/>
          <w:b w:val="0"/>
          <w:bCs w:val="0"/>
          <w:color w:val="auto"/>
          <w:kern w:val="0"/>
          <w:sz w:val="28"/>
          <w:szCs w:val="28"/>
          <w:highlight w:val="none"/>
        </w:rPr>
        <w:t>章  合同条款及格式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_Toc7231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7BA655EB">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_Toc23990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第五章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工程量清单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_Toc23990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C0FC616">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_Toc10023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 xml:space="preserve">第六章  </w:t>
      </w:r>
      <w:r>
        <w:rPr>
          <w:rFonts w:hint="eastAsia" w:ascii="宋体" w:hAnsi="宋体" w:eastAsia="宋体" w:cs="宋体"/>
          <w:b w:val="0"/>
          <w:bCs w:val="0"/>
          <w:color w:val="auto"/>
          <w:sz w:val="28"/>
          <w:szCs w:val="28"/>
          <w:highlight w:val="none"/>
          <w:lang w:val="en-US" w:eastAsia="zh-CN"/>
        </w:rPr>
        <w:t>图纸</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_Toc10023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6A1FC111">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_Toc24902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第七章  技术标准和要求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_Toc24902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02E35CD3">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_Toc5279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八</w:t>
      </w:r>
      <w:r>
        <w:rPr>
          <w:rFonts w:hint="eastAsia" w:ascii="宋体" w:hAnsi="宋体" w:eastAsia="宋体" w:cs="宋体"/>
          <w:b w:val="0"/>
          <w:bCs w:val="0"/>
          <w:color w:val="auto"/>
          <w:sz w:val="28"/>
          <w:szCs w:val="28"/>
          <w:highlight w:val="none"/>
        </w:rPr>
        <w:t>章  投标文件格式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_Toc5279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023C6601">
      <w:pPr>
        <w:pStyle w:val="33"/>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_Toc8955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九</w:t>
      </w:r>
      <w:r>
        <w:rPr>
          <w:rFonts w:hint="eastAsia" w:ascii="宋体" w:hAnsi="宋体" w:eastAsia="宋体" w:cs="宋体"/>
          <w:b w:val="0"/>
          <w:bCs w:val="0"/>
          <w:color w:val="auto"/>
          <w:sz w:val="28"/>
          <w:szCs w:val="28"/>
          <w:highlight w:val="none"/>
        </w:rPr>
        <w:t>章  招标单位、招标代理机构对本招标文件的确认</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_Toc8955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95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1649C5CA">
      <w:pPr>
        <w:pStyle w:val="33"/>
        <w:tabs>
          <w:tab w:val="right" w:leader="dot" w:pos="9062"/>
        </w:tabs>
        <w:spacing w:line="700" w:lineRule="exact"/>
        <w:ind w:firstLine="560" w:firstLineChars="200"/>
        <w:rPr>
          <w:rFonts w:hint="default"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8"/>
          <w:szCs w:val="28"/>
          <w:highlight w:val="none"/>
          <w:lang w:val="en-US" w:eastAsia="zh-CN"/>
        </w:rPr>
        <w:fldChar w:fldCharType="end"/>
      </w:r>
    </w:p>
    <w:p w14:paraId="489980EE">
      <w:pPr>
        <w:pStyle w:val="2"/>
        <w:spacing w:line="700" w:lineRule="exact"/>
        <w:ind w:left="0" w:leftChars="0" w:firstLine="480"/>
        <w:jc w:val="left"/>
        <w:rPr>
          <w:color w:val="auto"/>
          <w:sz w:val="24"/>
          <w:szCs w:val="24"/>
          <w:highlight w:val="none"/>
        </w:rPr>
      </w:pPr>
    </w:p>
    <w:p w14:paraId="4786386F">
      <w:pPr>
        <w:pStyle w:val="44"/>
        <w:spacing w:line="700" w:lineRule="exact"/>
        <w:jc w:val="left"/>
        <w:rPr>
          <w:color w:val="auto"/>
          <w:sz w:val="24"/>
          <w:szCs w:val="24"/>
          <w:highlight w:val="none"/>
        </w:rPr>
        <w:sectPr>
          <w:footerReference r:id="rId5" w:type="default"/>
          <w:pgSz w:w="11906" w:h="16838"/>
          <w:pgMar w:top="1134" w:right="1417" w:bottom="1134" w:left="1417" w:header="851" w:footer="992" w:gutter="0"/>
          <w:pgNumType w:fmt="decimal" w:start="1"/>
          <w:cols w:space="720" w:num="1"/>
          <w:docGrid w:type="lines" w:linePitch="312" w:charSpace="0"/>
        </w:sectPr>
      </w:pPr>
    </w:p>
    <w:bookmarkEnd w:id="16"/>
    <w:bookmarkEnd w:id="17"/>
    <w:bookmarkEnd w:id="18"/>
    <w:bookmarkEnd w:id="19"/>
    <w:p w14:paraId="65AF1617">
      <w:pPr>
        <w:pStyle w:val="44"/>
        <w:keepNext w:val="0"/>
        <w:keepLines w:val="0"/>
        <w:pageBreakBefore w:val="0"/>
        <w:widowControl w:val="0"/>
        <w:kinsoku/>
        <w:wordWrap/>
        <w:overflowPunct/>
        <w:topLinePunct w:val="0"/>
        <w:autoSpaceDE/>
        <w:autoSpaceDN/>
        <w:bidi w:val="0"/>
        <w:adjustRightInd w:val="0"/>
        <w:snapToGrid/>
        <w:spacing w:beforeLines="50" w:afterLines="50" w:line="400" w:lineRule="exact"/>
        <w:textAlignment w:val="baseline"/>
        <w:rPr>
          <w:bCs/>
          <w:color w:val="auto"/>
          <w:szCs w:val="32"/>
          <w:highlight w:val="none"/>
        </w:rPr>
      </w:pPr>
      <w:bookmarkStart w:id="20" w:name="_Toc21980"/>
      <w:bookmarkStart w:id="21" w:name="_Toc7325"/>
      <w:bookmarkStart w:id="22" w:name="_Toc12261"/>
      <w:bookmarkStart w:id="23" w:name="_Toc78803320"/>
      <w:bookmarkStart w:id="24" w:name="_Toc152042303"/>
      <w:bookmarkStart w:id="25" w:name="_Toc35425050"/>
      <w:bookmarkStart w:id="26" w:name="_Toc179632544"/>
      <w:bookmarkStart w:id="27" w:name="_Toc246996916"/>
      <w:bookmarkStart w:id="28" w:name="_Toc144974495"/>
      <w:bookmarkStart w:id="29" w:name="_Toc246996173"/>
      <w:bookmarkStart w:id="30" w:name="_Toc152045527"/>
      <w:bookmarkStart w:id="31" w:name="_Toc506107267"/>
      <w:bookmarkStart w:id="32" w:name="_Toc35424883"/>
      <w:bookmarkStart w:id="33" w:name="_Toc15058844"/>
      <w:bookmarkStart w:id="34" w:name="_Toc247085687"/>
      <w:bookmarkStart w:id="35" w:name="_Toc324404813"/>
      <w:r>
        <w:rPr>
          <w:rFonts w:hint="eastAsia"/>
          <w:bCs/>
          <w:color w:val="auto"/>
          <w:szCs w:val="32"/>
          <w:highlight w:val="none"/>
          <w:lang w:eastAsia="zh-CN"/>
        </w:rPr>
        <w:t>滁州市奥体中心停车场光伏项目</w:t>
      </w:r>
      <w:r>
        <w:rPr>
          <w:rFonts w:hint="eastAsia"/>
          <w:bCs/>
          <w:color w:val="auto"/>
          <w:szCs w:val="32"/>
          <w:highlight w:val="none"/>
        </w:rPr>
        <w:t>招标公告信息</w:t>
      </w:r>
      <w:bookmarkEnd w:id="20"/>
      <w:bookmarkEnd w:id="21"/>
      <w:bookmarkEnd w:id="22"/>
      <w:bookmarkEnd w:id="23"/>
    </w:p>
    <w:tbl>
      <w:tblPr>
        <w:tblStyle w:val="47"/>
        <w:tblW w:w="96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1494"/>
        <w:gridCol w:w="50"/>
        <w:gridCol w:w="2587"/>
        <w:gridCol w:w="508"/>
        <w:gridCol w:w="1955"/>
        <w:gridCol w:w="3102"/>
      </w:tblGrid>
      <w:tr w14:paraId="379E89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7"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F610E78">
            <w:pPr>
              <w:keepNext w:val="0"/>
              <w:keepLines w:val="0"/>
              <w:widowControl w:val="0"/>
              <w:suppressLineNumbers w:val="0"/>
              <w:autoSpaceDE/>
              <w:autoSpaceDN/>
              <w:spacing w:before="0" w:beforeAutospacing="0" w:after="0" w:afterAutospacing="0" w:line="500" w:lineRule="exact"/>
              <w:ind w:left="0" w:right="0"/>
              <w:jc w:val="both"/>
              <w:rPr>
                <w:rFonts w:hint="eastAsia" w:ascii="宋体" w:hAnsi="宋体" w:eastAsia="宋体" w:cs="宋体"/>
                <w:bCs/>
                <w:color w:val="auto"/>
                <w:kern w:val="1"/>
                <w:sz w:val="21"/>
                <w:szCs w:val="21"/>
                <w:highlight w:val="none"/>
              </w:rPr>
            </w:pPr>
            <w:bookmarkStart w:id="36" w:name="_Toc78803321"/>
            <w:r>
              <w:rPr>
                <w:rFonts w:hint="eastAsia" w:ascii="宋体" w:hAnsi="宋体" w:eastAsia="宋体" w:cs="宋体"/>
                <w:bCs/>
                <w:color w:val="auto"/>
                <w:kern w:val="1"/>
                <w:sz w:val="21"/>
                <w:szCs w:val="21"/>
                <w:highlight w:val="none"/>
                <w:lang w:val="en-US" w:eastAsia="zh-CN" w:bidi="ar"/>
              </w:rPr>
              <w:t>招标项目名称</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14D95342">
            <w:pPr>
              <w:keepNext w:val="0"/>
              <w:keepLines w:val="0"/>
              <w:widowControl w:val="0"/>
              <w:suppressLineNumbers w:val="0"/>
              <w:autoSpaceDE/>
              <w:autoSpaceDN/>
              <w:spacing w:before="0" w:beforeAutospacing="0" w:after="0" w:afterAutospacing="0" w:line="500" w:lineRule="exact"/>
              <w:ind w:left="0" w:right="0"/>
              <w:jc w:val="both"/>
              <w:rPr>
                <w:rFonts w:hint="eastAsia" w:ascii="宋体" w:hAnsi="宋体" w:eastAsia="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滁州市奥体中心停车场光伏项目</w:t>
            </w:r>
          </w:p>
        </w:tc>
      </w:tr>
      <w:tr w14:paraId="774B9B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7"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C6B40C0">
            <w:pPr>
              <w:keepNext w:val="0"/>
              <w:keepLines w:val="0"/>
              <w:widowControl w:val="0"/>
              <w:suppressLineNumbers w:val="0"/>
              <w:autoSpaceDE/>
              <w:autoSpaceDN/>
              <w:spacing w:before="0" w:beforeAutospacing="0" w:after="0" w:afterAutospacing="0" w:line="500" w:lineRule="exact"/>
              <w:ind w:left="0" w:right="0"/>
              <w:jc w:val="both"/>
              <w:rPr>
                <w:rFonts w:hint="eastAsia" w:ascii="宋体" w:hAnsi="宋体" w:eastAsia="宋体" w:cs="宋体"/>
                <w:bCs/>
                <w:color w:val="auto"/>
                <w:kern w:val="1"/>
                <w:sz w:val="21"/>
                <w:szCs w:val="21"/>
                <w:highlight w:val="none"/>
                <w:lang w:val="en-US" w:eastAsia="zh-CN" w:bidi="ar"/>
              </w:rPr>
            </w:pPr>
            <w:r>
              <w:rPr>
                <w:rFonts w:hint="eastAsia" w:ascii="宋体" w:hAnsi="宋体" w:cs="宋体"/>
                <w:bCs/>
                <w:color w:val="auto"/>
                <w:kern w:val="1"/>
                <w:sz w:val="21"/>
                <w:szCs w:val="21"/>
                <w:highlight w:val="none"/>
                <w:lang w:val="en-US" w:eastAsia="zh-CN" w:bidi="ar"/>
              </w:rPr>
              <w:t>项目编号</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17965BF6">
            <w:pPr>
              <w:keepNext w:val="0"/>
              <w:keepLines w:val="0"/>
              <w:widowControl w:val="0"/>
              <w:suppressLineNumbers w:val="0"/>
              <w:autoSpaceDE/>
              <w:autoSpaceDN/>
              <w:spacing w:before="0" w:beforeAutospacing="0" w:after="0" w:afterAutospacing="0" w:line="500" w:lineRule="exact"/>
              <w:ind w:left="0" w:right="0"/>
              <w:jc w:val="both"/>
              <w:rPr>
                <w:rFonts w:hint="default" w:ascii="宋体" w:hAnsi="宋体" w:eastAsia="微软雅黑"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rPr>
              <w:t>HXJY1110001039970</w:t>
            </w:r>
            <w:r>
              <w:rPr>
                <w:rFonts w:hint="eastAsia" w:ascii="宋体" w:hAnsi="宋体" w:eastAsia="宋体" w:cs="宋体"/>
                <w:bCs/>
                <w:color w:val="auto"/>
                <w:kern w:val="1"/>
                <w:sz w:val="21"/>
                <w:szCs w:val="21"/>
                <w:highlight w:val="none"/>
                <w:lang w:val="en-US" w:eastAsia="zh-CN"/>
              </w:rPr>
              <w:t>001001</w:t>
            </w:r>
          </w:p>
        </w:tc>
      </w:tr>
      <w:tr w14:paraId="54FEDE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7"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927035C">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招标方式</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A11AF11">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公开招标</w:t>
            </w:r>
          </w:p>
        </w:tc>
      </w:tr>
      <w:tr w14:paraId="426DE4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2126"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F393770">
            <w:pPr>
              <w:keepNext w:val="0"/>
              <w:keepLines w:val="0"/>
              <w:widowControl/>
              <w:suppressLineNumbers w:val="0"/>
              <w:autoSpaceDE/>
              <w:autoSpaceDN/>
              <w:spacing w:before="0" w:beforeAutospacing="0" w:after="0" w:afterAutospacing="0" w:line="500" w:lineRule="exact"/>
              <w:ind w:left="0" w:leftChars="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投标资质要求</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3AC2FD7">
            <w:pPr>
              <w:keepNext w:val="0"/>
              <w:keepLines w:val="0"/>
              <w:widowControl/>
              <w:numPr>
                <w:ilvl w:val="-1"/>
                <w:numId w:val="0"/>
              </w:numPr>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bCs w:val="0"/>
                <w:color w:val="auto"/>
                <w:kern w:val="0"/>
                <w:sz w:val="21"/>
                <w:szCs w:val="21"/>
                <w:highlight w:val="none"/>
                <w:lang w:val="en-US" w:eastAsia="zh-CN" w:bidi="ar"/>
              </w:rPr>
              <w:t>1、投标人要求</w:t>
            </w:r>
            <w:r>
              <w:rPr>
                <w:rFonts w:hint="eastAsia" w:ascii="宋体" w:hAnsi="宋体" w:eastAsia="宋体" w:cs="宋体"/>
                <w:color w:val="auto"/>
                <w:kern w:val="0"/>
                <w:szCs w:val="21"/>
                <w:highlight w:val="none"/>
                <w:lang w:val="en-US" w:eastAsia="zh-CN" w:bidi="ar"/>
              </w:rPr>
              <w:t xml:space="preserve">(同时具备①、②条件)： </w:t>
            </w:r>
          </w:p>
          <w:p w14:paraId="29A8C362">
            <w:pPr>
              <w:keepNext w:val="0"/>
              <w:keepLines w:val="0"/>
              <w:widowControl/>
              <w:suppressLineNumbers w:val="0"/>
              <w:autoSpaceDE/>
              <w:spacing w:before="0" w:beforeAutospacing="0" w:after="0" w:afterAutospacing="0" w:line="500" w:lineRule="exact"/>
              <w:ind w:left="0" w:right="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①</w:t>
            </w:r>
            <w:r>
              <w:rPr>
                <w:rFonts w:hint="eastAsia" w:ascii="宋体" w:hAnsi="宋体" w:cs="宋体"/>
                <w:color w:val="auto"/>
                <w:kern w:val="0"/>
                <w:szCs w:val="21"/>
                <w:highlight w:val="none"/>
                <w:lang w:val="en-US" w:eastAsia="zh-CN" w:bidi="ar"/>
              </w:rPr>
              <w:t>同时</w:t>
            </w:r>
            <w:r>
              <w:rPr>
                <w:rFonts w:hint="eastAsia" w:ascii="宋体" w:hAnsi="宋体" w:cs="宋体"/>
                <w:color w:val="auto"/>
                <w:kern w:val="0"/>
                <w:szCs w:val="21"/>
                <w:highlight w:val="none"/>
                <w:lang w:bidi="ar"/>
              </w:rPr>
              <w:t>具备电力工程施工总承包叁级（或以上）资质</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行业主管部门颁发的承装、承修、承试五级（或以上）电力设施许可证</w:t>
            </w:r>
            <w:r>
              <w:rPr>
                <w:rFonts w:hint="eastAsia" w:ascii="宋体" w:hAnsi="宋体" w:cs="宋体"/>
                <w:color w:val="auto"/>
                <w:kern w:val="0"/>
                <w:szCs w:val="21"/>
                <w:highlight w:val="none"/>
                <w:lang w:val="en-US" w:eastAsia="zh-CN" w:bidi="ar"/>
              </w:rPr>
              <w:t>和</w:t>
            </w:r>
            <w:r>
              <w:rPr>
                <w:rFonts w:hint="eastAsia" w:ascii="宋体" w:hAnsi="宋体" w:eastAsia="宋体" w:cs="宋体"/>
                <w:color w:val="auto"/>
                <w:kern w:val="0"/>
                <w:sz w:val="21"/>
                <w:szCs w:val="21"/>
                <w:highlight w:val="none"/>
                <w:lang w:val="en-US" w:eastAsia="zh-CN" w:bidi="ar"/>
              </w:rPr>
              <w:t>建筑工程施工总承包叁级（或以上）资质</w:t>
            </w:r>
            <w:r>
              <w:rPr>
                <w:rFonts w:hint="eastAsia" w:ascii="宋体" w:hAnsi="宋体" w:eastAsia="宋体" w:cs="宋体"/>
                <w:color w:val="auto"/>
                <w:kern w:val="0"/>
                <w:szCs w:val="21"/>
                <w:highlight w:val="none"/>
                <w:lang w:val="en-US" w:eastAsia="zh-CN" w:bidi="ar"/>
              </w:rPr>
              <w:t xml:space="preserve">； </w:t>
            </w:r>
          </w:p>
          <w:p w14:paraId="3D2CD65E">
            <w:pPr>
              <w:keepNext w:val="0"/>
              <w:keepLines w:val="0"/>
              <w:widowControl/>
              <w:numPr>
                <w:ilvl w:val="-1"/>
                <w:numId w:val="0"/>
              </w:numPr>
              <w:suppressLineNumbers w:val="0"/>
              <w:autoSpaceDE/>
              <w:autoSpaceDN/>
              <w:spacing w:before="0" w:beforeAutospacing="0" w:after="0" w:afterAutospacing="0" w:line="500" w:lineRule="exact"/>
              <w:ind w:left="0" w:right="0" w:rightChars="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②具备有效的安全生产许可证；</w:t>
            </w:r>
          </w:p>
          <w:p w14:paraId="5C72594D">
            <w:pPr>
              <w:keepNext w:val="0"/>
              <w:keepLines w:val="0"/>
              <w:widowControl/>
              <w:suppressLineNumbers w:val="0"/>
              <w:autoSpaceDE/>
              <w:spacing w:before="0" w:beforeAutospacing="0" w:after="0" w:afterAutospacing="0" w:line="500" w:lineRule="exact"/>
              <w:ind w:left="0" w:leftChars="0" w:right="0" w:rightChars="0"/>
              <w:jc w:val="left"/>
              <w:rPr>
                <w:rFonts w:hint="eastAsia" w:ascii="宋体" w:hAnsi="宋体" w:eastAsia="宋体" w:cs="宋体"/>
                <w:bCs w:val="0"/>
                <w:color w:val="auto"/>
                <w:kern w:val="0"/>
                <w:sz w:val="21"/>
                <w:szCs w:val="21"/>
                <w:highlight w:val="none"/>
                <w:lang w:bidi="ar"/>
              </w:rPr>
            </w:pPr>
            <w:r>
              <w:rPr>
                <w:rFonts w:hint="eastAsia" w:ascii="宋体" w:hAnsi="宋体" w:cs="宋体"/>
                <w:bCs w:val="0"/>
                <w:color w:val="auto"/>
                <w:kern w:val="0"/>
                <w:sz w:val="21"/>
                <w:szCs w:val="21"/>
                <w:highlight w:val="none"/>
                <w:lang w:val="en-US" w:eastAsia="zh-CN" w:bidi="ar"/>
              </w:rPr>
              <w:t>2、</w:t>
            </w:r>
            <w:r>
              <w:rPr>
                <w:rFonts w:hint="eastAsia" w:ascii="宋体" w:hAnsi="宋体" w:eastAsia="宋体" w:cs="宋体"/>
                <w:bCs w:val="0"/>
                <w:color w:val="auto"/>
                <w:kern w:val="0"/>
                <w:sz w:val="21"/>
                <w:szCs w:val="21"/>
                <w:highlight w:val="none"/>
                <w:lang w:val="en-US" w:eastAsia="zh-CN" w:bidi="ar"/>
              </w:rPr>
              <w:t>项目</w:t>
            </w:r>
            <w:r>
              <w:rPr>
                <w:rFonts w:hint="eastAsia" w:ascii="宋体" w:hAnsi="宋体" w:cs="宋体"/>
                <w:bCs w:val="0"/>
                <w:color w:val="auto"/>
                <w:kern w:val="0"/>
                <w:sz w:val="21"/>
                <w:szCs w:val="21"/>
                <w:highlight w:val="none"/>
                <w:lang w:val="en-US" w:eastAsia="zh-CN" w:bidi="ar"/>
              </w:rPr>
              <w:t>负责人</w:t>
            </w:r>
            <w:r>
              <w:rPr>
                <w:rFonts w:hint="eastAsia" w:ascii="宋体" w:hAnsi="宋体" w:eastAsia="宋体" w:cs="宋体"/>
                <w:bCs w:val="0"/>
                <w:color w:val="auto"/>
                <w:kern w:val="0"/>
                <w:sz w:val="21"/>
                <w:szCs w:val="21"/>
                <w:highlight w:val="none"/>
                <w:lang w:val="en-US" w:eastAsia="zh-CN" w:bidi="ar"/>
              </w:rPr>
              <w:t>要求：</w:t>
            </w:r>
            <w:r>
              <w:rPr>
                <w:rFonts w:hint="eastAsia" w:ascii="宋体" w:hAnsi="宋体" w:eastAsia="宋体" w:cs="宋体"/>
                <w:color w:val="auto"/>
                <w:kern w:val="0"/>
                <w:szCs w:val="21"/>
                <w:highlight w:val="none"/>
                <w:lang w:val="en-US" w:eastAsia="zh-CN" w:bidi="ar"/>
              </w:rPr>
              <w:t>投标人拟委任项目经理须具备机电工程专业二级及以上注册建造师资格，具备有效的安全生产考核合格(B类)证书。</w:t>
            </w:r>
          </w:p>
        </w:tc>
      </w:tr>
      <w:tr w14:paraId="5FDA2B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699"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E9E4910">
            <w:pPr>
              <w:keepNext w:val="0"/>
              <w:keepLines w:val="0"/>
              <w:widowControl/>
              <w:suppressLineNumbers w:val="0"/>
              <w:autoSpaceDE/>
              <w:autoSpaceDN/>
              <w:spacing w:before="0" w:beforeAutospacing="0" w:after="0" w:afterAutospacing="0" w:line="500" w:lineRule="exact"/>
              <w:ind w:left="0" w:leftChars="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是否接受联合体投标</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55D0EA4C">
            <w:pPr>
              <w:keepNext w:val="0"/>
              <w:keepLines w:val="0"/>
              <w:widowControl/>
              <w:suppressLineNumbers w:val="0"/>
              <w:autoSpaceDE/>
              <w:autoSpaceDN/>
              <w:spacing w:before="0" w:beforeAutospacing="0" w:after="0" w:afterAutospacing="0" w:line="500" w:lineRule="exact"/>
              <w:ind w:left="0" w:leftChars="0" w:right="0" w:rightChars="0"/>
              <w:jc w:val="left"/>
              <w:rPr>
                <w:rFonts w:hint="eastAsia" w:ascii="宋体" w:hAnsi="宋体" w:eastAsia="宋体" w:cs="宋体"/>
                <w:color w:val="auto"/>
                <w:kern w:val="2"/>
                <w:sz w:val="21"/>
                <w:szCs w:val="21"/>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lang w:val="en-US" w:eastAsia="zh-CN"/>
              </w:rPr>
              <w:t>不</w:t>
            </w:r>
            <w:r>
              <w:rPr>
                <w:rFonts w:hint="eastAsia" w:ascii="宋体" w:hAnsi="宋体" w:cs="宋体"/>
                <w:color w:val="auto"/>
                <w:kern w:val="0"/>
                <w:szCs w:val="21"/>
                <w:highlight w:val="none"/>
              </w:rPr>
              <w:t>接受</w:t>
            </w:r>
            <w:r>
              <w:rPr>
                <w:rFonts w:hint="eastAsia" w:ascii="宋体" w:hAnsi="宋体" w:cs="宋体"/>
                <w:color w:val="auto"/>
                <w:szCs w:val="21"/>
                <w:highlight w:val="none"/>
              </w:rPr>
              <w:t>联合体投标</w:t>
            </w:r>
            <w:r>
              <w:rPr>
                <w:rFonts w:hint="eastAsia" w:ascii="宋体" w:hAnsi="宋体" w:cs="宋体"/>
                <w:color w:val="auto"/>
                <w:kern w:val="0"/>
                <w:szCs w:val="21"/>
                <w:highlight w:val="none"/>
                <w:lang w:eastAsia="zh-CN"/>
              </w:rPr>
              <w:t>。</w:t>
            </w:r>
          </w:p>
        </w:tc>
      </w:tr>
      <w:tr w14:paraId="23AEAC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2"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5378BD6F">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招标项目规模</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0168E112">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估算价约</w:t>
            </w:r>
            <w:r>
              <w:rPr>
                <w:rFonts w:hint="eastAsia" w:ascii="宋体" w:hAnsi="宋体" w:cs="宋体"/>
                <w:color w:val="auto"/>
                <w:kern w:val="0"/>
                <w:sz w:val="21"/>
                <w:szCs w:val="21"/>
                <w:highlight w:val="none"/>
                <w:lang w:val="en-US" w:eastAsia="zh-CN" w:bidi="ar"/>
              </w:rPr>
              <w:t>109.6万</w:t>
            </w:r>
            <w:r>
              <w:rPr>
                <w:rFonts w:hint="eastAsia" w:ascii="宋体" w:hAnsi="宋体" w:eastAsia="宋体" w:cs="宋体"/>
                <w:color w:val="auto"/>
                <w:kern w:val="0"/>
                <w:sz w:val="21"/>
                <w:szCs w:val="21"/>
                <w:highlight w:val="none"/>
                <w:lang w:val="en-US" w:eastAsia="zh-CN" w:bidi="ar"/>
              </w:rPr>
              <w:t>元</w:t>
            </w:r>
          </w:p>
        </w:tc>
      </w:tr>
      <w:tr w14:paraId="1724D8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1"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7C85803">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招标项目内容范围</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485CB9B6">
            <w:pPr>
              <w:keepNext w:val="0"/>
              <w:keepLines w:val="0"/>
              <w:widowControl/>
              <w:numPr>
                <w:ilvl w:val="0"/>
                <w:numId w:val="0"/>
              </w:numPr>
              <w:suppressLineNumbers w:val="0"/>
              <w:adjustRightInd w:val="0"/>
              <w:snapToGrid w:val="0"/>
              <w:spacing w:before="0" w:beforeAutospacing="0" w:after="0" w:afterAutospacing="0" w:line="5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本次招标范围包括但不限于：</w:t>
            </w:r>
            <w:r>
              <w:rPr>
                <w:rFonts w:hint="eastAsia" w:ascii="宋体" w:hAnsi="宋体" w:eastAsia="宋体" w:cs="宋体"/>
                <w:color w:val="auto"/>
                <w:kern w:val="0"/>
                <w:szCs w:val="21"/>
                <w:highlight w:val="none"/>
              </w:rPr>
              <w:t>备案、并网接入等相关手续办理、施工图范围内的所有</w:t>
            </w:r>
          </w:p>
          <w:p w14:paraId="737576AB">
            <w:pPr>
              <w:keepNext w:val="0"/>
              <w:keepLines w:val="0"/>
              <w:widowControl/>
              <w:numPr>
                <w:ilvl w:val="0"/>
                <w:numId w:val="0"/>
              </w:numPr>
              <w:suppressLineNumbers w:val="0"/>
              <w:adjustRightInd w:val="0"/>
              <w:snapToGrid w:val="0"/>
              <w:spacing w:before="0" w:beforeAutospacing="0" w:after="0" w:afterAutospacing="0" w:line="5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工作内容、</w:t>
            </w:r>
            <w:r>
              <w:rPr>
                <w:rFonts w:hint="eastAsia" w:ascii="宋体" w:hAnsi="宋体" w:cs="宋体"/>
                <w:color w:val="auto"/>
                <w:kern w:val="0"/>
                <w:szCs w:val="21"/>
                <w:highlight w:val="none"/>
                <w:lang w:val="en-US" w:eastAsia="zh-CN"/>
              </w:rPr>
              <w:t>建筑</w:t>
            </w:r>
            <w:r>
              <w:rPr>
                <w:rFonts w:hint="eastAsia" w:ascii="宋体" w:hAnsi="宋体" w:eastAsia="宋体" w:cs="宋体"/>
                <w:color w:val="auto"/>
                <w:kern w:val="0"/>
                <w:szCs w:val="21"/>
                <w:highlight w:val="none"/>
              </w:rPr>
              <w:t>加固（如需）、</w:t>
            </w:r>
            <w:r>
              <w:rPr>
                <w:rFonts w:hint="eastAsia" w:ascii="宋体" w:hAnsi="宋体" w:eastAsia="宋体" w:cs="宋体"/>
                <w:color w:val="auto"/>
                <w:kern w:val="0"/>
                <w:szCs w:val="21"/>
                <w:highlight w:val="none"/>
                <w:lang w:val="en-US" w:eastAsia="zh-CN"/>
              </w:rPr>
              <w:t>绿化移栽</w:t>
            </w:r>
            <w:r>
              <w:rPr>
                <w:rFonts w:hint="eastAsia" w:ascii="宋体" w:hAnsi="宋体" w:cs="宋体"/>
                <w:color w:val="auto"/>
                <w:kern w:val="0"/>
                <w:szCs w:val="21"/>
                <w:highlight w:val="none"/>
                <w:lang w:val="en-US" w:eastAsia="zh-CN"/>
              </w:rPr>
              <w:t>（绿化移栽需保证一年存活率不低于移栽前状态，否则，中标方应当补种）</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土建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施工现场所必须的管线及其他设施设备迁移</w:t>
            </w:r>
            <w:r>
              <w:rPr>
                <w:rFonts w:hint="eastAsia" w:ascii="宋体" w:hAnsi="宋体" w:eastAsia="宋体" w:cs="宋体"/>
                <w:color w:val="auto"/>
                <w:kern w:val="0"/>
                <w:szCs w:val="21"/>
                <w:highlight w:val="none"/>
              </w:rPr>
              <w:t>及安装施工等工作、本工程内所有设备和系统的供货安装、检验、试验、竣工验收、全站全容量并网240小时安全稳定试运行(出具试运行报告)、消缺、整套系统启动的性能保证的考核验收、技术和售后服务、人员培训、直至移交等全部工作。</w:t>
            </w:r>
            <w:r>
              <w:rPr>
                <w:rFonts w:hint="eastAsia" w:ascii="宋体" w:hAnsi="宋体" w:eastAsia="宋体" w:cs="宋体"/>
                <w:color w:val="auto"/>
                <w:kern w:val="0"/>
                <w:szCs w:val="21"/>
                <w:highlight w:val="none"/>
                <w:lang w:val="en-US" w:eastAsia="zh-CN"/>
              </w:rPr>
              <w:t>本项目的逆变器、数据采集器、远红、视频监控等设备，由中标单位负责接入招标人已建或者后续要建设的能源管理平台（相关设备参数符合平台使用要求）便于后期统一运营管理</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相关费用均在投标报价中。</w:t>
            </w:r>
            <w:r>
              <w:rPr>
                <w:rFonts w:hint="eastAsia" w:ascii="宋体" w:hAnsi="宋体" w:eastAsia="宋体" w:cs="宋体"/>
                <w:color w:val="auto"/>
                <w:kern w:val="0"/>
                <w:szCs w:val="21"/>
                <w:highlight w:val="none"/>
              </w:rPr>
              <w:t>移交前的运维管理，竣工验收交付后，光伏板产品质保 10 年、发电量质保25 年、逆变器质保5年，其他电器设备2年质保，免费运维2年；具体以招标人实施需求为准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u w:val="none"/>
                <w:lang w:eastAsia="zh-CN"/>
              </w:rPr>
              <w:t>产品质保期</w:t>
            </w:r>
            <w:r>
              <w:rPr>
                <w:rFonts w:hint="eastAsia" w:ascii="宋体" w:hAnsi="宋体" w:eastAsia="宋体" w:cs="宋体"/>
                <w:color w:val="auto"/>
                <w:kern w:val="0"/>
                <w:szCs w:val="21"/>
                <w:highlight w:val="none"/>
                <w:u w:val="none"/>
                <w:lang w:val="en-US" w:eastAsia="zh-CN"/>
              </w:rPr>
              <w:t>内</w:t>
            </w:r>
            <w:r>
              <w:rPr>
                <w:rFonts w:hint="eastAsia" w:ascii="宋体" w:hAnsi="宋体" w:eastAsia="宋体" w:cs="宋体"/>
                <w:color w:val="auto"/>
                <w:kern w:val="0"/>
                <w:szCs w:val="21"/>
                <w:highlight w:val="none"/>
                <w:u w:val="none"/>
                <w:lang w:eastAsia="zh-CN"/>
              </w:rPr>
              <w:t>要响应业主需求，及时开展相关工作</w:t>
            </w:r>
            <w:r>
              <w:rPr>
                <w:rFonts w:hint="eastAsia" w:ascii="宋体" w:hAnsi="宋体" w:eastAsia="宋体" w:cs="宋体"/>
                <w:color w:val="auto"/>
                <w:kern w:val="0"/>
                <w:szCs w:val="21"/>
                <w:highlight w:val="none"/>
                <w:u w:val="none"/>
              </w:rPr>
              <w:t>；具体以招标人实施需求为准。</w:t>
            </w:r>
            <w:r>
              <w:rPr>
                <w:rFonts w:hint="eastAsia" w:ascii="宋体" w:hAnsi="宋体" w:eastAsia="宋体" w:cs="宋体"/>
                <w:color w:val="auto"/>
                <w:kern w:val="0"/>
                <w:szCs w:val="21"/>
                <w:highlight w:val="none"/>
                <w:u w:val="none"/>
                <w:lang w:val="en-US" w:eastAsia="zh-CN"/>
              </w:rPr>
              <w:t>项目施工按照施工设计方案开展，具体实际施工</w:t>
            </w:r>
            <w:r>
              <w:rPr>
                <w:rFonts w:hint="eastAsia" w:ascii="宋体" w:hAnsi="宋体" w:eastAsia="宋体" w:cs="宋体"/>
                <w:color w:val="auto"/>
                <w:kern w:val="0"/>
                <w:szCs w:val="21"/>
                <w:highlight w:val="none"/>
                <w:lang w:val="en-US" w:eastAsia="zh-CN"/>
              </w:rPr>
              <w:t>根据业主单位及招标单位意见开展，相关费用包含在项目报价中。</w:t>
            </w:r>
          </w:p>
          <w:p w14:paraId="52B6036E">
            <w:pPr>
              <w:keepNext w:val="0"/>
              <w:keepLines w:val="0"/>
              <w:widowControl/>
              <w:numPr>
                <w:ilvl w:val="0"/>
                <w:numId w:val="0"/>
              </w:numPr>
              <w:suppressLineNumbers w:val="0"/>
              <w:adjustRightInd w:val="0"/>
              <w:snapToGrid w:val="0"/>
              <w:spacing w:before="0" w:beforeAutospacing="0" w:after="0" w:afterAutospacing="0" w:line="500" w:lineRule="exact"/>
              <w:ind w:left="0" w:right="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Cs w:val="21"/>
                <w:highlight w:val="none"/>
                <w:lang w:val="en-US" w:eastAsia="zh-CN"/>
              </w:rPr>
              <w:t>本项目提供场地总平面图，后期由中标单位委托具有相应资质的设计单位进行深化设计，其费用不单独列项且含在投标报价中，请投标人在投标报价时综合考虑。</w:t>
            </w:r>
            <w:r>
              <w:rPr>
                <w:rFonts w:hint="eastAsia" w:ascii="宋体" w:hAnsi="宋体" w:cs="宋体"/>
                <w:color w:val="auto"/>
                <w:kern w:val="0"/>
                <w:sz w:val="21"/>
                <w:szCs w:val="21"/>
                <w:highlight w:val="none"/>
                <w:lang w:val="en-US" w:eastAsia="zh-CN"/>
              </w:rPr>
              <w:t>光伏系统设计及安装过程中需考虑光伏电能无功功率波动，本次招标项目中标单位所建设完成的光伏电站，不得对电网功率因数造成影响。质保期内，若因光伏电站功率因数波动造成罚款，由中标单位全额承担。</w:t>
            </w:r>
          </w:p>
          <w:p w14:paraId="5E4B7D68">
            <w:pPr>
              <w:keepNext w:val="0"/>
              <w:keepLines w:val="0"/>
              <w:widowControl/>
              <w:numPr>
                <w:ilvl w:val="0"/>
                <w:numId w:val="0"/>
              </w:numPr>
              <w:suppressLineNumbers w:val="0"/>
              <w:adjustRightInd w:val="0"/>
              <w:snapToGrid w:val="0"/>
              <w:spacing w:before="0" w:beforeAutospacing="0" w:after="0" w:afterAutospacing="0" w:line="500" w:lineRule="exact"/>
              <w:ind w:left="0" w:right="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 w:val="21"/>
                <w:szCs w:val="21"/>
                <w:highlight w:val="none"/>
                <w:lang w:val="en-US" w:eastAsia="zh-CN"/>
              </w:rPr>
              <w:t>本项目为迁建工程，中标单位需与原承包单位做好材料交接，并承接原采购设备质量保证义务。</w:t>
            </w:r>
            <w:r>
              <w:rPr>
                <w:rFonts w:hint="eastAsia" w:ascii="宋体" w:hAnsi="宋体" w:eastAsia="宋体" w:cs="宋体"/>
                <w:color w:val="auto"/>
                <w:kern w:val="0"/>
                <w:szCs w:val="21"/>
                <w:highlight w:val="none"/>
                <w:lang w:val="en-US" w:eastAsia="zh-CN"/>
              </w:rPr>
              <w:t>本项目含设计、安装、调试、并通过验收及后期运维</w:t>
            </w: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w:t>
            </w:r>
          </w:p>
          <w:p w14:paraId="45D4E8D0">
            <w:pPr>
              <w:keepNext w:val="0"/>
              <w:keepLines w:val="0"/>
              <w:numPr>
                <w:ilvl w:val="0"/>
                <w:numId w:val="0"/>
              </w:numPr>
              <w:suppressLineNumbers w:val="0"/>
              <w:adjustRightInd w:val="0"/>
              <w:snapToGrid w:val="0"/>
              <w:spacing w:before="0" w:beforeAutospacing="0" w:after="0" w:afterAutospacing="0" w:line="500" w:lineRule="exact"/>
              <w:ind w:left="0" w:right="0"/>
              <w:rPr>
                <w:rFonts w:hint="default" w:ascii="宋体" w:hAnsi="宋体" w:cs="宋体"/>
                <w:color w:val="auto"/>
                <w:szCs w:val="21"/>
                <w:highlight w:val="none"/>
              </w:rPr>
            </w:pPr>
            <w:r>
              <w:rPr>
                <w:rFonts w:hint="eastAsia" w:ascii="宋体" w:hAnsi="宋体" w:cs="宋体"/>
                <w:b w:val="0"/>
                <w:bCs w:val="0"/>
                <w:color w:val="auto"/>
                <w:kern w:val="0"/>
                <w:sz w:val="21"/>
                <w:szCs w:val="21"/>
                <w:highlight w:val="none"/>
                <w:lang w:val="en-US" w:eastAsia="zh-CN"/>
              </w:rPr>
              <w:t>本项目主要设备、材料须从公共停车场（小桥湖）光伏车棚迁建至奥体中心停车场，投标人自行勘察现场情况，需确保光伏车棚拆除和重新施工安装工程材料的完好性和质量保证；本项目结算费用以招标图纸和清单控制价为参考依据，以中标价作为最高结算价，若施工过程中存在清单之外的工程分项和工程量，该部分费用在综合投标报价中不予另行结算；若施工过程中存在低于清单之内的工程量，则据实审减结算。</w:t>
            </w:r>
          </w:p>
        </w:tc>
      </w:tr>
      <w:tr w14:paraId="3479A3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5"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E995023">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招标公告发布时间</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6BF27C8">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7</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25</w:t>
            </w:r>
            <w:r>
              <w:rPr>
                <w:rFonts w:hint="eastAsia" w:ascii="宋体" w:hAnsi="宋体" w:eastAsia="宋体" w:cs="宋体"/>
                <w:b/>
                <w:bCs/>
                <w:color w:val="auto"/>
                <w:kern w:val="0"/>
                <w:sz w:val="21"/>
                <w:szCs w:val="21"/>
                <w:highlight w:val="none"/>
                <w:lang w:val="en-US" w:eastAsia="zh-CN" w:bidi="ar"/>
              </w:rPr>
              <w:t>日</w:t>
            </w:r>
          </w:p>
        </w:tc>
      </w:tr>
      <w:tr w14:paraId="44913DB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52AAFAA4">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递交投标文件的截止时间</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27CECA98">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日</w:t>
            </w:r>
            <w:r>
              <w:rPr>
                <w:rFonts w:hint="eastAsia" w:ascii="宋体" w:hAnsi="宋体" w:cs="宋体"/>
                <w:b/>
                <w:bCs/>
                <w:color w:val="auto"/>
                <w:kern w:val="0"/>
                <w:sz w:val="21"/>
                <w:szCs w:val="21"/>
                <w:highlight w:val="none"/>
                <w:lang w:val="en-US" w:eastAsia="zh-CN" w:bidi="ar"/>
              </w:rPr>
              <w:t>15</w:t>
            </w:r>
            <w:r>
              <w:rPr>
                <w:rFonts w:hint="eastAsia" w:ascii="宋体" w:hAnsi="宋体" w:eastAsia="宋体" w:cs="宋体"/>
                <w:b/>
                <w:bCs/>
                <w:color w:val="auto"/>
                <w:kern w:val="0"/>
                <w:sz w:val="21"/>
                <w:szCs w:val="21"/>
                <w:highlight w:val="none"/>
                <w:lang w:val="en-US" w:eastAsia="zh-CN" w:bidi="ar"/>
              </w:rPr>
              <w:t>时</w:t>
            </w:r>
            <w:r>
              <w:rPr>
                <w:rFonts w:hint="eastAsia" w:ascii="宋体" w:hAnsi="宋体" w:cs="宋体"/>
                <w:b/>
                <w:bCs/>
                <w:color w:val="auto"/>
                <w:kern w:val="0"/>
                <w:sz w:val="21"/>
                <w:szCs w:val="21"/>
                <w:highlight w:val="none"/>
                <w:lang w:val="en-US" w:eastAsia="zh-CN" w:bidi="ar"/>
              </w:rPr>
              <w:t>00分</w:t>
            </w:r>
            <w:r>
              <w:rPr>
                <w:rFonts w:hint="eastAsia" w:ascii="宋体" w:hAnsi="宋体" w:eastAsia="宋体" w:cs="宋体"/>
                <w:b/>
                <w:bCs/>
                <w:color w:val="auto"/>
                <w:kern w:val="0"/>
                <w:sz w:val="21"/>
                <w:szCs w:val="21"/>
                <w:highlight w:val="none"/>
                <w:lang w:val="en-US" w:eastAsia="zh-CN" w:bidi="ar"/>
              </w:rPr>
              <w:t>(北京时间)</w:t>
            </w:r>
          </w:p>
        </w:tc>
      </w:tr>
      <w:tr w14:paraId="616186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B254A96">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投标文件递交的方式</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5A81E1CE">
            <w:pPr>
              <w:keepNext w:val="0"/>
              <w:keepLines w:val="0"/>
              <w:widowControl w:val="0"/>
              <w:suppressLineNumbers w:val="0"/>
              <w:wordWrap w:val="0"/>
              <w:autoSpaceDE/>
              <w:autoSpaceDN/>
              <w:spacing w:before="0" w:beforeAutospacing="0" w:after="0" w:afterAutospacing="0" w:line="500" w:lineRule="exact"/>
              <w:ind w:left="0" w:right="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color w:val="auto"/>
                <w:szCs w:val="21"/>
                <w:highlight w:val="none"/>
              </w:rPr>
              <w:t>网上</w:t>
            </w:r>
            <w:r>
              <w:rPr>
                <w:rFonts w:hint="eastAsia" w:ascii="宋体" w:hAnsi="宋体" w:cs="宋体"/>
                <w:b w:val="0"/>
                <w:bCs/>
                <w:color w:val="auto"/>
                <w:szCs w:val="21"/>
                <w:highlight w:val="none"/>
                <w:lang w:val="en-US" w:eastAsia="zh-CN"/>
              </w:rPr>
              <w:t>递交</w:t>
            </w:r>
          </w:p>
        </w:tc>
      </w:tr>
      <w:tr w14:paraId="704938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8654518">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开标时间</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ABEA951">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日</w:t>
            </w:r>
            <w:r>
              <w:rPr>
                <w:rFonts w:hint="eastAsia" w:ascii="宋体" w:hAnsi="宋体" w:cs="宋体"/>
                <w:b/>
                <w:bCs/>
                <w:color w:val="auto"/>
                <w:kern w:val="0"/>
                <w:sz w:val="21"/>
                <w:szCs w:val="21"/>
                <w:highlight w:val="none"/>
                <w:lang w:val="en-US" w:eastAsia="zh-CN" w:bidi="ar"/>
              </w:rPr>
              <w:t>15</w:t>
            </w:r>
            <w:r>
              <w:rPr>
                <w:rFonts w:hint="eastAsia" w:ascii="宋体" w:hAnsi="宋体" w:eastAsia="宋体" w:cs="宋体"/>
                <w:b/>
                <w:bCs/>
                <w:color w:val="auto"/>
                <w:kern w:val="0"/>
                <w:sz w:val="21"/>
                <w:szCs w:val="21"/>
                <w:highlight w:val="none"/>
                <w:lang w:val="en-US" w:eastAsia="zh-CN" w:bidi="ar"/>
              </w:rPr>
              <w:t>时</w:t>
            </w:r>
            <w:r>
              <w:rPr>
                <w:rFonts w:hint="eastAsia" w:ascii="宋体" w:hAnsi="宋体" w:cs="宋体"/>
                <w:b/>
                <w:bCs/>
                <w:color w:val="auto"/>
                <w:kern w:val="0"/>
                <w:sz w:val="21"/>
                <w:szCs w:val="21"/>
                <w:highlight w:val="none"/>
                <w:lang w:val="en-US" w:eastAsia="zh-CN" w:bidi="ar"/>
              </w:rPr>
              <w:t>00分</w:t>
            </w:r>
            <w:r>
              <w:rPr>
                <w:rFonts w:hint="eastAsia" w:ascii="宋体" w:hAnsi="宋体" w:eastAsia="宋体" w:cs="宋体"/>
                <w:b/>
                <w:bCs/>
                <w:color w:val="auto"/>
                <w:kern w:val="0"/>
                <w:sz w:val="21"/>
                <w:szCs w:val="21"/>
                <w:highlight w:val="none"/>
                <w:lang w:val="en-US" w:eastAsia="zh-CN" w:bidi="ar"/>
              </w:rPr>
              <w:t>(北京时间)</w:t>
            </w:r>
          </w:p>
        </w:tc>
      </w:tr>
      <w:tr w14:paraId="08B99D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1333"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4E9CDFD">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开标地点</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F6E2407">
            <w:pPr>
              <w:keepNext w:val="0"/>
              <w:keepLines w:val="0"/>
              <w:widowControl w:val="0"/>
              <w:suppressLineNumbers w:val="0"/>
              <w:wordWrap w:val="0"/>
              <w:autoSpaceDE/>
              <w:autoSpaceDN/>
              <w:spacing w:before="0" w:beforeAutospacing="0" w:after="0" w:afterAutospacing="0" w:line="500" w:lineRule="exact"/>
              <w:ind w:left="0" w:right="0"/>
              <w:jc w:val="left"/>
              <w:outlineLvl w:val="9"/>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rPr>
              <w:t>网上开标，投标人登录滁州市城投工程咨询有限公司不见面开标系统参与网上开标（网址：http://js.etrading.cn/EpointBidOpening/bidopeninghallaction/hall/login）。</w:t>
            </w:r>
            <w:r>
              <w:rPr>
                <w:rFonts w:hint="eastAsia" w:ascii="宋体" w:hAnsi="宋体" w:eastAsia="宋体" w:cs="宋体"/>
                <w:bCs/>
                <w:color w:val="auto"/>
                <w:kern w:val="2"/>
                <w:sz w:val="21"/>
                <w:szCs w:val="21"/>
                <w:highlight w:val="none"/>
              </w:rPr>
              <w:t> </w:t>
            </w:r>
          </w:p>
        </w:tc>
      </w:tr>
      <w:tr w14:paraId="626D9F2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8" w:hRule="atLeast"/>
          <w:jc w:val="center"/>
        </w:trPr>
        <w:tc>
          <w:tcPr>
            <w:tcW w:w="154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86E76BE">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招标文件售价</w:t>
            </w:r>
          </w:p>
        </w:tc>
        <w:tc>
          <w:tcPr>
            <w:tcW w:w="815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2EEAEA3D">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0元</w:t>
            </w:r>
          </w:p>
        </w:tc>
      </w:tr>
      <w:tr w14:paraId="4C6F5C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8" w:hRule="atLeast"/>
          <w:jc w:val="center"/>
        </w:trPr>
        <w:tc>
          <w:tcPr>
            <w:tcW w:w="9696"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445D67F3">
            <w:pPr>
              <w:keepNext w:val="0"/>
              <w:keepLines w:val="0"/>
              <w:widowControl w:val="0"/>
              <w:suppressLineNumbers w:val="0"/>
              <w:autoSpaceDE/>
              <w:autoSpaceDN/>
              <w:spacing w:before="0" w:beforeAutospacing="0" w:after="0" w:afterAutospacing="0" w:line="5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信  息  内  容</w:t>
            </w:r>
          </w:p>
        </w:tc>
      </w:tr>
      <w:tr w14:paraId="5D7676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1658" w:hRule="atLeast"/>
          <w:jc w:val="center"/>
        </w:trPr>
        <w:tc>
          <w:tcPr>
            <w:tcW w:w="1494" w:type="dxa"/>
            <w:tcBorders>
              <w:top w:val="single" w:color="auto" w:sz="12" w:space="0"/>
              <w:left w:val="single" w:color="auto" w:sz="12" w:space="0"/>
              <w:bottom w:val="single" w:color="auto" w:sz="12" w:space="0"/>
              <w:right w:val="single" w:color="auto" w:sz="12" w:space="0"/>
            </w:tcBorders>
            <w:shd w:val="clear" w:color="auto" w:fill="auto"/>
            <w:vAlign w:val="center"/>
          </w:tcPr>
          <w:p w14:paraId="547AD400">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工程概况</w:t>
            </w:r>
          </w:p>
        </w:tc>
        <w:tc>
          <w:tcPr>
            <w:tcW w:w="820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4B710204">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项目地为</w:t>
            </w:r>
            <w:r>
              <w:rPr>
                <w:rFonts w:hint="eastAsia" w:ascii="宋体" w:hAnsi="宋体" w:cs="宋体"/>
                <w:bCs w:val="0"/>
                <w:color w:val="auto"/>
                <w:kern w:val="2"/>
                <w:sz w:val="21"/>
                <w:szCs w:val="21"/>
                <w:highlight w:val="none"/>
                <w:lang w:eastAsia="zh-CN" w:bidi="ar"/>
              </w:rPr>
              <w:t>滁州市奥体中心停车场</w:t>
            </w:r>
            <w:r>
              <w:rPr>
                <w:rFonts w:hint="eastAsia" w:ascii="宋体" w:hAnsi="宋体" w:eastAsia="宋体" w:cs="宋体"/>
                <w:color w:val="auto"/>
                <w:kern w:val="2"/>
                <w:sz w:val="21"/>
                <w:szCs w:val="21"/>
                <w:highlight w:val="none"/>
                <w:lang w:val="en-US" w:eastAsia="zh-CN" w:bidi="ar"/>
              </w:rPr>
              <w:t>建设光伏车棚</w:t>
            </w:r>
            <w:r>
              <w:rPr>
                <w:rFonts w:hint="eastAsia" w:ascii="宋体" w:hAnsi="宋体" w:cs="宋体"/>
                <w:color w:val="auto"/>
                <w:kern w:val="2"/>
                <w:sz w:val="21"/>
                <w:szCs w:val="21"/>
                <w:highlight w:val="none"/>
                <w:lang w:val="en-US" w:eastAsia="zh-CN" w:bidi="ar"/>
              </w:rPr>
              <w:t>（具体建设地点、建设容量需经招标人确认）</w:t>
            </w:r>
            <w:r>
              <w:rPr>
                <w:rFonts w:hint="eastAsia" w:ascii="宋体" w:hAnsi="宋体" w:eastAsia="宋体" w:cs="宋体"/>
                <w:color w:val="auto"/>
                <w:kern w:val="2"/>
                <w:sz w:val="21"/>
                <w:szCs w:val="21"/>
                <w:highlight w:val="none"/>
                <w:lang w:val="en-US" w:eastAsia="zh-CN" w:bidi="ar"/>
              </w:rPr>
              <w:t>，项目总装机容量</w:t>
            </w:r>
            <w:r>
              <w:rPr>
                <w:rFonts w:hint="eastAsia" w:ascii="宋体" w:hAnsi="宋体" w:cs="宋体"/>
                <w:color w:val="auto"/>
                <w:kern w:val="2"/>
                <w:sz w:val="21"/>
                <w:szCs w:val="21"/>
                <w:highlight w:val="none"/>
                <w:lang w:val="en-US" w:eastAsia="zh-CN" w:bidi="ar"/>
              </w:rPr>
              <w:t>不超过0.34</w:t>
            </w:r>
            <w:r>
              <w:rPr>
                <w:rFonts w:hint="eastAsia" w:ascii="宋体" w:hAnsi="宋体" w:eastAsia="宋体" w:cs="宋体"/>
                <w:color w:val="auto"/>
                <w:kern w:val="2"/>
                <w:sz w:val="21"/>
                <w:szCs w:val="21"/>
                <w:highlight w:val="none"/>
                <w:lang w:val="en-US" w:eastAsia="zh-CN" w:bidi="ar"/>
              </w:rPr>
              <w:t>MWp。项目采用低压并网，自发自用、余电上网模式，总投资金额</w:t>
            </w:r>
            <w:r>
              <w:rPr>
                <w:rFonts w:hint="eastAsia" w:ascii="宋体" w:hAnsi="宋体" w:cs="宋体"/>
                <w:color w:val="auto"/>
                <w:kern w:val="2"/>
                <w:sz w:val="21"/>
                <w:szCs w:val="21"/>
                <w:highlight w:val="none"/>
                <w:lang w:val="en-US" w:eastAsia="zh-CN" w:bidi="ar"/>
              </w:rPr>
              <w:t>不超过109.6</w:t>
            </w:r>
            <w:r>
              <w:rPr>
                <w:rFonts w:hint="eastAsia" w:ascii="宋体" w:hAnsi="宋体" w:eastAsia="宋体" w:cs="宋体"/>
                <w:color w:val="auto"/>
                <w:kern w:val="2"/>
                <w:sz w:val="21"/>
                <w:szCs w:val="21"/>
                <w:highlight w:val="none"/>
                <w:lang w:val="en-US" w:eastAsia="zh-CN" w:bidi="ar"/>
              </w:rPr>
              <w:t>万元。</w:t>
            </w:r>
          </w:p>
        </w:tc>
      </w:tr>
      <w:tr w14:paraId="75B15F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717" w:hRule="atLeast"/>
          <w:jc w:val="center"/>
        </w:trPr>
        <w:tc>
          <w:tcPr>
            <w:tcW w:w="1494" w:type="dxa"/>
            <w:tcBorders>
              <w:top w:val="single" w:color="auto" w:sz="12" w:space="0"/>
              <w:left w:val="single" w:color="auto" w:sz="12" w:space="0"/>
              <w:bottom w:val="single" w:color="auto" w:sz="12" w:space="0"/>
              <w:right w:val="single" w:color="auto" w:sz="12" w:space="0"/>
            </w:tcBorders>
            <w:shd w:val="clear" w:color="auto" w:fill="auto"/>
            <w:vAlign w:val="center"/>
          </w:tcPr>
          <w:p w14:paraId="516DCADD">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标段划分</w:t>
            </w:r>
          </w:p>
        </w:tc>
        <w:tc>
          <w:tcPr>
            <w:tcW w:w="820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28578B86">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一个标段</w:t>
            </w:r>
          </w:p>
        </w:tc>
      </w:tr>
      <w:tr w14:paraId="0CEE4D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717" w:hRule="atLeast"/>
          <w:jc w:val="center"/>
        </w:trPr>
        <w:tc>
          <w:tcPr>
            <w:tcW w:w="1494" w:type="dxa"/>
            <w:tcBorders>
              <w:top w:val="single" w:color="auto" w:sz="12" w:space="0"/>
              <w:left w:val="single" w:color="auto" w:sz="12" w:space="0"/>
              <w:bottom w:val="single" w:color="auto" w:sz="12" w:space="0"/>
              <w:right w:val="single" w:color="auto" w:sz="12" w:space="0"/>
            </w:tcBorders>
            <w:shd w:val="clear" w:color="auto" w:fill="auto"/>
            <w:vAlign w:val="center"/>
          </w:tcPr>
          <w:p w14:paraId="62C9ADC5">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评标办法</w:t>
            </w:r>
          </w:p>
        </w:tc>
        <w:tc>
          <w:tcPr>
            <w:tcW w:w="2637"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4BA8682">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经评审的最低投标价法</w:t>
            </w:r>
          </w:p>
        </w:tc>
        <w:tc>
          <w:tcPr>
            <w:tcW w:w="2463"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2410BA9">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工程款支付方式</w:t>
            </w:r>
          </w:p>
        </w:tc>
        <w:tc>
          <w:tcPr>
            <w:tcW w:w="3102" w:type="dxa"/>
            <w:tcBorders>
              <w:top w:val="single" w:color="auto" w:sz="12" w:space="0"/>
              <w:left w:val="single" w:color="auto" w:sz="12" w:space="0"/>
              <w:bottom w:val="single" w:color="auto" w:sz="12" w:space="0"/>
              <w:right w:val="single" w:color="auto" w:sz="12" w:space="0"/>
            </w:tcBorders>
            <w:shd w:val="clear" w:color="auto" w:fill="auto"/>
            <w:vAlign w:val="center"/>
          </w:tcPr>
          <w:p w14:paraId="23F676B5">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1DF9E7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7" w:hRule="atLeast"/>
          <w:jc w:val="center"/>
        </w:trPr>
        <w:tc>
          <w:tcPr>
            <w:tcW w:w="1494" w:type="dxa"/>
            <w:tcBorders>
              <w:top w:val="single" w:color="auto" w:sz="12" w:space="0"/>
              <w:left w:val="single" w:color="auto" w:sz="12" w:space="0"/>
              <w:bottom w:val="single" w:color="auto" w:sz="12" w:space="0"/>
              <w:right w:val="single" w:color="auto" w:sz="12" w:space="0"/>
            </w:tcBorders>
            <w:shd w:val="clear" w:color="auto" w:fill="auto"/>
            <w:vAlign w:val="center"/>
          </w:tcPr>
          <w:p w14:paraId="0296C9B1">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工程概算</w:t>
            </w:r>
          </w:p>
        </w:tc>
        <w:tc>
          <w:tcPr>
            <w:tcW w:w="2637"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3E06F67">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约</w:t>
            </w:r>
            <w:r>
              <w:rPr>
                <w:rFonts w:hint="eastAsia" w:ascii="宋体" w:hAnsi="宋体" w:cs="宋体"/>
                <w:color w:val="auto"/>
                <w:kern w:val="2"/>
                <w:sz w:val="21"/>
                <w:szCs w:val="21"/>
                <w:highlight w:val="none"/>
                <w:lang w:val="en-US" w:eastAsia="zh-CN" w:bidi="ar"/>
              </w:rPr>
              <w:t>109.6万</w:t>
            </w:r>
            <w:r>
              <w:rPr>
                <w:rFonts w:hint="eastAsia" w:ascii="宋体" w:hAnsi="宋体" w:eastAsia="宋体" w:cs="宋体"/>
                <w:color w:val="auto"/>
                <w:kern w:val="2"/>
                <w:sz w:val="21"/>
                <w:szCs w:val="21"/>
                <w:highlight w:val="none"/>
                <w:lang w:val="en-US" w:eastAsia="zh-CN" w:bidi="ar"/>
              </w:rPr>
              <w:t>元</w:t>
            </w:r>
          </w:p>
        </w:tc>
        <w:tc>
          <w:tcPr>
            <w:tcW w:w="2463"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A184A15">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计划工期</w:t>
            </w:r>
          </w:p>
        </w:tc>
        <w:tc>
          <w:tcPr>
            <w:tcW w:w="3102" w:type="dxa"/>
            <w:tcBorders>
              <w:top w:val="single" w:color="auto" w:sz="12" w:space="0"/>
              <w:left w:val="single" w:color="auto" w:sz="12" w:space="0"/>
              <w:bottom w:val="single" w:color="auto" w:sz="12" w:space="0"/>
              <w:right w:val="single" w:color="auto" w:sz="12" w:space="0"/>
            </w:tcBorders>
            <w:shd w:val="clear" w:color="auto" w:fill="auto"/>
            <w:vAlign w:val="center"/>
          </w:tcPr>
          <w:p w14:paraId="6AEBEDDB">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3F31BE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7" w:hRule="atLeast"/>
          <w:jc w:val="center"/>
        </w:trPr>
        <w:tc>
          <w:tcPr>
            <w:tcW w:w="1494" w:type="dxa"/>
            <w:tcBorders>
              <w:top w:val="single" w:color="auto" w:sz="12" w:space="0"/>
              <w:left w:val="single" w:color="auto" w:sz="12" w:space="0"/>
              <w:bottom w:val="single" w:color="auto" w:sz="12" w:space="0"/>
              <w:right w:val="single" w:color="auto" w:sz="12" w:space="0"/>
            </w:tcBorders>
            <w:shd w:val="clear" w:color="auto" w:fill="auto"/>
            <w:vAlign w:val="center"/>
          </w:tcPr>
          <w:p w14:paraId="0A24E0EF">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资金来源</w:t>
            </w:r>
          </w:p>
        </w:tc>
        <w:tc>
          <w:tcPr>
            <w:tcW w:w="2637"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0EDC18D">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自筹资金</w:t>
            </w:r>
          </w:p>
        </w:tc>
        <w:tc>
          <w:tcPr>
            <w:tcW w:w="2463"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DE1A72A">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招标文件等获取方式</w:t>
            </w:r>
          </w:p>
        </w:tc>
        <w:tc>
          <w:tcPr>
            <w:tcW w:w="3102" w:type="dxa"/>
            <w:tcBorders>
              <w:top w:val="single" w:color="auto" w:sz="12" w:space="0"/>
              <w:left w:val="single" w:color="auto" w:sz="12" w:space="0"/>
              <w:bottom w:val="single" w:color="auto" w:sz="12" w:space="0"/>
              <w:right w:val="single" w:color="auto" w:sz="12" w:space="0"/>
            </w:tcBorders>
            <w:shd w:val="clear" w:color="auto" w:fill="auto"/>
            <w:vAlign w:val="center"/>
          </w:tcPr>
          <w:p w14:paraId="01E14343">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网上下载</w:t>
            </w:r>
          </w:p>
        </w:tc>
      </w:tr>
      <w:tr w14:paraId="0C1DB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4" w:hRule="atLeast"/>
          <w:jc w:val="center"/>
        </w:trPr>
        <w:tc>
          <w:tcPr>
            <w:tcW w:w="9696"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01B6463D">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是否要求提交投标保证金：要求，投标保证金的金额：</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万元。</w:t>
            </w:r>
          </w:p>
          <w:p w14:paraId="20663E36">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投标保证金的形式：☑银行转账 </w:t>
            </w:r>
          </w:p>
          <w:p w14:paraId="6BCAEEB0">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投标保证金须</w:t>
            </w:r>
            <w:r>
              <w:rPr>
                <w:rFonts w:hint="eastAsia" w:ascii="宋体" w:hAnsi="宋体" w:cs="宋体"/>
                <w:color w:val="auto"/>
                <w:kern w:val="2"/>
                <w:sz w:val="21"/>
                <w:szCs w:val="21"/>
                <w:highlight w:val="none"/>
                <w:lang w:val="en-US" w:eastAsia="zh-CN" w:bidi="ar"/>
              </w:rPr>
              <w:t>在</w:t>
            </w:r>
            <w:r>
              <w:rPr>
                <w:rFonts w:hint="eastAsia" w:ascii="宋体" w:hAnsi="宋体" w:eastAsia="宋体" w:cs="宋体"/>
                <w:color w:val="auto"/>
                <w:kern w:val="2"/>
                <w:sz w:val="21"/>
                <w:szCs w:val="21"/>
                <w:highlight w:val="none"/>
                <w:lang w:val="en-US" w:eastAsia="zh-CN" w:bidi="ar"/>
              </w:rPr>
              <w:t>投标截止时间前交纳完毕；投标保证金须从投标人基本账户转入以下账户，投标保证金付款人的账户名称必须与投标人名称一致，不接受汇票和结算卡汇入，以资金到账时间为确认保证金交纳完毕时间。</w:t>
            </w:r>
          </w:p>
          <w:p w14:paraId="5D882A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户  名：滁州市城投工程咨询管理有限公司 </w:t>
            </w:r>
          </w:p>
          <w:p w14:paraId="67CE06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开户行：中国银行滁州分行营业部 </w:t>
            </w:r>
          </w:p>
          <w:p w14:paraId="316F80F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账  号：184256514737 </w:t>
            </w:r>
          </w:p>
          <w:p w14:paraId="74FC0CA1">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保证金到账截止时间同投标文件递交截止时间，交纳保证金时须在交易附言中注明：“</w:t>
            </w:r>
            <w:r>
              <w:rPr>
                <w:rFonts w:hint="eastAsia" w:ascii="宋体" w:hAnsi="宋体" w:cs="宋体"/>
                <w:color w:val="auto"/>
                <w:kern w:val="2"/>
                <w:sz w:val="21"/>
                <w:szCs w:val="21"/>
                <w:highlight w:val="none"/>
                <w:lang w:val="en-US" w:eastAsia="zh-CN" w:bidi="ar"/>
              </w:rPr>
              <w:t>滁州市奥体中心停车场光伏项目</w:t>
            </w:r>
            <w:r>
              <w:rPr>
                <w:rFonts w:hint="eastAsia" w:ascii="宋体" w:hAnsi="宋体" w:eastAsia="宋体" w:cs="宋体"/>
                <w:color w:val="auto"/>
                <w:kern w:val="2"/>
                <w:sz w:val="21"/>
                <w:szCs w:val="21"/>
                <w:highlight w:val="none"/>
                <w:lang w:val="en-US" w:eastAsia="zh-CN" w:bidi="ar"/>
              </w:rPr>
              <w:t xml:space="preserve">”投标保证金。 </w:t>
            </w:r>
          </w:p>
          <w:p w14:paraId="221EEEF6">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注：各投标人请严格按照招标公告和招标文件载明的银行、账户汇入投标保证金，否则在开标时将无法查询保证金是否到账，导致评标委员会否决其投标！</w:t>
            </w:r>
          </w:p>
          <w:p w14:paraId="790056D5">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投标保证金退还期限：中标通知书发放后五个工作日内退还未中标单位的投标保证金，签订合同后五个工作日内退还中标单位的投标保证金。</w:t>
            </w:r>
          </w:p>
        </w:tc>
      </w:tr>
      <w:tr w14:paraId="7947F05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1621" w:hRule="atLeast"/>
          <w:jc w:val="center"/>
        </w:trPr>
        <w:tc>
          <w:tcPr>
            <w:tcW w:w="9696"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5ACC1777">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招标文件获取方式：投标人从</w:t>
            </w:r>
            <w:r>
              <w:rPr>
                <w:rFonts w:hint="eastAsia" w:ascii="宋体" w:hAnsi="宋体" w:cs="宋体"/>
                <w:color w:val="auto"/>
                <w:sz w:val="21"/>
                <w:szCs w:val="21"/>
                <w:highlight w:val="none"/>
                <w:lang w:val="en-US" w:eastAsia="zh-CN"/>
              </w:rPr>
              <w:t>滁州扬子工业集团有限公司官网（https://czyzgtjt.com/）</w:t>
            </w:r>
            <w:r>
              <w:rPr>
                <w:rFonts w:hint="eastAsia" w:ascii="宋体" w:hAnsi="宋体" w:eastAsia="宋体" w:cs="宋体"/>
                <w:i w:val="0"/>
                <w:iCs w:val="0"/>
                <w:caps w:val="0"/>
                <w:color w:val="auto"/>
                <w:spacing w:val="0"/>
                <w:sz w:val="21"/>
                <w:szCs w:val="21"/>
                <w:highlight w:val="none"/>
                <w:shd w:val="clear"/>
                <w:lang w:eastAsia="zh-CN"/>
              </w:rPr>
              <w:t>、</w:t>
            </w:r>
            <w:r>
              <w:rPr>
                <w:rFonts w:hint="eastAsia" w:ascii="宋体" w:hAnsi="宋体" w:cs="宋体"/>
                <w:color w:val="auto"/>
                <w:sz w:val="21"/>
                <w:szCs w:val="21"/>
                <w:highlight w:val="none"/>
                <w:lang w:val="en-US" w:eastAsia="zh-CN"/>
              </w:rPr>
              <w:t>滁州市城投工程咨询管理有限公司官网（https://www.czctgczx.com/）</w:t>
            </w:r>
            <w:r>
              <w:rPr>
                <w:rFonts w:hint="eastAsia" w:ascii="宋体" w:hAnsi="宋体" w:eastAsia="宋体" w:cs="宋体"/>
                <w:color w:val="auto"/>
                <w:kern w:val="2"/>
                <w:sz w:val="21"/>
                <w:szCs w:val="21"/>
                <w:highlight w:val="none"/>
                <w:lang w:val="en-US" w:eastAsia="zh-CN" w:bidi="ar"/>
              </w:rPr>
              <w:t>下载。</w:t>
            </w:r>
          </w:p>
        </w:tc>
      </w:tr>
      <w:tr w14:paraId="3654D9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59" w:hRule="atLeast"/>
          <w:jc w:val="center"/>
        </w:trPr>
        <w:tc>
          <w:tcPr>
            <w:tcW w:w="9696"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30C12EE2">
            <w:pPr>
              <w:keepNext w:val="0"/>
              <w:keepLines w:val="0"/>
              <w:widowControl w:val="0"/>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招标文件获取时间：</w:t>
            </w: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7</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25</w:t>
            </w:r>
            <w:r>
              <w:rPr>
                <w:rFonts w:hint="eastAsia" w:ascii="宋体" w:hAnsi="宋体" w:eastAsia="宋体" w:cs="宋体"/>
                <w:b/>
                <w:bCs/>
                <w:color w:val="auto"/>
                <w:kern w:val="0"/>
                <w:sz w:val="21"/>
                <w:szCs w:val="21"/>
                <w:highlight w:val="none"/>
                <w:lang w:val="en-US" w:eastAsia="zh-CN" w:bidi="ar"/>
              </w:rPr>
              <w:t>日17时后</w:t>
            </w:r>
            <w:r>
              <w:rPr>
                <w:rFonts w:hint="eastAsia" w:ascii="宋体" w:hAnsi="宋体" w:eastAsia="宋体" w:cs="宋体"/>
                <w:color w:val="auto"/>
                <w:kern w:val="0"/>
                <w:sz w:val="21"/>
                <w:szCs w:val="21"/>
                <w:highlight w:val="none"/>
                <w:lang w:val="en-US" w:eastAsia="zh-CN" w:bidi="ar"/>
              </w:rPr>
              <w:t>，如投标人不及时下载招标文件，造成后果由投标人自负。</w:t>
            </w:r>
          </w:p>
        </w:tc>
      </w:tr>
      <w:tr w14:paraId="4F5B0A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2372" w:hRule="atLeast"/>
          <w:jc w:val="center"/>
        </w:trPr>
        <w:tc>
          <w:tcPr>
            <w:tcW w:w="4639"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194A094F">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招标人名称：</w:t>
            </w:r>
            <w:r>
              <w:rPr>
                <w:rFonts w:hint="eastAsia" w:ascii="宋体" w:hAnsi="宋体" w:eastAsia="宋体" w:cs="宋体"/>
                <w:color w:val="auto"/>
                <w:szCs w:val="21"/>
                <w:highlight w:val="none"/>
                <w:lang w:eastAsia="zh-CN"/>
              </w:rPr>
              <w:t>滁州工投新能源开发有限公司</w:t>
            </w:r>
          </w:p>
          <w:p w14:paraId="7BF514A3">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w:t>
            </w:r>
            <w:r>
              <w:rPr>
                <w:rFonts w:hint="eastAsia" w:ascii="宋体" w:hAnsi="宋体" w:eastAsia="宋体" w:cs="宋体"/>
                <w:color w:val="auto"/>
                <w:szCs w:val="21"/>
                <w:highlight w:val="none"/>
                <w:lang w:eastAsia="zh-CN"/>
              </w:rPr>
              <w:t>滁州市中都大道城投大厦13楼</w:t>
            </w:r>
          </w:p>
          <w:p w14:paraId="7538009B">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 系 人：</w:t>
            </w:r>
            <w:r>
              <w:rPr>
                <w:rFonts w:hint="eastAsia" w:ascii="宋体" w:hAnsi="宋体" w:cs="宋体"/>
                <w:color w:val="auto"/>
                <w:szCs w:val="21"/>
                <w:highlight w:val="none"/>
                <w:lang w:eastAsia="zh-CN"/>
              </w:rPr>
              <w:t>李</w:t>
            </w:r>
            <w:r>
              <w:rPr>
                <w:rFonts w:hint="eastAsia" w:ascii="宋体" w:hAnsi="宋体" w:cs="宋体"/>
                <w:color w:val="auto"/>
                <w:szCs w:val="21"/>
                <w:highlight w:val="none"/>
                <w:lang w:val="en-US" w:eastAsia="zh-CN"/>
              </w:rPr>
              <w:t>工</w:t>
            </w:r>
          </w:p>
          <w:p w14:paraId="7C3245AB">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bidi="ar"/>
              </w:rPr>
              <w:t>联系方式：</w:t>
            </w:r>
            <w:r>
              <w:rPr>
                <w:rFonts w:hint="eastAsia" w:ascii="宋体" w:hAnsi="宋体" w:eastAsia="宋体" w:cs="宋体"/>
                <w:color w:val="auto"/>
                <w:szCs w:val="21"/>
                <w:highlight w:val="none"/>
                <w:lang w:eastAsia="zh-CN"/>
              </w:rPr>
              <w:t>0550-3018358</w:t>
            </w:r>
          </w:p>
          <w:p w14:paraId="073D9D28">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监督电话：0550-3017855</w:t>
            </w:r>
          </w:p>
        </w:tc>
        <w:tc>
          <w:tcPr>
            <w:tcW w:w="5057"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D4AE3E7">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招标代理机构名称：滁州市城投工程咨询管理有限公司</w:t>
            </w:r>
          </w:p>
          <w:p w14:paraId="7AFD84C0">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地址：滁州市龙蟠大道109号房产商务大厦6楼</w:t>
            </w:r>
          </w:p>
          <w:p w14:paraId="528B6B7E">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联系人：</w:t>
            </w:r>
            <w:r>
              <w:rPr>
                <w:rFonts w:hint="eastAsia" w:ascii="宋体" w:hAnsi="宋体" w:cs="宋体"/>
                <w:color w:val="auto"/>
                <w:kern w:val="0"/>
                <w:sz w:val="21"/>
                <w:szCs w:val="21"/>
                <w:highlight w:val="none"/>
                <w:lang w:val="en-US" w:eastAsia="zh-CN" w:bidi="ar"/>
              </w:rPr>
              <w:t>王芳</w:t>
            </w:r>
          </w:p>
          <w:p w14:paraId="2C49FAF3">
            <w:pPr>
              <w:keepNext w:val="0"/>
              <w:keepLines w:val="0"/>
              <w:widowControl/>
              <w:suppressLineNumbers w:val="0"/>
              <w:autoSpaceDE/>
              <w:autoSpaceDN/>
              <w:spacing w:before="0" w:beforeAutospacing="0" w:after="0" w:afterAutospacing="0" w:line="500" w:lineRule="exact"/>
              <w:ind w:left="0" w:right="0"/>
              <w:jc w:val="left"/>
              <w:rPr>
                <w:rFonts w:hint="eastAsia" w:ascii="宋体" w:hAnsi="宋体" w:eastAsia="宋体" w:cs="宋体"/>
                <w:color w:val="auto"/>
                <w:kern w:val="0"/>
                <w:sz w:val="21"/>
                <w:szCs w:val="21"/>
                <w:highlight w:val="none"/>
                <w:u w:val="single"/>
                <w:lang w:val="en-US"/>
              </w:rPr>
            </w:pPr>
            <w:r>
              <w:rPr>
                <w:rFonts w:hint="eastAsia" w:ascii="宋体" w:hAnsi="宋体" w:eastAsia="宋体" w:cs="宋体"/>
                <w:color w:val="auto"/>
                <w:kern w:val="0"/>
                <w:sz w:val="21"/>
                <w:szCs w:val="21"/>
                <w:highlight w:val="none"/>
                <w:lang w:val="en-US" w:eastAsia="zh-CN" w:bidi="ar"/>
              </w:rPr>
              <w:t>联系方式：0550-35195</w:t>
            </w:r>
            <w:r>
              <w:rPr>
                <w:rFonts w:hint="eastAsia" w:ascii="宋体" w:hAnsi="宋体" w:cs="宋体"/>
                <w:color w:val="auto"/>
                <w:kern w:val="0"/>
                <w:sz w:val="21"/>
                <w:szCs w:val="21"/>
                <w:highlight w:val="none"/>
                <w:lang w:val="en-US" w:eastAsia="zh-CN" w:bidi="ar"/>
              </w:rPr>
              <w:t>19、18955055067</w:t>
            </w:r>
          </w:p>
        </w:tc>
      </w:tr>
      <w:tr w14:paraId="5F8FFB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7" w:hRule="atLeast"/>
          <w:jc w:val="center"/>
        </w:trPr>
        <w:tc>
          <w:tcPr>
            <w:tcW w:w="9696"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64661950">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right="0" w:firstLine="422" w:firstLineChars="200"/>
              <w:jc w:val="left"/>
              <w:textAlignment w:val="auto"/>
              <w:outlineLvl w:val="9"/>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其他补充事宜：</w:t>
            </w:r>
          </w:p>
          <w:p w14:paraId="71610D43">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leftChars="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1.投标人从滁州市城投工程咨询管理有限公司（https://www.czctgczx.com/）</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lang w:val="en-US" w:eastAsia="zh-CN"/>
              </w:rPr>
              <w:t>滁州扬子工业集团有限公司官网（https://czyzgtjt.com/）</w:t>
            </w:r>
            <w:r>
              <w:rPr>
                <w:rFonts w:hint="eastAsia" w:ascii="宋体" w:hAnsi="宋体" w:eastAsia="宋体" w:cs="宋体"/>
                <w:color w:val="auto"/>
                <w:szCs w:val="21"/>
                <w:highlight w:val="none"/>
              </w:rPr>
              <w:t>下载。</w:t>
            </w:r>
          </w:p>
          <w:p w14:paraId="38B8525A">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leftChars="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投标人自行承担因未按要求获取招标文件导致无法上传电子投标文件的风险。</w:t>
            </w:r>
          </w:p>
          <w:p w14:paraId="43A446A8">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leftChars="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1）投标人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1BF51E25">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leftChars="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（2）投标人登录新点电子交易平台【滁州专区】获取招标文件及其它资料（含澄清和补充说明等）。如在招标文件获取过程中遇到系统问题，请拨打技术支持服务热线 4009280095或者网站首页在线客服。</w:t>
            </w:r>
          </w:p>
          <w:p w14:paraId="0CC6CAFE">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leftChars="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2、招标文件及相关资料售价：人民币0元/套（含清单控制价、图纸及澄清答疑文件）</w:t>
            </w:r>
          </w:p>
          <w:p w14:paraId="0B232777">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leftChars="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开评标实行全流程电子化，开标活动在线完成。开标时投标人无需到达开标现场，不接受现场解密，实行远程解密和在线询标。各投标人认真学习《新点电子交易平台投标人操作手册》，务必掌握远程解密方法和在线回复询标方法。</w:t>
            </w:r>
          </w:p>
          <w:p w14:paraId="4F8E3981">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leftChars="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4、本项目采用不见面开标，投标人登录滁州市城投工程咨询有限公司不见面开标系统参与网上开标（网址：http://js.etrading.cn/EpointBidOpening/bidopeninghallaction/hall/login）。</w:t>
            </w:r>
          </w:p>
          <w:p w14:paraId="58FCE34D">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leftChars="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投标人应在投标截止时间之前，登陆新点电子交易平台【滁州专区】上传投标文件</w:t>
            </w:r>
          </w:p>
          <w:p w14:paraId="036A1B7A">
            <w:pPr>
              <w:keepNext w:val="0"/>
              <w:keepLines w:val="0"/>
              <w:pageBreakBefore w:val="0"/>
              <w:widowControl/>
              <w:numPr>
                <w:ilvl w:val="-1"/>
                <w:numId w:val="0"/>
              </w:numPr>
              <w:suppressLineNumbers w:val="0"/>
              <w:kinsoku/>
              <w:wordWrap w:val="0"/>
              <w:overflowPunct/>
              <w:topLinePunct w:val="0"/>
              <w:autoSpaceDE/>
              <w:autoSpaceDN/>
              <w:bidi w:val="0"/>
              <w:adjustRightInd/>
              <w:snapToGrid/>
              <w:spacing w:before="0" w:beforeAutospacing="0" w:after="0" w:afterAutospacing="0" w:line="500" w:lineRule="exact"/>
              <w:ind w:left="0" w:leftChars="0" w:right="0"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本项目仅接受加密电子投标文件投标人在投标截止时间前通过新点电子交易平台后在【滁州专区】（https://www.etrading.cn/BREpointSSO/login/oauth2login?regioncode=DQ_ChuZhou）交易系统递交电子投标文件。</w:t>
            </w:r>
          </w:p>
          <w:p w14:paraId="3ED96CC8">
            <w:pPr>
              <w:keepNext w:val="0"/>
              <w:keepLines w:val="0"/>
              <w:widowControl/>
              <w:numPr>
                <w:ilvl w:val="-1"/>
                <w:numId w:val="0"/>
              </w:numPr>
              <w:suppressLineNumbers w:val="0"/>
              <w:wordWrap w:val="0"/>
              <w:autoSpaceDE/>
              <w:autoSpaceDN/>
              <w:spacing w:before="0" w:beforeAutospacing="0" w:after="0" w:afterAutospacing="0" w:line="500" w:lineRule="exact"/>
              <w:ind w:left="0" w:leftChars="0" w:right="0" w:firstLine="420" w:firstLineChars="200"/>
              <w:jc w:val="left"/>
              <w:outlineLvl w:val="9"/>
              <w:rPr>
                <w:rFonts w:hint="eastAsia" w:ascii="宋体" w:hAnsi="宋体" w:eastAsia="宋体" w:cs="宋体"/>
                <w:b/>
                <w:bCs w:val="0"/>
                <w:color w:val="auto"/>
                <w:kern w:val="2"/>
                <w:sz w:val="21"/>
                <w:szCs w:val="21"/>
                <w:highlight w:val="none"/>
                <w:lang w:val="en-US" w:eastAsia="zh-CN" w:bidi="ar"/>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投标文件制作软件下载：</w:t>
            </w:r>
            <w:r>
              <w:rPr>
                <w:rFonts w:hint="eastAsia" w:ascii="宋体" w:hAnsi="宋体" w:eastAsia="宋体" w:cs="宋体"/>
                <w:b w:val="0"/>
                <w:bCs w:val="0"/>
                <w:color w:val="auto"/>
                <w:sz w:val="21"/>
                <w:szCs w:val="21"/>
                <w:highlight w:val="none"/>
              </w:rPr>
              <w:t>https://download.bqpoint.com/download/downloaddetail.html?SourceFrom=Ztb&amp;ZtbSoftXiaQuCode=0128&amp;ZtbSoftType=tballinclusive</w:t>
            </w:r>
          </w:p>
        </w:tc>
      </w:tr>
    </w:tbl>
    <w:p w14:paraId="04DFA91A">
      <w:pPr>
        <w:pStyle w:val="44"/>
        <w:spacing w:beforeLines="50" w:afterLines="50" w:line="440" w:lineRule="exact"/>
        <w:rPr>
          <w:bCs/>
          <w:color w:val="auto"/>
          <w:szCs w:val="32"/>
          <w:highlight w:val="none"/>
        </w:rPr>
      </w:pPr>
      <w:r>
        <w:rPr>
          <w:rFonts w:hint="eastAsia"/>
          <w:bCs/>
          <w:color w:val="auto"/>
          <w:szCs w:val="32"/>
          <w:highlight w:val="none"/>
        </w:rPr>
        <w:br w:type="page"/>
      </w:r>
      <w:bookmarkStart w:id="37" w:name="_Toc18989"/>
      <w:bookmarkStart w:id="38" w:name="_Toc22947"/>
      <w:bookmarkStart w:id="39" w:name="_Toc8980"/>
      <w:r>
        <w:rPr>
          <w:rFonts w:hint="eastAsia"/>
          <w:bCs/>
          <w:color w:val="auto"/>
          <w:szCs w:val="32"/>
          <w:highlight w:val="none"/>
        </w:rPr>
        <w:t>第一章  投标人须知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03363AE">
      <w:pPr>
        <w:spacing w:beforeLines="50" w:afterLines="50" w:line="440" w:lineRule="exact"/>
        <w:jc w:val="center"/>
        <w:rPr>
          <w:b/>
          <w:bCs/>
          <w:color w:val="auto"/>
          <w:sz w:val="28"/>
          <w:szCs w:val="28"/>
          <w:highlight w:val="none"/>
        </w:rPr>
      </w:pPr>
      <w:bookmarkStart w:id="40" w:name="_Toc506107268"/>
      <w:bookmarkStart w:id="41" w:name="_Toc247085688"/>
      <w:bookmarkStart w:id="42" w:name="_Toc246996917"/>
      <w:bookmarkStart w:id="43" w:name="_Toc179632545"/>
      <w:bookmarkStart w:id="44" w:name="_Toc152042304"/>
      <w:bookmarkStart w:id="45" w:name="_Toc35425051"/>
      <w:bookmarkStart w:id="46" w:name="_Toc35424884"/>
      <w:bookmarkStart w:id="47" w:name="_Toc324404814"/>
      <w:bookmarkStart w:id="48" w:name="_Toc15058845"/>
      <w:bookmarkStart w:id="49" w:name="_Toc246996174"/>
      <w:bookmarkStart w:id="50" w:name="_Toc152045528"/>
      <w:bookmarkStart w:id="51" w:name="_Toc144974496"/>
      <w:r>
        <w:rPr>
          <w:rFonts w:hint="eastAsia"/>
          <w:b/>
          <w:bCs/>
          <w:color w:val="auto"/>
          <w:sz w:val="28"/>
          <w:szCs w:val="28"/>
          <w:highlight w:val="none"/>
        </w:rPr>
        <w:t>投标人须知前附表</w:t>
      </w:r>
      <w:bookmarkEnd w:id="40"/>
      <w:bookmarkEnd w:id="41"/>
      <w:bookmarkEnd w:id="42"/>
      <w:bookmarkEnd w:id="43"/>
      <w:bookmarkEnd w:id="44"/>
      <w:bookmarkEnd w:id="45"/>
      <w:bookmarkEnd w:id="46"/>
      <w:bookmarkEnd w:id="47"/>
      <w:bookmarkEnd w:id="48"/>
      <w:bookmarkEnd w:id="49"/>
      <w:bookmarkEnd w:id="50"/>
      <w:bookmarkEnd w:id="51"/>
    </w:p>
    <w:tbl>
      <w:tblPr>
        <w:tblStyle w:val="47"/>
        <w:tblW w:w="9914" w:type="dxa"/>
        <w:jc w:val="center"/>
        <w:tblLayout w:type="fixed"/>
        <w:tblCellMar>
          <w:top w:w="0" w:type="dxa"/>
          <w:left w:w="108" w:type="dxa"/>
          <w:bottom w:w="0" w:type="dxa"/>
          <w:right w:w="108" w:type="dxa"/>
        </w:tblCellMar>
      </w:tblPr>
      <w:tblGrid>
        <w:gridCol w:w="868"/>
        <w:gridCol w:w="910"/>
        <w:gridCol w:w="1299"/>
        <w:gridCol w:w="6837"/>
      </w:tblGrid>
      <w:tr w14:paraId="3E49702A">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CAA3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bookmarkStart w:id="52" w:name="_Toc246996918"/>
            <w:bookmarkStart w:id="53" w:name="_Toc247085689"/>
            <w:bookmarkStart w:id="54" w:name="_Toc506107269"/>
            <w:bookmarkStart w:id="55" w:name="_Toc152042305"/>
            <w:bookmarkStart w:id="56" w:name="_Toc246996175"/>
            <w:bookmarkStart w:id="57" w:name="_Toc152045529"/>
            <w:bookmarkStart w:id="58" w:name="_Toc179632546"/>
            <w:bookmarkStart w:id="59" w:name="_Toc324404815"/>
            <w:bookmarkStart w:id="60" w:name="_Toc144974497"/>
            <w:r>
              <w:rPr>
                <w:rFonts w:hint="eastAsia" w:ascii="宋体" w:hAnsi="宋体" w:cs="宋体"/>
                <w:b/>
                <w:color w:val="auto"/>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EF1A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条  款  名  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0173F16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编  列  内  容</w:t>
            </w:r>
          </w:p>
        </w:tc>
      </w:tr>
      <w:tr w14:paraId="1C69CA9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BC1C8E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B12401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w:t>
            </w:r>
          </w:p>
        </w:tc>
        <w:tc>
          <w:tcPr>
            <w:tcW w:w="6837" w:type="dxa"/>
            <w:tcBorders>
              <w:top w:val="single" w:color="auto" w:sz="4" w:space="0"/>
              <w:left w:val="single" w:color="auto" w:sz="4" w:space="0"/>
              <w:bottom w:val="single" w:color="auto" w:sz="4" w:space="0"/>
              <w:right w:val="single" w:color="auto" w:sz="4" w:space="0"/>
            </w:tcBorders>
            <w:noWrap/>
            <w:vAlign w:val="center"/>
          </w:tcPr>
          <w:p w14:paraId="52DD2096">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left"/>
              <w:textAlignment w:val="auto"/>
              <w:rPr>
                <w:rFonts w:hint="eastAsia" w:eastAsia="宋体"/>
                <w:color w:val="auto"/>
                <w:kern w:val="2"/>
                <w:sz w:val="21"/>
                <w:szCs w:val="21"/>
                <w:highlight w:val="none"/>
                <w:lang w:eastAsia="zh-CN"/>
              </w:rPr>
            </w:pPr>
            <w:r>
              <w:rPr>
                <w:rFonts w:hint="eastAsia" w:ascii="宋体" w:hAnsi="宋体" w:eastAsia="宋体" w:cs="宋体"/>
                <w:color w:val="auto"/>
                <w:kern w:val="0"/>
                <w:szCs w:val="21"/>
                <w:highlight w:val="none"/>
              </w:rPr>
              <w:t>详见招标公告</w:t>
            </w:r>
          </w:p>
        </w:tc>
      </w:tr>
      <w:tr w14:paraId="768704E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C96233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5535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招标代理机构</w:t>
            </w:r>
          </w:p>
        </w:tc>
        <w:tc>
          <w:tcPr>
            <w:tcW w:w="6837" w:type="dxa"/>
            <w:tcBorders>
              <w:top w:val="single" w:color="auto" w:sz="4" w:space="0"/>
              <w:left w:val="single" w:color="auto" w:sz="4" w:space="0"/>
              <w:bottom w:val="single" w:color="auto" w:sz="4" w:space="0"/>
              <w:right w:val="single" w:color="auto" w:sz="4" w:space="0"/>
            </w:tcBorders>
            <w:noWrap/>
            <w:vAlign w:val="center"/>
          </w:tcPr>
          <w:p w14:paraId="2C5DE74F">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详见招标公告</w:t>
            </w:r>
          </w:p>
        </w:tc>
      </w:tr>
      <w:tr w14:paraId="4802EB0A">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98FEA6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197003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4EEA5BBF">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详见招标公告</w:t>
            </w:r>
          </w:p>
        </w:tc>
      </w:tr>
      <w:tr w14:paraId="12AD1ECC">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2F57EF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4E3AB2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建设地点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68EEAC6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Cs w:val="21"/>
                <w:highlight w:val="none"/>
              </w:rPr>
              <w:t>详见招标公告</w:t>
            </w:r>
          </w:p>
        </w:tc>
      </w:tr>
      <w:tr w14:paraId="3D34F334">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19E27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D4AF8E">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资金落实情况</w:t>
            </w:r>
          </w:p>
        </w:tc>
        <w:tc>
          <w:tcPr>
            <w:tcW w:w="6837" w:type="dxa"/>
            <w:tcBorders>
              <w:top w:val="single" w:color="auto" w:sz="4" w:space="0"/>
              <w:left w:val="single" w:color="auto" w:sz="4" w:space="0"/>
              <w:bottom w:val="single" w:color="auto" w:sz="4" w:space="0"/>
              <w:right w:val="single" w:color="auto" w:sz="4" w:space="0"/>
            </w:tcBorders>
            <w:noWrap/>
            <w:vAlign w:val="center"/>
          </w:tcPr>
          <w:p w14:paraId="38FF4E2B">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lang w:val="en-US" w:eastAsia="zh-CN"/>
              </w:rPr>
              <w:t>已落实</w:t>
            </w:r>
          </w:p>
        </w:tc>
      </w:tr>
      <w:tr w14:paraId="6B694F9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057F04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A4CE0A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招标范围</w:t>
            </w:r>
          </w:p>
        </w:tc>
        <w:tc>
          <w:tcPr>
            <w:tcW w:w="6837" w:type="dxa"/>
            <w:tcBorders>
              <w:top w:val="single" w:color="auto" w:sz="4" w:space="0"/>
              <w:left w:val="single" w:color="auto" w:sz="4" w:space="0"/>
              <w:bottom w:val="single" w:color="auto" w:sz="4" w:space="0"/>
              <w:right w:val="single" w:color="auto" w:sz="4" w:space="0"/>
            </w:tcBorders>
            <w:noWrap/>
            <w:vAlign w:val="center"/>
          </w:tcPr>
          <w:p w14:paraId="0512D80C">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color w:val="auto"/>
                <w:szCs w:val="21"/>
                <w:highlight w:val="none"/>
              </w:rPr>
              <w:t>详见招标公告</w:t>
            </w:r>
          </w:p>
        </w:tc>
      </w:tr>
      <w:tr w14:paraId="7DE7E27E">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E1D07C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16090C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评标办法</w:t>
            </w:r>
          </w:p>
        </w:tc>
        <w:tc>
          <w:tcPr>
            <w:tcW w:w="6837" w:type="dxa"/>
            <w:tcBorders>
              <w:top w:val="single" w:color="auto" w:sz="4" w:space="0"/>
              <w:left w:val="single" w:color="auto" w:sz="4" w:space="0"/>
              <w:bottom w:val="single" w:color="auto" w:sz="4" w:space="0"/>
              <w:right w:val="single" w:color="auto" w:sz="4" w:space="0"/>
            </w:tcBorders>
            <w:noWrap/>
            <w:vAlign w:val="center"/>
          </w:tcPr>
          <w:p w14:paraId="7F9AA26F">
            <w:pPr>
              <w:pStyle w:val="97"/>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highlight w:val="none"/>
                <w:lang w:eastAsia="zh-CN"/>
              </w:rPr>
            </w:pPr>
            <w:r>
              <w:rPr>
                <w:rFonts w:hint="eastAsia" w:ascii="宋体" w:hAnsi="宋体" w:cs="宋体"/>
                <w:b/>
                <w:color w:val="auto"/>
                <w:szCs w:val="21"/>
                <w:highlight w:val="none"/>
                <w:lang w:eastAsia="zh-CN"/>
              </w:rPr>
              <w:t>经评审的最低投标价法</w:t>
            </w:r>
          </w:p>
        </w:tc>
      </w:tr>
      <w:tr w14:paraId="6C90FEB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E9BE56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460730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工期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111034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 xml:space="preserve"> 40 </w:t>
            </w:r>
            <w:r>
              <w:rPr>
                <w:rFonts w:hint="eastAsia" w:ascii="宋体" w:hAnsi="宋体" w:cs="宋体"/>
                <w:b/>
                <w:color w:val="auto"/>
                <w:sz w:val="21"/>
                <w:szCs w:val="21"/>
                <w:highlight w:val="none"/>
                <w:u w:val="none"/>
                <w:lang w:val="en-US" w:eastAsia="zh-CN"/>
              </w:rPr>
              <w:t>个</w:t>
            </w:r>
            <w:r>
              <w:rPr>
                <w:rFonts w:hint="eastAsia" w:ascii="宋体" w:hAnsi="宋体" w:cs="宋体"/>
                <w:b/>
                <w:color w:val="auto"/>
                <w:sz w:val="21"/>
                <w:szCs w:val="21"/>
                <w:highlight w:val="none"/>
                <w:lang w:val="en-US" w:eastAsia="zh-CN"/>
              </w:rPr>
              <w:t>日历天（以中标公示期结束后的第一天起计算工期）。</w:t>
            </w:r>
            <w:r>
              <w:rPr>
                <w:rFonts w:hint="eastAsia" w:ascii="宋体" w:hAnsi="宋体" w:cs="宋体"/>
                <w:color w:val="auto"/>
                <w:sz w:val="21"/>
                <w:szCs w:val="21"/>
                <w:highlight w:val="none"/>
              </w:rPr>
              <w:t xml:space="preserve"> </w:t>
            </w:r>
            <w:r>
              <w:rPr>
                <w:rFonts w:hint="eastAsia" w:ascii="宋体" w:hAnsi="宋体" w:cs="宋体"/>
                <w:color w:val="auto"/>
                <w:szCs w:val="21"/>
                <w:highlight w:val="none"/>
              </w:rPr>
              <w:t>投标人自报的承诺工期为考核标准，每推迟一天，按1000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元/天处以违约金。</w:t>
            </w:r>
          </w:p>
        </w:tc>
      </w:tr>
      <w:tr w14:paraId="5689CBD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151B5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DCFA30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质量要求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10A046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1、施工及设备材料：合格，质量符合GB/T 50796-2012《光伏发电工程验收规范》等相关国家、省、市相关法律、法规、规范要求，确保通过国网公司验收、并网。</w:t>
            </w:r>
          </w:p>
          <w:p w14:paraId="5D0782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2、设计：合格。满足招标人需求，符合现行相应行业最新的设计规范，初步设计及概算、优化、施工图及预算通过业主和相关部门审查，施工图达到施工深度要求。</w:t>
            </w:r>
          </w:p>
          <w:p w14:paraId="4A24CC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1"/>
                <w:szCs w:val="21"/>
                <w:highlight w:val="none"/>
                <w:lang w:val="en-US" w:eastAsia="zh-CN"/>
              </w:rPr>
              <w:t>质量保证期及缺陷责任期：严格按照本项目招标文件相关规定（招标文件未提到的，执行国家、省、市相关标准）。</w:t>
            </w:r>
          </w:p>
          <w:p w14:paraId="22FE34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、相关规范、标准以及《建设标准强制性条文》要求的相关强制性标准。</w:t>
            </w:r>
          </w:p>
          <w:p w14:paraId="58EA80B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、运维质量要求：合格，符合招标人的日常考核，并达到每年度的保底发电量。</w:t>
            </w:r>
          </w:p>
        </w:tc>
      </w:tr>
      <w:tr w14:paraId="582EBAB0">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72BA357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7039BF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837" w:type="dxa"/>
            <w:tcBorders>
              <w:top w:val="single" w:color="auto" w:sz="4" w:space="0"/>
              <w:left w:val="single" w:color="auto" w:sz="4" w:space="0"/>
              <w:bottom w:val="single" w:color="auto" w:sz="4" w:space="0"/>
              <w:right w:val="single" w:color="auto" w:sz="4" w:space="0"/>
            </w:tcBorders>
            <w:noWrap/>
            <w:vAlign w:val="center"/>
          </w:tcPr>
          <w:p w14:paraId="5D99309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3C177EA5">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6065FB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F6062E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招标文件发布时间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09E89916">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642A25B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7D851C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C5714C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踏勘现场</w:t>
            </w:r>
          </w:p>
        </w:tc>
        <w:tc>
          <w:tcPr>
            <w:tcW w:w="6837" w:type="dxa"/>
            <w:tcBorders>
              <w:top w:val="single" w:color="auto" w:sz="4" w:space="0"/>
              <w:left w:val="single" w:color="auto" w:sz="4" w:space="0"/>
              <w:bottom w:val="single" w:color="auto" w:sz="4" w:space="0"/>
              <w:right w:val="single" w:color="auto" w:sz="4" w:space="0"/>
            </w:tcBorders>
            <w:noWrap/>
            <w:vAlign w:val="center"/>
          </w:tcPr>
          <w:p w14:paraId="4884B64B">
            <w:pPr>
              <w:pStyle w:val="20"/>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不组织，投标人自行组织踏勘现场</w:t>
            </w:r>
            <w:r>
              <w:rPr>
                <w:rFonts w:hint="eastAsia" w:hAnsi="宋体" w:cs="宋体"/>
                <w:color w:val="auto"/>
                <w:sz w:val="21"/>
                <w:szCs w:val="21"/>
                <w:highlight w:val="none"/>
              </w:rPr>
              <w:t>；□组织</w:t>
            </w:r>
          </w:p>
        </w:tc>
      </w:tr>
      <w:tr w14:paraId="39EDBB2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A68F7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6562BC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投标预备会</w:t>
            </w:r>
          </w:p>
        </w:tc>
        <w:tc>
          <w:tcPr>
            <w:tcW w:w="6837" w:type="dxa"/>
            <w:tcBorders>
              <w:top w:val="single" w:color="auto" w:sz="4" w:space="0"/>
              <w:left w:val="single" w:color="auto" w:sz="4" w:space="0"/>
              <w:bottom w:val="single" w:color="auto" w:sz="4" w:space="0"/>
              <w:right w:val="single" w:color="auto" w:sz="4" w:space="0"/>
            </w:tcBorders>
            <w:noWrap/>
            <w:vAlign w:val="center"/>
          </w:tcPr>
          <w:p w14:paraId="1B947E77">
            <w:pPr>
              <w:pStyle w:val="20"/>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lang w:eastAsia="zh-CN"/>
              </w:rPr>
              <w:t>☑</w:t>
            </w:r>
            <w:r>
              <w:rPr>
                <w:rFonts w:hint="eastAsia" w:hAnsi="宋体" w:cs="宋体"/>
                <w:color w:val="auto"/>
                <w:spacing w:val="-4"/>
                <w:kern w:val="0"/>
                <w:sz w:val="21"/>
                <w:szCs w:val="21"/>
                <w:highlight w:val="none"/>
              </w:rPr>
              <w:t>不召开</w:t>
            </w:r>
            <w:r>
              <w:rPr>
                <w:rFonts w:hint="eastAsia" w:hAnsi="宋体" w:cs="宋体"/>
                <w:color w:val="auto"/>
                <w:sz w:val="21"/>
                <w:szCs w:val="21"/>
                <w:highlight w:val="none"/>
              </w:rPr>
              <w:t>；</w:t>
            </w:r>
            <w:r>
              <w:rPr>
                <w:rFonts w:hint="eastAsia" w:hAnsi="宋体" w:cs="宋体"/>
                <w:color w:val="auto"/>
                <w:sz w:val="21"/>
                <w:szCs w:val="21"/>
                <w:highlight w:val="none"/>
                <w:lang w:eastAsia="zh-CN"/>
              </w:rPr>
              <w:t>□</w:t>
            </w:r>
            <w:r>
              <w:rPr>
                <w:rFonts w:hint="eastAsia" w:hAnsi="宋体" w:cs="宋体"/>
                <w:color w:val="auto"/>
                <w:sz w:val="21"/>
                <w:szCs w:val="21"/>
                <w:highlight w:val="none"/>
              </w:rPr>
              <w:t>召开</w:t>
            </w:r>
          </w:p>
        </w:tc>
      </w:tr>
      <w:tr w14:paraId="6F4899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5830E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627B2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投标人提出问题的截止时间及方式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5D15E9F3">
            <w:pPr>
              <w:pStyle w:val="26"/>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如投标人对招标文件有疑问，请于</w:t>
            </w:r>
            <w:r>
              <w:rPr>
                <w:rFonts w:hint="eastAsia" w:ascii="宋体" w:hAnsi="宋体" w:cs="宋体"/>
                <w:b w:val="0"/>
                <w:bCs/>
                <w:color w:val="auto"/>
                <w:szCs w:val="21"/>
                <w:highlight w:val="none"/>
              </w:rPr>
              <w:t>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30</w:t>
            </w:r>
            <w:r>
              <w:rPr>
                <w:rFonts w:hint="eastAsia" w:ascii="宋体" w:hAnsi="宋体" w:cs="宋体"/>
                <w:b w:val="0"/>
                <w:bCs/>
                <w:color w:val="auto"/>
                <w:szCs w:val="21"/>
                <w:highlight w:val="none"/>
              </w:rPr>
              <w:t>日1</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时</w:t>
            </w:r>
            <w:r>
              <w:rPr>
                <w:rFonts w:hint="eastAsia" w:ascii="宋体" w:hAnsi="宋体" w:cs="宋体"/>
                <w:color w:val="auto"/>
                <w:kern w:val="0"/>
                <w:szCs w:val="21"/>
                <w:highlight w:val="none"/>
              </w:rPr>
              <w:t>前</w:t>
            </w:r>
            <w:r>
              <w:rPr>
                <w:rFonts w:hint="eastAsia" w:ascii="宋体" w:hAnsi="宋体" w:eastAsia="宋体" w:cs="宋体"/>
                <w:color w:val="auto"/>
                <w:szCs w:val="21"/>
                <w:highlight w:val="none"/>
              </w:rPr>
              <w:t>将疑问内容</w:t>
            </w:r>
            <w:r>
              <w:rPr>
                <w:rFonts w:hint="eastAsia" w:ascii="宋体" w:hAnsi="宋体" w:eastAsia="宋体" w:cs="宋体"/>
                <w:color w:val="auto"/>
                <w:szCs w:val="21"/>
                <w:highlight w:val="none"/>
                <w:lang w:val="en-US" w:eastAsia="zh-CN"/>
              </w:rPr>
              <w:t>通过登录新点电子交易平台【滁州专区】线上提出异议</w:t>
            </w:r>
            <w:r>
              <w:rPr>
                <w:rFonts w:hint="default" w:ascii="宋体" w:hAnsi="宋体" w:eastAsia="宋体" w:cs="宋体"/>
                <w:color w:val="auto"/>
                <w:highlight w:val="none"/>
              </w:rPr>
              <w:t>。</w:t>
            </w:r>
          </w:p>
        </w:tc>
      </w:tr>
      <w:tr w14:paraId="72CBCA2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6BE00C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EDC711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招标人澄清的时间及方式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02B5AFB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"mailto:日11时前将疑问内容以电子邮件形式发送至66267656@qq.com（安徽佳宝信项目管理有限公司邮箱），招标人将在2020年6月"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招标人将在</w:t>
            </w:r>
            <w:r>
              <w:rPr>
                <w:rFonts w:hint="eastAsia" w:ascii="宋体" w:hAnsi="宋体" w:cs="宋体"/>
                <w:b w:val="0"/>
                <w:bCs/>
                <w:color w:val="auto"/>
                <w:szCs w:val="21"/>
                <w:highlight w:val="none"/>
              </w:rPr>
              <w:t>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31</w:t>
            </w:r>
            <w:r>
              <w:rPr>
                <w:rFonts w:hint="eastAsia" w:ascii="宋体" w:hAnsi="宋体" w:cs="宋体"/>
                <w:b w:val="0"/>
                <w:bCs/>
                <w:color w:val="auto"/>
                <w:szCs w:val="21"/>
                <w:highlight w:val="none"/>
              </w:rPr>
              <w:t>日</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前在</w:t>
            </w:r>
            <w:r>
              <w:rPr>
                <w:rFonts w:hint="eastAsia" w:ascii="宋体" w:hAnsi="宋体" w:cs="宋体"/>
                <w:color w:val="auto"/>
                <w:sz w:val="21"/>
                <w:szCs w:val="21"/>
                <w:highlight w:val="none"/>
                <w:lang w:val="en-US" w:eastAsia="zh-CN"/>
              </w:rPr>
              <w:t>滁州扬子工业集团有限公司官网（https://czyzgtjt.com/）</w:t>
            </w:r>
            <w:r>
              <w:rPr>
                <w:rFonts w:hint="eastAsia" w:ascii="宋体" w:hAnsi="宋体" w:eastAsia="宋体" w:cs="宋体"/>
                <w:i w:val="0"/>
                <w:iCs w:val="0"/>
                <w:caps w:val="0"/>
                <w:color w:val="auto"/>
                <w:spacing w:val="0"/>
                <w:sz w:val="21"/>
                <w:szCs w:val="21"/>
                <w:highlight w:val="none"/>
                <w:shd w:val="clear"/>
                <w:lang w:eastAsia="zh-CN"/>
              </w:rPr>
              <w:t>、</w:t>
            </w:r>
            <w:r>
              <w:rPr>
                <w:rFonts w:hint="eastAsia" w:ascii="宋体" w:hAnsi="宋体" w:cs="宋体"/>
                <w:color w:val="auto"/>
                <w:sz w:val="21"/>
                <w:szCs w:val="21"/>
                <w:highlight w:val="none"/>
                <w:lang w:val="en-US" w:eastAsia="zh-CN"/>
              </w:rPr>
              <w:t>滁州市城投工程咨询管理有限公司官网（https://www.czctgczx.com/）</w:t>
            </w:r>
            <w:r>
              <w:rPr>
                <w:rFonts w:hint="eastAsia" w:ascii="宋体" w:hAnsi="宋体" w:cs="宋体"/>
                <w:color w:val="auto"/>
                <w:szCs w:val="21"/>
                <w:highlight w:val="none"/>
              </w:rPr>
              <w:t>发布 ，请各位投标人注意查看有关澄清内容，如不及时查看造成后果由投标人自负。</w:t>
            </w:r>
          </w:p>
        </w:tc>
      </w:tr>
      <w:tr w14:paraId="2F2F88E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F13C7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A59586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837" w:type="dxa"/>
            <w:tcBorders>
              <w:top w:val="single" w:color="auto" w:sz="4" w:space="0"/>
              <w:left w:val="single" w:color="auto" w:sz="4" w:space="0"/>
              <w:bottom w:val="single" w:color="auto" w:sz="4" w:space="0"/>
              <w:right w:val="single" w:color="auto" w:sz="4" w:space="0"/>
            </w:tcBorders>
            <w:noWrap/>
            <w:vAlign w:val="center"/>
          </w:tcPr>
          <w:p w14:paraId="322F0749">
            <w:pPr>
              <w:pStyle w:val="20"/>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不允许</w:t>
            </w:r>
          </w:p>
          <w:p w14:paraId="77AFFB27">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szCs w:val="21"/>
                <w:highlight w:val="none"/>
              </w:rPr>
            </w:pPr>
            <w:r>
              <w:rPr>
                <w:rFonts w:hint="eastAsia" w:hAnsi="宋体" w:cs="宋体"/>
                <w:color w:val="auto"/>
                <w:sz w:val="21"/>
                <w:szCs w:val="21"/>
                <w:highlight w:val="none"/>
                <w:lang w:eastAsia="zh-CN"/>
              </w:rPr>
              <w:t>□</w:t>
            </w:r>
            <w:r>
              <w:rPr>
                <w:rFonts w:hint="eastAsia" w:ascii="宋体" w:hAnsi="宋体" w:cs="宋体"/>
                <w:color w:val="auto"/>
                <w:szCs w:val="21"/>
                <w:highlight w:val="none"/>
              </w:rPr>
              <w:t>允许，分包内容要求：/</w:t>
            </w:r>
          </w:p>
          <w:p w14:paraId="63C8F411">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分包金额要求：/</w:t>
            </w:r>
          </w:p>
          <w:p w14:paraId="0CF68475">
            <w:pPr>
              <w:pStyle w:val="20"/>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highlight w:val="none"/>
              </w:rPr>
            </w:pPr>
            <w:r>
              <w:rPr>
                <w:rFonts w:hint="eastAsia" w:hAnsi="宋体" w:cs="宋体"/>
                <w:color w:val="auto"/>
                <w:sz w:val="21"/>
                <w:szCs w:val="21"/>
                <w:highlight w:val="none"/>
              </w:rPr>
              <w:t>接受分包的第三人资质要求：/</w:t>
            </w:r>
          </w:p>
        </w:tc>
      </w:tr>
      <w:tr w14:paraId="34FF7DA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9AF1DD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864EE9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偏离</w:t>
            </w:r>
          </w:p>
        </w:tc>
        <w:tc>
          <w:tcPr>
            <w:tcW w:w="6837" w:type="dxa"/>
            <w:tcBorders>
              <w:top w:val="single" w:color="auto" w:sz="4" w:space="0"/>
              <w:left w:val="single" w:color="auto" w:sz="4" w:space="0"/>
              <w:bottom w:val="single" w:color="auto" w:sz="4" w:space="0"/>
              <w:right w:val="single" w:color="auto" w:sz="4" w:space="0"/>
            </w:tcBorders>
            <w:noWrap/>
            <w:vAlign w:val="center"/>
          </w:tcPr>
          <w:p w14:paraId="43BC3B51">
            <w:pPr>
              <w:pStyle w:val="20"/>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z w:val="21"/>
                <w:szCs w:val="21"/>
                <w:highlight w:val="none"/>
              </w:rPr>
            </w:pPr>
            <w:r>
              <w:rPr>
                <w:rFonts w:hint="eastAsia"/>
                <w:color w:val="auto"/>
                <w:highlight w:val="none"/>
              </w:rPr>
              <w:t>☑</w:t>
            </w:r>
            <w:r>
              <w:rPr>
                <w:rFonts w:hint="eastAsia" w:hAnsi="宋体" w:cs="宋体"/>
                <w:color w:val="auto"/>
                <w:sz w:val="21"/>
                <w:szCs w:val="21"/>
                <w:highlight w:val="none"/>
              </w:rPr>
              <w:t>不允许；□允许</w:t>
            </w:r>
          </w:p>
        </w:tc>
      </w:tr>
      <w:tr w14:paraId="1C92507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8D4C61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95BF11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6837" w:type="dxa"/>
            <w:tcBorders>
              <w:top w:val="single" w:color="auto" w:sz="4" w:space="0"/>
              <w:left w:val="single" w:color="auto" w:sz="4" w:space="0"/>
              <w:bottom w:val="single" w:color="auto" w:sz="4" w:space="0"/>
              <w:right w:val="single" w:color="auto" w:sz="4" w:space="0"/>
            </w:tcBorders>
            <w:noWrap/>
            <w:vAlign w:val="center"/>
          </w:tcPr>
          <w:p w14:paraId="1A48549B">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招标人提供的其他材料及招标澄清答疑文件</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tc>
      </w:tr>
      <w:tr w14:paraId="00C41E0E">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BDB8EE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7585FA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0B97055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同本表第13条</w:t>
            </w:r>
          </w:p>
        </w:tc>
      </w:tr>
      <w:tr w14:paraId="2013937B">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C5FE1C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126BB40">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增值税税金</w:t>
            </w:r>
          </w:p>
        </w:tc>
        <w:tc>
          <w:tcPr>
            <w:tcW w:w="6837" w:type="dxa"/>
            <w:tcBorders>
              <w:top w:val="single" w:color="auto" w:sz="4" w:space="0"/>
              <w:left w:val="single" w:color="auto" w:sz="4" w:space="0"/>
              <w:bottom w:val="single" w:color="auto" w:sz="4" w:space="0"/>
              <w:right w:val="single" w:color="auto" w:sz="4" w:space="0"/>
            </w:tcBorders>
            <w:noWrap/>
            <w:vAlign w:val="top"/>
          </w:tcPr>
          <w:p w14:paraId="20F7CCE0">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（1）计税方法：</w:t>
            </w:r>
          </w:p>
          <w:p w14:paraId="536F131A">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一般计税方法</w:t>
            </w:r>
          </w:p>
          <w:p w14:paraId="0D342DF0">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xml:space="preserve">□简易计算方法 </w:t>
            </w:r>
          </w:p>
          <w:p w14:paraId="19DDF42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（2）发票类型：</w:t>
            </w:r>
          </w:p>
          <w:p w14:paraId="46E33F7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增值税专用发票</w:t>
            </w:r>
          </w:p>
          <w:p w14:paraId="7E62993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□增值税普通发票</w:t>
            </w:r>
          </w:p>
          <w:p w14:paraId="1D4C7508">
            <w:pPr>
              <w:keepNext w:val="0"/>
              <w:keepLines w:val="0"/>
              <w:pageBreakBefore w:val="0"/>
              <w:numPr>
                <w:ilvl w:val="0"/>
                <w:numId w:val="1"/>
              </w:numPr>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增值税税率按照国家有关规定执行。</w:t>
            </w:r>
          </w:p>
          <w:p w14:paraId="0E304FB4">
            <w:pPr>
              <w:pStyle w:val="20"/>
              <w:keepNext w:val="0"/>
              <w:keepLines w:val="0"/>
              <w:pageBreakBefore w:val="0"/>
              <w:suppressLineNumbers w:val="0"/>
              <w:kinsoku/>
              <w:wordWrap/>
              <w:overflowPunct/>
              <w:topLinePunct/>
              <w:autoSpaceDN/>
              <w:bidi w:val="0"/>
              <w:adjustRightInd w:val="0"/>
              <w:snapToGrid w:val="0"/>
              <w:spacing w:before="0" w:beforeAutospacing="0" w:after="0" w:afterAutospacing="0" w:line="440" w:lineRule="exact"/>
              <w:ind w:left="0" w:right="0" w:firstLine="525" w:firstLineChars="250"/>
              <w:textAlignment w:val="auto"/>
              <w:rPr>
                <w:rFonts w:hint="eastAsia" w:ascii="宋体" w:hAnsi="宋体" w:cs="宋体"/>
                <w:color w:val="auto"/>
                <w:szCs w:val="21"/>
                <w:highlight w:val="none"/>
              </w:rPr>
            </w:pPr>
            <w:r>
              <w:rPr>
                <w:rFonts w:hint="eastAsia" w:ascii="宋体" w:hAnsi="宋体" w:eastAsia="宋体" w:cs="宋体"/>
                <w:bCs/>
                <w:snapToGrid w:val="0"/>
                <w:color w:val="auto"/>
                <w:kern w:val="0"/>
                <w:sz w:val="21"/>
                <w:szCs w:val="21"/>
                <w:highlight w:val="none"/>
              </w:rPr>
              <w:t>其它：</w:t>
            </w:r>
            <w:r>
              <w:rPr>
                <w:rFonts w:hint="eastAsia" w:ascii="宋体" w:hAnsi="宋体" w:eastAsia="宋体" w:cs="宋体"/>
                <w:bCs/>
                <w:snapToGrid w:val="0"/>
                <w:color w:val="auto"/>
                <w:kern w:val="0"/>
                <w:sz w:val="21"/>
                <w:szCs w:val="21"/>
                <w:highlight w:val="none"/>
                <w:u w:val="single"/>
                <w:lang w:val="en-US" w:eastAsia="zh-CN"/>
              </w:rPr>
              <w:t>/</w:t>
            </w:r>
            <w:r>
              <w:rPr>
                <w:rFonts w:hint="eastAsia" w:ascii="宋体" w:hAnsi="宋体" w:eastAsia="宋体" w:cs="宋体"/>
                <w:bCs/>
                <w:snapToGrid w:val="0"/>
                <w:color w:val="auto"/>
                <w:kern w:val="0"/>
                <w:sz w:val="21"/>
                <w:szCs w:val="21"/>
                <w:highlight w:val="none"/>
              </w:rPr>
              <w:t xml:space="preserve"> 。</w:t>
            </w:r>
          </w:p>
        </w:tc>
      </w:tr>
      <w:tr w14:paraId="584F1C0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1C1AE6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ADF48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b/>
                <w:bCs/>
                <w:color w:val="auto"/>
                <w:sz w:val="21"/>
                <w:szCs w:val="21"/>
                <w:highlight w:val="none"/>
              </w:rPr>
              <w:t>最高投标限价</w:t>
            </w:r>
          </w:p>
        </w:tc>
        <w:tc>
          <w:tcPr>
            <w:tcW w:w="6837" w:type="dxa"/>
            <w:tcBorders>
              <w:top w:val="single" w:color="auto" w:sz="4" w:space="0"/>
              <w:left w:val="single" w:color="auto" w:sz="4" w:space="0"/>
              <w:bottom w:val="single" w:color="auto" w:sz="4" w:space="0"/>
              <w:right w:val="single" w:color="auto" w:sz="4" w:space="0"/>
            </w:tcBorders>
            <w:noWrap/>
            <w:vAlign w:val="center"/>
          </w:tcPr>
          <w:p w14:paraId="741A9090">
            <w:pPr>
              <w:keepNext w:val="0"/>
              <w:keepLines w:val="0"/>
              <w:pageBreakBefore w:val="0"/>
              <w:numPr>
                <w:ilvl w:val="0"/>
                <w:numId w:val="0"/>
              </w:numPr>
              <w:suppressLineNumbers w:val="0"/>
              <w:kinsoku/>
              <w:wordWrap/>
              <w:overflowPunct/>
              <w:autoSpaceDN/>
              <w:bidi w:val="0"/>
              <w:adjustRightInd w:val="0"/>
              <w:snapToGrid w:val="0"/>
              <w:spacing w:before="0" w:beforeAutospacing="0" w:after="0" w:afterAutospacing="0" w:line="440" w:lineRule="exact"/>
              <w:ind w:left="0" w:right="0" w:rightChars="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公布的最高投标限价：</w:t>
            </w:r>
            <w:r>
              <w:rPr>
                <w:rFonts w:hint="eastAsia" w:ascii="宋体" w:hAnsi="宋体" w:eastAsia="宋体" w:cs="宋体"/>
                <w:bCs/>
                <w:snapToGrid w:val="0"/>
                <w:color w:val="auto"/>
                <w:kern w:val="0"/>
                <w:sz w:val="21"/>
                <w:szCs w:val="21"/>
                <w:highlight w:val="none"/>
                <w:u w:val="none"/>
              </w:rPr>
              <w:t>1096997.30</w:t>
            </w:r>
            <w:r>
              <w:rPr>
                <w:rFonts w:hint="eastAsia" w:ascii="宋体" w:hAnsi="宋体" w:eastAsia="宋体" w:cs="宋体"/>
                <w:bCs/>
                <w:snapToGrid w:val="0"/>
                <w:color w:val="auto"/>
                <w:kern w:val="0"/>
                <w:sz w:val="21"/>
                <w:szCs w:val="21"/>
                <w:highlight w:val="none"/>
              </w:rPr>
              <w:t>元（其中含暂列金额</w:t>
            </w:r>
            <w:r>
              <w:rPr>
                <w:rFonts w:hint="eastAsia" w:ascii="宋体" w:hAnsi="宋体" w:eastAsia="宋体" w:cs="宋体"/>
                <w:bCs/>
                <w:snapToGrid w:val="0"/>
                <w:color w:val="auto"/>
                <w:kern w:val="0"/>
                <w:sz w:val="21"/>
                <w:szCs w:val="21"/>
                <w:highlight w:val="none"/>
                <w:lang w:val="en-US" w:eastAsia="zh-CN"/>
              </w:rPr>
              <w:t>0</w:t>
            </w:r>
            <w:r>
              <w:rPr>
                <w:rFonts w:hint="eastAsia" w:ascii="宋体" w:hAnsi="宋体" w:eastAsia="宋体" w:cs="宋体"/>
                <w:bCs/>
                <w:snapToGrid w:val="0"/>
                <w:color w:val="auto"/>
                <w:kern w:val="0"/>
                <w:sz w:val="21"/>
                <w:szCs w:val="21"/>
                <w:highlight w:val="none"/>
              </w:rPr>
              <w:t>元）。应当包括总价、各单位工程的分部分项工程费、措施项目费、其他项目费、不可竞争性费用和税金。</w:t>
            </w:r>
          </w:p>
          <w:p w14:paraId="1E516828">
            <w:pPr>
              <w:keepNext w:val="0"/>
              <w:keepLines w:val="0"/>
              <w:pageBreakBefore w:val="0"/>
              <w:numPr>
                <w:ilvl w:val="0"/>
                <w:numId w:val="0"/>
              </w:numPr>
              <w:suppressLineNumbers w:val="0"/>
              <w:kinsoku/>
              <w:wordWrap/>
              <w:overflowPunct/>
              <w:autoSpaceDN/>
              <w:bidi w:val="0"/>
              <w:adjustRightInd w:val="0"/>
              <w:snapToGrid w:val="0"/>
              <w:spacing w:before="0" w:beforeAutospacing="0" w:after="0" w:afterAutospacing="0" w:line="440" w:lineRule="exact"/>
              <w:ind w:left="0" w:right="0" w:rightChars="0"/>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Cs/>
                <w:snapToGrid w:val="0"/>
                <w:color w:val="auto"/>
                <w:kern w:val="0"/>
                <w:sz w:val="21"/>
                <w:szCs w:val="21"/>
                <w:highlight w:val="none"/>
              </w:rPr>
              <w:t>发布时间：</w:t>
            </w:r>
            <w:r>
              <w:rPr>
                <w:rFonts w:hint="eastAsia" w:ascii="宋体" w:hAnsi="宋体" w:cs="宋体"/>
                <w:bCs/>
                <w:snapToGrid w:val="0"/>
                <w:color w:val="auto"/>
                <w:kern w:val="0"/>
                <w:sz w:val="21"/>
                <w:szCs w:val="21"/>
                <w:highlight w:val="none"/>
                <w:lang w:val="en-US" w:eastAsia="zh-CN"/>
              </w:rPr>
              <w:t>2025</w:t>
            </w:r>
            <w:r>
              <w:rPr>
                <w:rFonts w:hint="eastAsia" w:ascii="宋体" w:hAnsi="宋体" w:eastAsia="宋体" w:cs="宋体"/>
                <w:bCs/>
                <w:snapToGrid w:val="0"/>
                <w:color w:val="auto"/>
                <w:kern w:val="0"/>
                <w:sz w:val="21"/>
                <w:szCs w:val="21"/>
                <w:highlight w:val="none"/>
              </w:rPr>
              <w:t xml:space="preserve"> 年</w:t>
            </w:r>
            <w:r>
              <w:rPr>
                <w:rFonts w:hint="eastAsia" w:ascii="宋体" w:hAnsi="宋体" w:cs="宋体"/>
                <w:bCs/>
                <w:snapToGrid w:val="0"/>
                <w:color w:val="auto"/>
                <w:kern w:val="0"/>
                <w:sz w:val="21"/>
                <w:szCs w:val="21"/>
                <w:highlight w:val="none"/>
                <w:lang w:val="en-US" w:eastAsia="zh-CN"/>
              </w:rPr>
              <w:t>7</w:t>
            </w:r>
            <w:r>
              <w:rPr>
                <w:rFonts w:hint="eastAsia" w:ascii="宋体" w:hAnsi="宋体" w:eastAsia="宋体" w:cs="宋体"/>
                <w:bCs/>
                <w:snapToGrid w:val="0"/>
                <w:color w:val="auto"/>
                <w:kern w:val="0"/>
                <w:sz w:val="21"/>
                <w:szCs w:val="21"/>
                <w:highlight w:val="none"/>
              </w:rPr>
              <w:t>月</w:t>
            </w:r>
            <w:r>
              <w:rPr>
                <w:rFonts w:hint="eastAsia" w:ascii="宋体" w:hAnsi="宋体" w:cs="宋体"/>
                <w:bCs/>
                <w:snapToGrid w:val="0"/>
                <w:color w:val="auto"/>
                <w:kern w:val="0"/>
                <w:sz w:val="21"/>
                <w:szCs w:val="21"/>
                <w:highlight w:val="none"/>
                <w:lang w:val="en-US" w:eastAsia="zh-CN"/>
              </w:rPr>
              <w:t>25</w:t>
            </w:r>
            <w:r>
              <w:rPr>
                <w:rFonts w:hint="eastAsia" w:ascii="宋体" w:hAnsi="宋体" w:eastAsia="宋体" w:cs="宋体"/>
                <w:bCs/>
                <w:snapToGrid w:val="0"/>
                <w:color w:val="auto"/>
                <w:kern w:val="0"/>
                <w:sz w:val="21"/>
                <w:szCs w:val="21"/>
                <w:highlight w:val="none"/>
              </w:rPr>
              <w:t>日</w:t>
            </w:r>
            <w:r>
              <w:rPr>
                <w:rFonts w:hint="eastAsia" w:ascii="宋体" w:hAnsi="宋体" w:cs="宋体"/>
                <w:bCs/>
                <w:snapToGrid w:val="0"/>
                <w:color w:val="auto"/>
                <w:kern w:val="0"/>
                <w:sz w:val="21"/>
                <w:szCs w:val="21"/>
                <w:highlight w:val="none"/>
                <w:lang w:val="en-US" w:eastAsia="zh-CN"/>
              </w:rPr>
              <w:t>17</w:t>
            </w:r>
            <w:r>
              <w:rPr>
                <w:rFonts w:hint="eastAsia" w:ascii="宋体" w:hAnsi="宋体" w:eastAsia="宋体" w:cs="宋体"/>
                <w:bCs/>
                <w:snapToGrid w:val="0"/>
                <w:color w:val="auto"/>
                <w:kern w:val="0"/>
                <w:sz w:val="21"/>
                <w:szCs w:val="21"/>
                <w:highlight w:val="none"/>
              </w:rPr>
              <w:t>时前。</w:t>
            </w:r>
          </w:p>
        </w:tc>
      </w:tr>
      <w:tr w14:paraId="6318408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6ADC5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AAC802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7DA37A76">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 w:val="21"/>
                <w:szCs w:val="21"/>
                <w:highlight w:val="none"/>
              </w:rPr>
              <w:t>自投标人递交投标文件截止之日起计算</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日历天。在此期限内，凡符合本招标文件要求的投标文件均保持有效。</w:t>
            </w:r>
          </w:p>
        </w:tc>
      </w:tr>
      <w:tr w14:paraId="15191CBB">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CF846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84E95C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837" w:type="dxa"/>
            <w:tcBorders>
              <w:top w:val="single" w:color="auto" w:sz="4" w:space="0"/>
              <w:left w:val="single" w:color="auto" w:sz="4" w:space="0"/>
              <w:bottom w:val="single" w:color="auto" w:sz="4" w:space="0"/>
              <w:right w:val="single" w:color="auto" w:sz="4" w:space="0"/>
            </w:tcBorders>
            <w:noWrap/>
            <w:vAlign w:val="center"/>
          </w:tcPr>
          <w:p w14:paraId="13C228C5">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5F68901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5F856C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03868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签字或盖章要求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0A8A8B63">
            <w:pPr>
              <w:keepNext w:val="0"/>
              <w:keepLines w:val="0"/>
              <w:pageBreakBefore w:val="0"/>
              <w:widowControl/>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电子投标文件须按格式文件要求签字或盖章，招标文件格式中要求“签章”部位，指签字或盖章。</w:t>
            </w:r>
          </w:p>
          <w:p w14:paraId="5007B7BB">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
                <w:color w:val="auto"/>
                <w:kern w:val="0"/>
                <w:szCs w:val="21"/>
                <w:highlight w:val="none"/>
              </w:rPr>
              <w:t>否则经评委会一致认定按照无效投标处理。</w:t>
            </w:r>
          </w:p>
        </w:tc>
      </w:tr>
      <w:tr w14:paraId="11A5634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9B607A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1D6260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投标文件份数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20CDB46D">
            <w:pPr>
              <w:keepNext w:val="0"/>
              <w:keepLines w:val="0"/>
              <w:suppressLineNumbers w:val="0"/>
              <w:adjustRightInd w:val="0"/>
              <w:snapToGrid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加密电子投标文件投标人应在投标截止时间前通过新点电子交易平台后在【滁州专区】</w:t>
            </w:r>
          </w:p>
          <w:p w14:paraId="6EB4923C">
            <w:pPr>
              <w:keepNext w:val="0"/>
              <w:keepLines w:val="0"/>
              <w:suppressLineNumbers w:val="0"/>
              <w:adjustRightInd w:val="0"/>
              <w:snapToGrid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（https://www.etrading.cn/BREpointSSO/login/oauth2login?regioncode=DQ_ChuZhou）交易系统递交电子投标文件。</w:t>
            </w:r>
          </w:p>
          <w:p w14:paraId="768938E5">
            <w:pPr>
              <w:pStyle w:val="2"/>
              <w:keepNext w:val="0"/>
              <w:keepLines w:val="0"/>
              <w:pageBreakBefore w:val="0"/>
              <w:suppressLineNumbers w:val="0"/>
              <w:kinsoku/>
              <w:wordWrap/>
              <w:overflowPunct/>
              <w:autoSpaceDN/>
              <w:bidi w:val="0"/>
              <w:spacing w:before="0" w:beforeAutospacing="0" w:after="0" w:afterAutospacing="0" w:line="440" w:lineRule="exact"/>
              <w:ind w:left="0" w:leftChars="0" w:right="0" w:firstLine="0" w:firstLineChars="0"/>
              <w:textAlignment w:val="auto"/>
              <w:rPr>
                <w:rFonts w:hint="default"/>
                <w:color w:val="auto"/>
                <w:highlight w:val="none"/>
              </w:rPr>
            </w:pPr>
            <w:r>
              <w:rPr>
                <w:rFonts w:hint="eastAsia" w:ascii="宋体" w:hAnsi="宋体" w:eastAsia="宋体" w:cs="宋体"/>
                <w:color w:val="auto"/>
                <w:szCs w:val="21"/>
                <w:highlight w:val="none"/>
              </w:rPr>
              <w:t>（投标人中标后须递交与网上电子投标文件完全一致的纸质版投标文件，并按要求加盖单位章；份数：正本 1 份，副本</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份；中标人领取中标通知书时，一并递交给招标代理机构）</w:t>
            </w:r>
          </w:p>
        </w:tc>
      </w:tr>
      <w:tr w14:paraId="4CDCE9B0">
        <w:tblPrEx>
          <w:tblCellMar>
            <w:top w:w="0" w:type="dxa"/>
            <w:left w:w="108" w:type="dxa"/>
            <w:bottom w:w="0" w:type="dxa"/>
            <w:right w:w="108" w:type="dxa"/>
          </w:tblCellMar>
        </w:tblPrEx>
        <w:trPr>
          <w:trHeight w:val="674" w:hRule="atLeast"/>
          <w:jc w:val="center"/>
        </w:trPr>
        <w:tc>
          <w:tcPr>
            <w:tcW w:w="868" w:type="dxa"/>
            <w:tcBorders>
              <w:top w:val="single" w:color="auto" w:sz="4" w:space="0"/>
              <w:left w:val="single" w:color="auto" w:sz="4" w:space="0"/>
              <w:right w:val="single" w:color="auto" w:sz="4" w:space="0"/>
            </w:tcBorders>
            <w:noWrap/>
            <w:vAlign w:val="center"/>
          </w:tcPr>
          <w:p w14:paraId="74C0AE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DE54D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color w:val="auto"/>
                <w:sz w:val="21"/>
                <w:szCs w:val="21"/>
                <w:highlight w:val="none"/>
              </w:rPr>
            </w:pPr>
            <w:r>
              <w:rPr>
                <w:rFonts w:hint="eastAsia" w:ascii="宋体" w:hAnsi="宋体" w:cs="宋体"/>
                <w:color w:val="auto"/>
                <w:szCs w:val="21"/>
                <w:highlight w:val="none"/>
                <w:lang w:val="en-US" w:eastAsia="zh-CN"/>
              </w:rPr>
              <w:t>投标截止时间</w:t>
            </w:r>
          </w:p>
        </w:tc>
        <w:tc>
          <w:tcPr>
            <w:tcW w:w="6837" w:type="dxa"/>
            <w:tcBorders>
              <w:top w:val="single" w:color="auto" w:sz="4" w:space="0"/>
              <w:left w:val="single" w:color="auto" w:sz="4" w:space="0"/>
              <w:right w:val="single" w:color="auto" w:sz="4" w:space="0"/>
            </w:tcBorders>
            <w:noWrap/>
            <w:vAlign w:val="center"/>
          </w:tcPr>
          <w:p w14:paraId="7D624827">
            <w:pPr>
              <w:keepNext w:val="0"/>
              <w:keepLines w:val="0"/>
              <w:pageBreakBefore w:val="0"/>
              <w:suppressLineNumbers w:val="0"/>
              <w:kinsoku/>
              <w:wordWrap/>
              <w:overflowPunct/>
              <w:autoSpaceDN/>
              <w:bidi w:val="0"/>
              <w:spacing w:before="0" w:beforeAutospacing="0" w:after="0" w:afterAutospacing="0" w:line="440" w:lineRule="exact"/>
              <w:ind w:left="0" w:right="0" w:firstLine="18" w:firstLineChars="9"/>
              <w:jc w:val="left"/>
              <w:textAlignment w:val="auto"/>
              <w:rPr>
                <w:rFonts w:hint="eastAsia" w:ascii="宋体" w:hAnsi="宋体" w:eastAsia="宋体" w:cs="宋体"/>
                <w:b/>
                <w:bCs/>
                <w:color w:val="auto"/>
                <w:szCs w:val="21"/>
                <w:highlight w:val="none"/>
                <w:u w:val="none"/>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时00分（北京时间）</w:t>
            </w:r>
          </w:p>
        </w:tc>
      </w:tr>
      <w:tr w14:paraId="41BE26F2">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344DB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43437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是否允许递交备选投标方案</w:t>
            </w:r>
          </w:p>
        </w:tc>
        <w:tc>
          <w:tcPr>
            <w:tcW w:w="6837" w:type="dxa"/>
            <w:tcBorders>
              <w:top w:val="single" w:color="auto" w:sz="4" w:space="0"/>
              <w:left w:val="single" w:color="auto" w:sz="4" w:space="0"/>
              <w:bottom w:val="single" w:color="auto" w:sz="4" w:space="0"/>
              <w:right w:val="single" w:color="auto" w:sz="4" w:space="0"/>
            </w:tcBorders>
            <w:noWrap/>
            <w:vAlign w:val="center"/>
          </w:tcPr>
          <w:p w14:paraId="320A91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☑不允许；</w:t>
            </w:r>
          </w:p>
          <w:p w14:paraId="12EC73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cs="宋体"/>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允许：/</w:t>
            </w:r>
          </w:p>
        </w:tc>
      </w:tr>
      <w:tr w14:paraId="3CA44B02">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43BD3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B5CE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837" w:type="dxa"/>
            <w:tcBorders>
              <w:top w:val="single" w:color="auto" w:sz="4" w:space="0"/>
              <w:left w:val="single" w:color="auto" w:sz="4" w:space="0"/>
              <w:bottom w:val="single" w:color="auto" w:sz="4" w:space="0"/>
              <w:right w:val="single" w:color="auto" w:sz="4" w:space="0"/>
            </w:tcBorders>
            <w:noWrap/>
            <w:vAlign w:val="center"/>
          </w:tcPr>
          <w:p w14:paraId="0BFAA8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否</w:t>
            </w:r>
          </w:p>
        </w:tc>
      </w:tr>
      <w:tr w14:paraId="259154A1">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45E4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474C0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开标时间及地点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6199CE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开标时间：同投标截止时间</w:t>
            </w:r>
          </w:p>
          <w:p w14:paraId="56CBFF7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szCs w:val="21"/>
                <w:highlight w:val="none"/>
              </w:rPr>
            </w:pPr>
            <w:r>
              <w:rPr>
                <w:rFonts w:hint="eastAsia"/>
                <w:color w:val="auto"/>
                <w:highlight w:val="none"/>
              </w:rPr>
              <w:t>开标地点：</w:t>
            </w:r>
            <w:r>
              <w:rPr>
                <w:rFonts w:hint="eastAsia" w:ascii="宋体" w:hAnsi="宋体" w:eastAsia="宋体" w:cs="宋体"/>
                <w:color w:val="auto"/>
                <w:szCs w:val="21"/>
                <w:highlight w:val="none"/>
              </w:rPr>
              <w:t>本项目采用不见面开标，</w:t>
            </w:r>
            <w:r>
              <w:rPr>
                <w:rFonts w:hint="eastAsia" w:ascii="宋体" w:hAnsi="宋体" w:eastAsia="宋体" w:cs="宋体"/>
                <w:color w:val="auto"/>
                <w:kern w:val="0"/>
                <w:sz w:val="21"/>
                <w:szCs w:val="21"/>
                <w:highlight w:val="none"/>
              </w:rPr>
              <w:t>投标人登录</w:t>
            </w:r>
            <w:r>
              <w:rPr>
                <w:rFonts w:hint="eastAsia" w:ascii="宋体" w:hAnsi="宋体" w:eastAsia="宋体" w:cs="宋体"/>
                <w:color w:val="auto"/>
                <w:kern w:val="0"/>
                <w:sz w:val="21"/>
                <w:szCs w:val="21"/>
                <w:highlight w:val="none"/>
                <w:lang w:val="en-US" w:eastAsia="zh-CN"/>
              </w:rPr>
              <w:t>滁州市城投工程咨询有限公司</w:t>
            </w:r>
            <w:r>
              <w:rPr>
                <w:rFonts w:hint="eastAsia" w:ascii="宋体" w:hAnsi="宋体" w:eastAsia="宋体" w:cs="宋体"/>
                <w:color w:val="auto"/>
                <w:kern w:val="0"/>
                <w:sz w:val="21"/>
                <w:szCs w:val="21"/>
                <w:highlight w:val="none"/>
              </w:rPr>
              <w:t>不见面开标系统参与网上开标（网址：http://js.etrading.cn/EpointBidOpening/bidopeninghallaction/hall/login）</w:t>
            </w:r>
            <w:r>
              <w:rPr>
                <w:rFonts w:hint="eastAsia" w:ascii="宋体" w:hAnsi="宋体" w:eastAsia="宋体" w:cs="宋体"/>
                <w:color w:val="auto"/>
                <w:szCs w:val="21"/>
                <w:highlight w:val="none"/>
              </w:rPr>
              <w:t>。</w:t>
            </w:r>
          </w:p>
          <w:p w14:paraId="73ABB0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投标人应在投标截止时间之前，登陆新点电子交易平台【滁州专区】上传投标文件。</w:t>
            </w:r>
          </w:p>
          <w:p w14:paraId="527DF2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开标方式：</w:t>
            </w:r>
            <w:r>
              <w:rPr>
                <w:rFonts w:hint="eastAsia" w:ascii="宋体" w:hAnsi="宋体" w:eastAsia="宋体" w:cs="宋体"/>
                <w:color w:val="auto"/>
                <w:szCs w:val="21"/>
                <w:highlight w:val="none"/>
              </w:rPr>
              <w:t>不见面开标系统进行开标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val="en-US" w:eastAsia="zh-CN"/>
              </w:rPr>
              <w:t>月</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lang w:val="en-US" w:eastAsia="zh-CN"/>
              </w:rPr>
              <w:t>日15</w:t>
            </w:r>
            <w:r>
              <w:rPr>
                <w:rFonts w:hint="eastAsia" w:ascii="宋体" w:hAnsi="宋体" w:eastAsia="宋体" w:cs="宋体"/>
                <w:color w:val="auto"/>
                <w:szCs w:val="21"/>
                <w:highlight w:val="none"/>
                <w:u w:val="single"/>
                <w:lang w:eastAsia="zh-CN"/>
              </w:rPr>
              <w:t>时</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lang w:eastAsia="zh-CN"/>
              </w:rPr>
              <w:t>0分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08</w:t>
            </w:r>
            <w:r>
              <w:rPr>
                <w:rFonts w:hint="eastAsia" w:ascii="宋体" w:hAnsi="宋体" w:eastAsia="宋体" w:cs="宋体"/>
                <w:color w:val="auto"/>
                <w:szCs w:val="21"/>
                <w:highlight w:val="none"/>
                <w:u w:val="single"/>
                <w:lang w:val="en-US" w:eastAsia="zh-CN"/>
              </w:rPr>
              <w:t>月</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lang w:val="en-US" w:eastAsia="zh-CN"/>
              </w:rPr>
              <w:t>日15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解密；未在规定时间内完成解密的，退回其投标文件；如有因系统原因造成的故障，代理机构可申请延迟解密时间。</w:t>
            </w:r>
          </w:p>
        </w:tc>
      </w:tr>
      <w:tr w14:paraId="6AC5F6B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B5C2F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A9044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开标程序</w:t>
            </w:r>
          </w:p>
        </w:tc>
        <w:tc>
          <w:tcPr>
            <w:tcW w:w="6837" w:type="dxa"/>
            <w:tcBorders>
              <w:top w:val="single" w:color="auto" w:sz="4" w:space="0"/>
              <w:left w:val="single" w:color="auto" w:sz="4" w:space="0"/>
              <w:bottom w:val="single" w:color="auto" w:sz="4" w:space="0"/>
              <w:right w:val="single" w:color="auto" w:sz="4" w:space="0"/>
            </w:tcBorders>
            <w:noWrap/>
            <w:vAlign w:val="center"/>
          </w:tcPr>
          <w:p w14:paraId="59C495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327BF635">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08C45F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5A7E45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评标委员会的组建</w:t>
            </w:r>
          </w:p>
        </w:tc>
        <w:tc>
          <w:tcPr>
            <w:tcW w:w="6837" w:type="dxa"/>
            <w:tcBorders>
              <w:top w:val="single" w:color="auto" w:sz="4" w:space="0"/>
              <w:left w:val="single" w:color="auto" w:sz="4" w:space="0"/>
              <w:bottom w:val="single" w:color="auto" w:sz="4" w:space="0"/>
              <w:right w:val="single" w:color="auto" w:sz="4" w:space="0"/>
            </w:tcBorders>
            <w:noWrap/>
            <w:vAlign w:val="center"/>
          </w:tcPr>
          <w:p w14:paraId="6944EE13">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评标委员会由招标人依法组建。</w:t>
            </w:r>
          </w:p>
        </w:tc>
      </w:tr>
      <w:tr w14:paraId="3C232734">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27CF27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12B8D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52C679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rPr>
                <w:rFonts w:hint="default"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23EBFE93">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04DCC78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p>
        </w:tc>
        <w:tc>
          <w:tcPr>
            <w:tcW w:w="2209" w:type="dxa"/>
            <w:gridSpan w:val="2"/>
            <w:tcBorders>
              <w:top w:val="single" w:color="auto" w:sz="4" w:space="0"/>
              <w:left w:val="single" w:color="auto" w:sz="4" w:space="0"/>
              <w:right w:val="single" w:color="auto" w:sz="4" w:space="0"/>
            </w:tcBorders>
            <w:noWrap/>
            <w:vAlign w:val="center"/>
          </w:tcPr>
          <w:p w14:paraId="07A03E1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中标候选人公示媒介</w:t>
            </w:r>
          </w:p>
        </w:tc>
        <w:tc>
          <w:tcPr>
            <w:tcW w:w="6837" w:type="dxa"/>
            <w:tcBorders>
              <w:top w:val="single" w:color="auto" w:sz="4" w:space="0"/>
              <w:left w:val="single" w:color="auto" w:sz="4" w:space="0"/>
              <w:right w:val="single" w:color="auto" w:sz="4" w:space="0"/>
            </w:tcBorders>
            <w:noWrap/>
            <w:vAlign w:val="center"/>
          </w:tcPr>
          <w:p w14:paraId="6162E9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0BA9A35C">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BDB0AE3">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286466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33</w:t>
            </w:r>
          </w:p>
        </w:tc>
        <w:tc>
          <w:tcPr>
            <w:tcW w:w="2209" w:type="dxa"/>
            <w:gridSpan w:val="2"/>
            <w:tcBorders>
              <w:top w:val="single" w:color="auto" w:sz="4" w:space="0"/>
              <w:left w:val="single" w:color="auto" w:sz="4" w:space="0"/>
              <w:right w:val="single" w:color="auto" w:sz="4" w:space="0"/>
            </w:tcBorders>
            <w:noWrap/>
            <w:vAlign w:val="center"/>
          </w:tcPr>
          <w:p w14:paraId="1BF388CA">
            <w:pPr>
              <w:keepNext w:val="0"/>
              <w:keepLines w:val="0"/>
              <w:pageBreakBefore w:val="0"/>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中标通知书发出形式</w:t>
            </w:r>
          </w:p>
        </w:tc>
        <w:tc>
          <w:tcPr>
            <w:tcW w:w="6837" w:type="dxa"/>
            <w:tcBorders>
              <w:top w:val="single" w:color="auto" w:sz="4" w:space="0"/>
              <w:left w:val="single" w:color="auto" w:sz="4" w:space="0"/>
              <w:right w:val="single" w:color="auto" w:sz="4" w:space="0"/>
            </w:tcBorders>
            <w:noWrap/>
            <w:vAlign w:val="center"/>
          </w:tcPr>
          <w:p w14:paraId="21269509">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26CCE6B5">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24CFE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3FDD72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履约担保</w:t>
            </w:r>
          </w:p>
        </w:tc>
        <w:tc>
          <w:tcPr>
            <w:tcW w:w="6837" w:type="dxa"/>
            <w:tcBorders>
              <w:top w:val="single" w:color="auto" w:sz="4" w:space="0"/>
              <w:left w:val="single" w:color="auto" w:sz="4" w:space="0"/>
              <w:bottom w:val="single" w:color="auto" w:sz="4" w:space="0"/>
              <w:right w:val="single" w:color="auto" w:sz="4" w:space="0"/>
            </w:tcBorders>
            <w:noWrap/>
            <w:vAlign w:val="center"/>
          </w:tcPr>
          <w:p w14:paraId="44842EC6">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bCs/>
                <w:color w:val="auto"/>
                <w:szCs w:val="21"/>
                <w:highlight w:val="none"/>
              </w:rPr>
            </w:pPr>
            <w:r>
              <w:rPr>
                <w:rFonts w:hint="eastAsia" w:ascii="宋体" w:hAnsi="宋体" w:cs="宋体"/>
                <w:bCs/>
                <w:color w:val="auto"/>
                <w:szCs w:val="21"/>
                <w:highlight w:val="none"/>
              </w:rPr>
              <w:t xml:space="preserve">履约担保的形式：支持银行转账、银行电汇、银行保函、担保机构担保、保证保险使用 </w:t>
            </w:r>
          </w:p>
          <w:p w14:paraId="411E109F">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 xml:space="preserve">履约担保的金额：中标合同金额×2% </w:t>
            </w:r>
          </w:p>
          <w:p w14:paraId="4F4F558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 xml:space="preserve">收款单位：中标后另行通知 </w:t>
            </w:r>
          </w:p>
          <w:p w14:paraId="004F7FC4">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 xml:space="preserve">开户银行：中标后另行通知 </w:t>
            </w:r>
          </w:p>
          <w:p w14:paraId="31548F2F">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0D9EC37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缴纳时限：</w:t>
            </w:r>
            <w:r>
              <w:rPr>
                <w:rFonts w:hint="eastAsia" w:ascii="宋体" w:hAnsi="宋体" w:cs="宋体"/>
                <w:color w:val="auto"/>
                <w:szCs w:val="21"/>
                <w:highlight w:val="none"/>
              </w:rPr>
              <w:t>中标人须在中标通知书发出后</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日内完成履约保证金或履约保函缴纳及合同签订。</w:t>
            </w:r>
          </w:p>
          <w:p w14:paraId="2B3F4546">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履约保证金退还时限：履约保证金有效期满7日内</w:t>
            </w:r>
            <w:r>
              <w:rPr>
                <w:rFonts w:hint="eastAsia" w:cs="宋体"/>
                <w:color w:val="auto"/>
                <w:sz w:val="21"/>
                <w:szCs w:val="21"/>
                <w:highlight w:val="none"/>
                <w:lang w:val="en-US" w:eastAsia="zh-CN"/>
              </w:rPr>
              <w:t>。</w:t>
            </w:r>
          </w:p>
          <w:p w14:paraId="1E1F3E3B">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sz w:val="21"/>
                <w:szCs w:val="21"/>
                <w:highlight w:val="none"/>
                <w:lang w:val="en-US" w:eastAsia="zh-CN"/>
              </w:rPr>
              <w:t>其他相关要求：</w:t>
            </w:r>
            <w:r>
              <w:rPr>
                <w:rFonts w:hint="eastAsia" w:ascii="宋体" w:hAnsi="宋体" w:cs="宋体"/>
                <w:color w:val="auto"/>
                <w:sz w:val="21"/>
                <w:szCs w:val="21"/>
                <w:highlight w:val="none"/>
                <w:lang w:val="en-US" w:eastAsia="zh-CN"/>
              </w:rPr>
              <w:t>须符合招标人要求</w:t>
            </w:r>
            <w:r>
              <w:rPr>
                <w:rFonts w:hint="eastAsia" w:ascii="宋体" w:hAnsi="宋体" w:cs="宋体"/>
                <w:color w:val="auto"/>
                <w:szCs w:val="21"/>
                <w:highlight w:val="none"/>
              </w:rPr>
              <w:t>。 </w:t>
            </w:r>
          </w:p>
        </w:tc>
      </w:tr>
      <w:tr w14:paraId="0285955B">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396A1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F0755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22DB53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宋体" w:hAnsi="宋体" w:cs="宋体"/>
                <w:color w:val="auto"/>
                <w:szCs w:val="21"/>
                <w:highlight w:val="none"/>
                <w:lang w:val="en-US"/>
              </w:rPr>
            </w:pPr>
            <w:r>
              <w:rPr>
                <w:rFonts w:hint="eastAsia" w:ascii="宋体" w:hAnsi="宋体" w:eastAsia="宋体" w:cs="宋体"/>
                <w:color w:val="auto"/>
                <w:spacing w:val="0"/>
                <w:kern w:val="2"/>
                <w:sz w:val="21"/>
                <w:szCs w:val="21"/>
                <w:highlight w:val="none"/>
                <w:lang w:val="en-US" w:eastAsia="zh-CN" w:bidi="ar-SA"/>
              </w:rPr>
              <w:t>见合同条款。</w:t>
            </w:r>
          </w:p>
        </w:tc>
      </w:tr>
      <w:tr w14:paraId="77BF6022">
        <w:tblPrEx>
          <w:tblCellMar>
            <w:top w:w="0" w:type="dxa"/>
            <w:left w:w="108" w:type="dxa"/>
            <w:bottom w:w="0" w:type="dxa"/>
            <w:right w:w="108" w:type="dxa"/>
          </w:tblCellMar>
        </w:tblPrEx>
        <w:trPr>
          <w:trHeight w:val="90" w:hRule="atLeast"/>
          <w:jc w:val="center"/>
        </w:trPr>
        <w:tc>
          <w:tcPr>
            <w:tcW w:w="9914" w:type="dxa"/>
            <w:gridSpan w:val="4"/>
            <w:tcBorders>
              <w:top w:val="single" w:color="auto" w:sz="4" w:space="0"/>
              <w:left w:val="single" w:color="auto" w:sz="4" w:space="0"/>
              <w:bottom w:val="single" w:color="auto" w:sz="4" w:space="0"/>
              <w:right w:val="single" w:color="auto" w:sz="4" w:space="0"/>
            </w:tcBorders>
            <w:noWrap/>
            <w:vAlign w:val="center"/>
          </w:tcPr>
          <w:p w14:paraId="4E1A5B7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需要补充的其他内容</w:t>
            </w:r>
          </w:p>
        </w:tc>
      </w:tr>
      <w:tr w14:paraId="23CAB1D3">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B44CE4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招标代理服务费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3D9B2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5326</w:t>
            </w:r>
            <w:r>
              <w:rPr>
                <w:rFonts w:hint="eastAsia" w:ascii="宋体" w:hAnsi="宋体" w:cs="宋体"/>
                <w:color w:val="auto"/>
                <w:kern w:val="0"/>
                <w:szCs w:val="21"/>
                <w:highlight w:val="none"/>
              </w:rPr>
              <w:t>元</w:t>
            </w:r>
            <w:r>
              <w:rPr>
                <w:rFonts w:hint="eastAsia" w:ascii="宋体" w:hAnsi="宋体" w:cs="宋体"/>
                <w:bCs/>
                <w:color w:val="auto"/>
                <w:kern w:val="0"/>
                <w:highlight w:val="none"/>
              </w:rPr>
              <w:t>。</w:t>
            </w:r>
          </w:p>
          <w:p w14:paraId="300333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：中标单位</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由中标单位在领取中标通知书时，一次性支付给代理机构。</w:t>
            </w:r>
          </w:p>
        </w:tc>
      </w:tr>
      <w:tr w14:paraId="2118FF88">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CCDB37E">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专家评审劳务费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4C9217E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371625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3E461BEB">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40FB5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主要材料要求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2FCC52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本项目主要设备、材料须从公共停车场（小桥湖）光伏车棚迁建至奥体中心停车场。</w:t>
            </w:r>
          </w:p>
          <w:p w14:paraId="2151B2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rPr>
              <w:t>1、本工程采用商品砼。</w:t>
            </w:r>
          </w:p>
          <w:p w14:paraId="2EE10A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rPr>
              <w:t>2、本项目采用预拌砂浆。</w:t>
            </w:r>
          </w:p>
        </w:tc>
      </w:tr>
      <w:tr w14:paraId="7EC63D7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09F0A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相关要求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2EBF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1、本项目投标保证金、履约保证金、工程质量保证金、农民工工资保证金均支持保函使用。以现金形式提交保证金的，应当同时退还保证金本金和银行同期存款利息。</w:t>
            </w:r>
          </w:p>
          <w:p w14:paraId="1422FC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2、承包人在工程实施过程中的用工行为，必须严格按照《保障农民工工资支付条例》（国务院令 第724号）、《安徽省人民政府办公厅关于全面治理拖欠农民工工资问题的实施意见》（皖政办〔2016〕22号）以及《贯彻落实&lt;工程建设领域农民工工资专用账户管理暂行办法&gt;的通知》（皖人社发〔2022〕5号）、《安徽省工程建设领域农民工工资保证金实施办法》（皖人社发〔2022〕8号）等文件精神的有关规定，依法与招用的农民工签订劳动合同，并按规定及时足额支付工资。</w:t>
            </w:r>
          </w:p>
          <w:p w14:paraId="774ACF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为切实保障建筑行业农民工工资支付、加快培育新时代建筑产业工人队伍、有效破解拖欠工程款问题，承包人应严格落实安徽省住建厅《关于建立长效机制切实保障建筑行业农民工工资支付工作的通知》（建市函〔2022〕490号），《关于加快培育和壮大我省建筑产业工人队伍的意见》（建市规〔2023〕1号）以及《关于印发〈安徽省房屋建筑和市政基础设施工程施工过程结算管理办法〉 的通知》（建市规〔2023〕2号）等文件要求。</w:t>
            </w:r>
          </w:p>
          <w:p w14:paraId="7F9550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执行《关于进一步完善工程建设领域农民工工资保证金和农民工工资（劳务费）专户管理制度的实施意见》，其中工资保证金和工资专户按照工程项目所在地实行属地化管理，由工程建设项目的施工总承包企业（包括直接承包建设单位发包工程的专业承包企业）缴存和开设。若为联合体中标，由联合体中牵头人缴存和开设专户。</w:t>
            </w:r>
          </w:p>
          <w:p w14:paraId="387E7F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3、省外建设工程企业按照《关于优化进皖建设工程企业信息登记服务和管理有关工作的通知》（建市函〔2022〕580号）进行相关信息登记。 </w:t>
            </w:r>
          </w:p>
          <w:p w14:paraId="48CB95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4、保证保险产品应按《中国银保监会办公厅关于进一步加强和改进财产保险公司产品监管有关问题的通知》执行。</w:t>
            </w:r>
          </w:p>
          <w:p w14:paraId="583287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5、我省行政区域内按照规定应办理建筑工程施工许可证的房屋建筑和市政工程建设项目，均应办理工程款支付担保。具体金额、担保方式等按《安徽省住房和城乡建设厅关于加强房屋建筑和市政基础设施工程建设领域工程款支付担保管理工作的通知》（建市〔2022〕54号）执行。</w:t>
            </w:r>
          </w:p>
        </w:tc>
      </w:tr>
      <w:tr w14:paraId="520FD031">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2A797F0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10751469">
            <w:pPr>
              <w:pStyle w:val="96"/>
              <w:keepNext w:val="0"/>
              <w:keepLines w:val="0"/>
              <w:pageBreakBefore w:val="0"/>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default" w:ascii="Times New Roman" w:hAnsi="Times New Roman" w:eastAsia="宋体" w:cs="Times New Roman"/>
                <w:color w:val="auto"/>
                <w:spacing w:val="0"/>
                <w:kern w:val="2"/>
                <w:sz w:val="21"/>
                <w:szCs w:val="21"/>
                <w:highlight w:val="none"/>
                <w:lang w:val="en-US"/>
              </w:rPr>
            </w:pPr>
            <w:r>
              <w:rPr>
                <w:rFonts w:hint="eastAsia" w:ascii="宋体" w:hAnsi="宋体" w:eastAsia="宋体" w:cs="宋体"/>
                <w:color w:val="auto"/>
                <w:spacing w:val="-3"/>
                <w:sz w:val="21"/>
                <w:szCs w:val="21"/>
                <w:highlight w:val="none"/>
              </w:rPr>
              <w:t>1</w:t>
            </w:r>
            <w:r>
              <w:rPr>
                <w:rFonts w:hint="eastAsia" w:ascii="Times New Roman" w:hAnsi="Times New Roman" w:eastAsia="宋体" w:cs="Times New Roman"/>
                <w:color w:val="auto"/>
                <w:spacing w:val="0"/>
                <w:kern w:val="2"/>
                <w:sz w:val="21"/>
                <w:szCs w:val="21"/>
                <w:highlight w:val="none"/>
                <w:lang w:val="en-US"/>
              </w:rPr>
              <w:t>、构成本招标文件的各个组成文件应互为解释，互为说明；</w:t>
            </w:r>
          </w:p>
          <w:p w14:paraId="484A6F79">
            <w:pPr>
              <w:pStyle w:val="96"/>
              <w:keepNext w:val="0"/>
              <w:keepLines w:val="0"/>
              <w:pageBreakBefore w:val="0"/>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color w:val="auto"/>
                <w:spacing w:val="0"/>
                <w:kern w:val="2"/>
                <w:sz w:val="21"/>
                <w:szCs w:val="21"/>
                <w:highlight w:val="none"/>
                <w:lang w:val="en-US"/>
              </w:rPr>
              <w:t>2、同一组成文件中就同一事项的规定或约定不一致的，以编排顺序在后者为准；</w:t>
            </w:r>
          </w:p>
          <w:p w14:paraId="4DA5FFFB">
            <w:pPr>
              <w:pStyle w:val="96"/>
              <w:keepNext w:val="0"/>
              <w:keepLines w:val="0"/>
              <w:pageBreakBefore w:val="0"/>
              <w:suppressLineNumbers w:val="0"/>
              <w:tabs>
                <w:tab w:val="left" w:pos="351"/>
              </w:tabs>
              <w:kinsoku/>
              <w:wordWrap/>
              <w:overflowPunct/>
              <w:autoSpaceDE/>
              <w:autoSpaceDN/>
              <w:bidi w:val="0"/>
              <w:adjustRightInd w:val="0"/>
              <w:snapToGrid w:val="0"/>
              <w:spacing w:before="0" w:beforeAutospacing="0" w:after="0" w:afterAutospacing="0" w:line="440" w:lineRule="exact"/>
              <w:ind w:left="0" w:right="0"/>
              <w:textAlignment w:val="auto"/>
              <w:rPr>
                <w:rFonts w:hint="default" w:ascii="Times New Roman" w:hAnsi="Times New Roman" w:eastAsia="宋体" w:cs="Times New Roman"/>
                <w:color w:val="auto"/>
                <w:kern w:val="2"/>
                <w:sz w:val="21"/>
                <w:szCs w:val="21"/>
                <w:highlight w:val="none"/>
                <w:lang w:val="en-US"/>
              </w:rPr>
            </w:pPr>
            <w:r>
              <w:rPr>
                <w:rFonts w:hint="eastAsia" w:ascii="Times New Roman" w:hAnsi="Times New Roman" w:eastAsia="宋体" w:cs="Times New Roman"/>
                <w:color w:val="auto"/>
                <w:spacing w:val="0"/>
                <w:kern w:val="2"/>
                <w:sz w:val="21"/>
                <w:szCs w:val="21"/>
                <w:highlight w:val="none"/>
                <w:lang w:val="en-US"/>
              </w:rPr>
              <w:t>3、如有不明确或不一致，构成合同文件组成内容的，以合同文件约定内容为准，且以专用合同条款约定的合同文件优先顺序解释；</w:t>
            </w:r>
          </w:p>
          <w:p w14:paraId="4F77613D">
            <w:pPr>
              <w:pStyle w:val="96"/>
              <w:keepNext w:val="0"/>
              <w:keepLines w:val="0"/>
              <w:pageBreakBefore w:val="0"/>
              <w:suppressLineNumbers w:val="0"/>
              <w:tabs>
                <w:tab w:val="left" w:pos="354"/>
              </w:tabs>
              <w:kinsoku/>
              <w:wordWrap/>
              <w:overflowPunct/>
              <w:autoSpaceDE/>
              <w:autoSpaceDN/>
              <w:bidi w:val="0"/>
              <w:adjustRightInd w:val="0"/>
              <w:snapToGrid w:val="0"/>
              <w:spacing w:before="0" w:beforeAutospacing="0" w:after="0" w:afterAutospacing="0" w:line="440" w:lineRule="exact"/>
              <w:ind w:left="0" w:right="0"/>
              <w:textAlignment w:val="auto"/>
              <w:rPr>
                <w:rFonts w:hint="default" w:ascii="Times New Roman" w:hAnsi="Times New Roman" w:eastAsia="宋体" w:cs="Times New Roman"/>
                <w:color w:val="auto"/>
                <w:spacing w:val="0"/>
                <w:kern w:val="2"/>
                <w:sz w:val="21"/>
                <w:szCs w:val="21"/>
                <w:highlight w:val="none"/>
                <w:lang w:val="en-US"/>
              </w:rPr>
            </w:pPr>
            <w:r>
              <w:rPr>
                <w:rFonts w:hint="eastAsia" w:ascii="Times New Roman" w:hAnsi="Times New Roman" w:eastAsia="宋体" w:cs="Times New Roman"/>
                <w:color w:val="auto"/>
                <w:spacing w:val="0"/>
                <w:kern w:val="2"/>
                <w:sz w:val="21"/>
                <w:szCs w:val="21"/>
                <w:highlight w:val="none"/>
                <w:lang w:val="en-US"/>
              </w:rPr>
              <w:t>4、</w:t>
            </w:r>
            <w:r>
              <w:rPr>
                <w:rFonts w:hint="eastAsia" w:ascii="Times New Roman" w:hAnsi="Times New Roman" w:eastAsia="宋体" w:cs="Times New Roman"/>
                <w:color w:val="auto"/>
                <w:kern w:val="2"/>
                <w:sz w:val="21"/>
                <w:szCs w:val="21"/>
                <w:highlight w:val="none"/>
                <w:lang w:val="en-US"/>
              </w:rPr>
              <w:t>系统中提供的表格（或格式文件）与招标文件中不一致时，以招标文件中提供的为准；</w:t>
            </w:r>
          </w:p>
          <w:p w14:paraId="1E3B5868">
            <w:pPr>
              <w:pStyle w:val="2"/>
              <w:keepNext w:val="0"/>
              <w:keepLines w:val="0"/>
              <w:suppressLineNumbers w:val="0"/>
              <w:spacing w:before="0" w:beforeAutospacing="0" w:after="0" w:afterAutospacing="0"/>
              <w:ind w:left="0" w:leftChars="0" w:right="0" w:firstLine="0" w:firstLineChars="0"/>
              <w:rPr>
                <w:rFonts w:hint="default"/>
                <w:color w:val="auto"/>
                <w:highlight w:val="none"/>
              </w:rPr>
            </w:pPr>
            <w:r>
              <w:rPr>
                <w:rFonts w:hint="eastAsia" w:ascii="Times New Roman" w:hAnsi="Times New Roman" w:eastAsia="宋体" w:cs="Times New Roman"/>
                <w:color w:val="auto"/>
                <w:spacing w:val="0"/>
                <w:sz w:val="21"/>
                <w:szCs w:val="21"/>
                <w:highlight w:val="none"/>
              </w:rPr>
              <w:t>5、按本款前述规定仍不能形成结论的，由招标人负责解释。</w:t>
            </w:r>
          </w:p>
        </w:tc>
      </w:tr>
      <w:tr w14:paraId="769CA241">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E31B9C">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kern w:val="2"/>
                <w:sz w:val="21"/>
                <w:szCs w:val="21"/>
                <w:highlight w:val="none"/>
                <w:lang w:val="en-US" w:eastAsia="zh-CN" w:bidi="ar"/>
              </w:rPr>
            </w:pPr>
            <w:bookmarkStart w:id="61" w:name="_Toc35425053"/>
            <w:bookmarkStart w:id="62" w:name="_Toc78803322"/>
            <w:bookmarkStart w:id="63" w:name="_Toc15058846"/>
            <w:bookmarkStart w:id="64" w:name="_Toc5813"/>
            <w:bookmarkStart w:id="65" w:name="_Toc35424887"/>
            <w:r>
              <w:rPr>
                <w:rFonts w:hint="eastAsia" w:ascii="宋体" w:hAnsi="宋体" w:eastAsia="宋体" w:cs="宋体"/>
                <w:b/>
                <w:bCs/>
                <w:color w:val="auto"/>
                <w:szCs w:val="21"/>
                <w:highlight w:val="none"/>
                <w:lang w:val="en-US" w:eastAsia="zh-CN"/>
              </w:rPr>
              <w:t>投标软件下载</w:t>
            </w:r>
          </w:p>
        </w:tc>
        <w:tc>
          <w:tcPr>
            <w:tcW w:w="81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D2AFCD">
            <w:pPr>
              <w:keepNext w:val="0"/>
              <w:keepLines w:val="0"/>
              <w:suppressLineNumbers w:val="0"/>
              <w:adjustRightInd w:val="0"/>
              <w:snapToGrid w:val="0"/>
              <w:spacing w:before="0" w:beforeAutospacing="0" w:after="0" w:afterAutospacing="0" w:line="440" w:lineRule="exact"/>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投标软件制作工具下载：</w:t>
            </w:r>
          </w:p>
          <w:p w14:paraId="0D9B4D5D">
            <w:pPr>
              <w:keepNext w:val="0"/>
              <w:keepLines w:val="0"/>
              <w:suppressLineNumbers w:val="0"/>
              <w:adjustRightInd w:val="0"/>
              <w:snapToGrid w:val="0"/>
              <w:spacing w:before="0" w:beforeAutospacing="0" w:after="0" w:afterAutospacing="0" w:line="440" w:lineRule="exact"/>
              <w:ind w:left="0" w:right="0"/>
              <w:rPr>
                <w:rFonts w:hint="eastAsia" w:ascii="宋体" w:hAnsi="Times New Roman" w:eastAsia="宋体" w:cs="Times New Roman"/>
                <w:color w:val="auto"/>
                <w:kern w:val="2"/>
                <w:sz w:val="21"/>
                <w:szCs w:val="21"/>
                <w:highlight w:val="none"/>
                <w:lang w:val="en-US" w:eastAsia="zh-CN" w:bidi="ar-SA"/>
              </w:rPr>
            </w:pPr>
            <w:r>
              <w:rPr>
                <w:rFonts w:hint="eastAsia" w:ascii="宋体" w:hAnsi="宋体" w:eastAsia="宋体" w:cs="宋体"/>
                <w:b/>
                <w:bCs/>
                <w:color w:val="auto"/>
                <w:sz w:val="21"/>
                <w:szCs w:val="21"/>
                <w:highlight w:val="none"/>
              </w:rPr>
              <w:t>https://download.bqpoint.com/download/downloaddetail.html?SourceFrom=Ztb&amp;ZtbSoftXiaQuCode=0128&amp;ZtbSoftType=tballinclusive</w:t>
            </w:r>
          </w:p>
        </w:tc>
      </w:tr>
    </w:tbl>
    <w:p w14:paraId="64A3152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1DC17C9">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14D2FD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kern w:val="44"/>
          <w:highlight w:val="none"/>
        </w:rPr>
      </w:pPr>
      <w:bookmarkStart w:id="66" w:name="_Toc35424888"/>
      <w:bookmarkStart w:id="67" w:name="_Toc144974498"/>
      <w:bookmarkStart w:id="68" w:name="_Toc247085690"/>
      <w:bookmarkStart w:id="69" w:name="_Toc179632547"/>
      <w:bookmarkStart w:id="70" w:name="_Toc296602421"/>
      <w:bookmarkStart w:id="71" w:name="_Toc324404816"/>
      <w:bookmarkStart w:id="72" w:name="_Toc246996176"/>
      <w:bookmarkStart w:id="73" w:name="_Toc152045530"/>
      <w:bookmarkStart w:id="74" w:name="_Toc4678"/>
      <w:bookmarkStart w:id="75" w:name="_Toc152042306"/>
      <w:bookmarkStart w:id="76" w:name="_Toc15058847"/>
      <w:bookmarkStart w:id="77" w:name="_Toc506107270"/>
      <w:bookmarkStart w:id="78" w:name="_Toc246996919"/>
      <w:bookmarkStart w:id="79" w:name="_Toc78803323"/>
      <w:bookmarkStart w:id="80" w:name="_Toc35425054"/>
      <w:r>
        <w:rPr>
          <w:rFonts w:hint="eastAsia" w:ascii="宋体" w:hAnsi="宋体" w:eastAsia="宋体" w:cs="宋体"/>
          <w:color w:val="auto"/>
          <w:kern w:val="44"/>
          <w:highlight w:val="none"/>
        </w:rPr>
        <w:t>1.1 项目概况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25BB478">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1.1.1根据《中华人民共和国招标投标法》《中华人民共和国招标投标法实施条例》等有关法律、法规和规章的规定，本招标项目已具备招标条件，现对本项目施工进行招标。</w:t>
      </w:r>
    </w:p>
    <w:p w14:paraId="296498F4">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14:paraId="227DD25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14:paraId="3D1673ED">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14:paraId="2CBC037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14:paraId="735E06F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81" w:name="_Toc247085691"/>
      <w:bookmarkStart w:id="82" w:name="_Toc7142"/>
      <w:bookmarkStart w:id="83" w:name="_Toc324404817"/>
      <w:bookmarkStart w:id="84" w:name="_Toc506107271"/>
      <w:bookmarkStart w:id="85" w:name="_Toc152045531"/>
      <w:bookmarkStart w:id="86" w:name="_Toc296602422"/>
      <w:bookmarkStart w:id="87" w:name="_Toc78803324"/>
      <w:bookmarkStart w:id="88" w:name="_Toc246996177"/>
      <w:bookmarkStart w:id="89" w:name="_Toc152042307"/>
      <w:bookmarkStart w:id="90" w:name="_Toc35424889"/>
      <w:bookmarkStart w:id="91" w:name="_Toc15058848"/>
      <w:bookmarkStart w:id="92" w:name="_Toc144974499"/>
      <w:bookmarkStart w:id="93" w:name="_Toc246996920"/>
      <w:bookmarkStart w:id="94" w:name="_Toc179632548"/>
      <w:bookmarkStart w:id="95" w:name="_Toc35425055"/>
      <w:r>
        <w:rPr>
          <w:rFonts w:hint="eastAsia" w:ascii="宋体" w:hAnsi="宋体" w:eastAsia="宋体" w:cs="宋体"/>
          <w:color w:val="auto"/>
          <w:highlight w:val="none"/>
        </w:rPr>
        <w:t>1.2 资金来源和落实情况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1E4E46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3B221A98">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14:paraId="6578E621">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96" w:name="_Toc78803325"/>
      <w:bookmarkStart w:id="97" w:name="_Toc144974500"/>
      <w:bookmarkStart w:id="98" w:name="_Toc246996921"/>
      <w:bookmarkStart w:id="99" w:name="_Toc324404818"/>
      <w:bookmarkStart w:id="100" w:name="_Toc15058849"/>
      <w:bookmarkStart w:id="101" w:name="_Toc35424890"/>
      <w:bookmarkStart w:id="102" w:name="_Toc6330"/>
      <w:bookmarkStart w:id="103" w:name="_Toc152045532"/>
      <w:bookmarkStart w:id="104" w:name="_Toc35425056"/>
      <w:bookmarkStart w:id="105" w:name="_Toc506107272"/>
      <w:bookmarkStart w:id="106" w:name="_Toc179632549"/>
      <w:bookmarkStart w:id="107" w:name="_Toc246996178"/>
      <w:bookmarkStart w:id="108" w:name="_Toc296602423"/>
      <w:bookmarkStart w:id="109" w:name="_Toc247085692"/>
      <w:bookmarkStart w:id="110" w:name="_Toc152042308"/>
      <w:r>
        <w:rPr>
          <w:rFonts w:hint="eastAsia" w:ascii="宋体" w:hAnsi="宋体" w:eastAsia="宋体" w:cs="宋体"/>
          <w:color w:val="auto"/>
          <w:highlight w:val="none"/>
        </w:rPr>
        <w:t>1.3 招标范围、</w:t>
      </w:r>
      <w:r>
        <w:rPr>
          <w:rFonts w:hint="eastAsia" w:ascii="宋体" w:hAnsi="宋体" w:eastAsia="宋体" w:cs="宋体"/>
          <w:color w:val="auto"/>
          <w:highlight w:val="none"/>
          <w:lang w:val="en-US" w:eastAsia="zh-CN"/>
        </w:rPr>
        <w:t>工期</w:t>
      </w:r>
      <w:r>
        <w:rPr>
          <w:rFonts w:hint="eastAsia" w:ascii="宋体" w:hAnsi="宋体" w:eastAsia="宋体" w:cs="宋体"/>
          <w:color w:val="auto"/>
          <w:highlight w:val="none"/>
        </w:rPr>
        <w:t>、质量要求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461F22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5FE53B6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1.3.2 本招标项目的</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：见投标人须知前附表。</w:t>
      </w:r>
    </w:p>
    <w:p w14:paraId="7D75E15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14:paraId="51C7B78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11" w:name="_Toc247085693"/>
      <w:bookmarkStart w:id="112" w:name="_Toc152045534"/>
      <w:bookmarkStart w:id="113" w:name="_Toc35425057"/>
      <w:bookmarkStart w:id="114" w:name="_Toc15058850"/>
      <w:bookmarkStart w:id="115" w:name="_Toc246996179"/>
      <w:bookmarkStart w:id="116" w:name="_Toc179632551"/>
      <w:bookmarkStart w:id="117" w:name="_Toc506107273"/>
      <w:bookmarkStart w:id="118" w:name="_Toc152042310"/>
      <w:bookmarkStart w:id="119" w:name="_Toc35424891"/>
      <w:bookmarkStart w:id="120" w:name="_Toc246996922"/>
      <w:bookmarkStart w:id="121" w:name="_Toc324404819"/>
      <w:bookmarkStart w:id="122" w:name="_Toc144974502"/>
      <w:bookmarkStart w:id="123" w:name="_Toc26897"/>
      <w:bookmarkStart w:id="124" w:name="_Toc296602424"/>
      <w:bookmarkStart w:id="125" w:name="_Toc78803326"/>
      <w:r>
        <w:rPr>
          <w:rFonts w:hint="eastAsia" w:ascii="宋体" w:hAnsi="宋体" w:eastAsia="宋体" w:cs="宋体"/>
          <w:color w:val="auto"/>
          <w:highlight w:val="none"/>
        </w:rPr>
        <w:t>1.4 投标人资格要求</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05C43E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 投标人应具备承担本项目</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的资质条件、能力和信誉。</w:t>
      </w:r>
    </w:p>
    <w:p w14:paraId="5F1E407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（1）资质条件：见投标人须知前附表；</w:t>
      </w:r>
    </w:p>
    <w:p w14:paraId="1BCE07C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（2）项目</w:t>
      </w:r>
      <w:r>
        <w:rPr>
          <w:rFonts w:hint="eastAsia" w:ascii="宋体" w:hAnsi="宋体" w:cs="宋体"/>
          <w:color w:val="auto"/>
          <w:szCs w:val="21"/>
          <w:highlight w:val="none"/>
          <w:lang w:val="en-US" w:eastAsia="zh-CN"/>
        </w:rPr>
        <w:t>经理</w:t>
      </w:r>
      <w:r>
        <w:rPr>
          <w:rFonts w:hint="eastAsia" w:ascii="宋体" w:hAnsi="宋体" w:cs="宋体"/>
          <w:color w:val="auto"/>
          <w:szCs w:val="21"/>
          <w:highlight w:val="none"/>
        </w:rPr>
        <w:t>资格：见投标人须知前附表；</w:t>
      </w:r>
    </w:p>
    <w:p w14:paraId="35B30458">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（3）信誉要求：见投标人须知前附表；</w:t>
      </w:r>
    </w:p>
    <w:p w14:paraId="28947FD4">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）其他要求：见投标人须知前附表。</w:t>
      </w:r>
    </w:p>
    <w:p w14:paraId="23B3E0C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1.4.2 投标人不得存在下列情形之一：</w:t>
      </w:r>
    </w:p>
    <w:p w14:paraId="62E57B7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26A370E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6D8A986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14:paraId="2C04684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14:paraId="4FB9898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（5）为本标段前期准备提供设计或咨询服务的法人或其任何附属机构（单位）；</w:t>
      </w:r>
    </w:p>
    <w:p w14:paraId="7A343DF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（6）为本标段的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w:t>
      </w:r>
    </w:p>
    <w:p w14:paraId="2FFED7C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14:paraId="10B73C4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（8）为本标段的招标代理机构；</w:t>
      </w:r>
    </w:p>
    <w:p w14:paraId="0037354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或代建人或招标代理机构同为一个法定代表人；</w:t>
      </w:r>
    </w:p>
    <w:p w14:paraId="62209F4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或代建人或招标代理机构存在控股或参股关系；</w:t>
      </w:r>
    </w:p>
    <w:p w14:paraId="13C139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（11）法律法规或投标人须知前附表规定的其他情形。</w:t>
      </w:r>
    </w:p>
    <w:p w14:paraId="429A9E4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 单位负责人为同一人或者存在控股、管理关系的不同单位，不得同时参加本招标项目投标。</w:t>
      </w:r>
    </w:p>
    <w:p w14:paraId="4FFDF0D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26" w:name="_Toc179632552"/>
      <w:bookmarkStart w:id="127" w:name="_Toc246996923"/>
      <w:bookmarkStart w:id="128" w:name="_Toc152042311"/>
      <w:bookmarkStart w:id="129" w:name="_Toc247085694"/>
      <w:bookmarkStart w:id="130" w:name="_Toc10179"/>
      <w:bookmarkStart w:id="131" w:name="_Toc152045535"/>
      <w:bookmarkStart w:id="132" w:name="_Toc15058851"/>
      <w:bookmarkStart w:id="133" w:name="_Toc35425058"/>
      <w:bookmarkStart w:id="134" w:name="_Toc144974503"/>
      <w:bookmarkStart w:id="135" w:name="_Toc78803327"/>
      <w:bookmarkStart w:id="136" w:name="_Toc506107274"/>
      <w:bookmarkStart w:id="137" w:name="_Toc324404820"/>
      <w:bookmarkStart w:id="138" w:name="_Toc246996180"/>
      <w:bookmarkStart w:id="139" w:name="_Toc35424892"/>
      <w:bookmarkStart w:id="140" w:name="_Toc296602425"/>
      <w:r>
        <w:rPr>
          <w:rFonts w:hint="eastAsia" w:ascii="宋体" w:hAnsi="宋体" w:eastAsia="宋体" w:cs="宋体"/>
          <w:color w:val="auto"/>
          <w:highlight w:val="none"/>
        </w:rPr>
        <w:t>1.5 费用承担</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2B0F76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67CFF818">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41" w:name="_Toc246996924"/>
      <w:bookmarkStart w:id="142" w:name="_Toc296602426"/>
      <w:bookmarkStart w:id="143" w:name="_Toc152042312"/>
      <w:bookmarkStart w:id="144" w:name="_Toc15058852"/>
      <w:bookmarkStart w:id="145" w:name="_Toc4092"/>
      <w:bookmarkStart w:id="146" w:name="_Toc179632553"/>
      <w:bookmarkStart w:id="147" w:name="_Toc246996181"/>
      <w:bookmarkStart w:id="148" w:name="_Toc35424893"/>
      <w:bookmarkStart w:id="149" w:name="_Toc324404821"/>
      <w:bookmarkStart w:id="150" w:name="_Toc78803328"/>
      <w:bookmarkStart w:id="151" w:name="_Toc152045536"/>
      <w:bookmarkStart w:id="152" w:name="_Toc144974504"/>
      <w:bookmarkStart w:id="153" w:name="_Toc35425059"/>
      <w:bookmarkStart w:id="154" w:name="_Toc506107275"/>
      <w:bookmarkStart w:id="155" w:name="_Toc247085695"/>
      <w:r>
        <w:rPr>
          <w:rFonts w:hint="eastAsia" w:ascii="宋体" w:hAnsi="宋体" w:eastAsia="宋体" w:cs="宋体"/>
          <w:color w:val="auto"/>
          <w:highlight w:val="none"/>
        </w:rPr>
        <w:t>1.6 保密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2CA0599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14:paraId="2FEA980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56" w:name="_Toc144974505"/>
      <w:bookmarkStart w:id="157" w:name="_Toc247085696"/>
      <w:bookmarkStart w:id="158" w:name="_Toc246996925"/>
      <w:bookmarkStart w:id="159" w:name="_Toc4119"/>
      <w:bookmarkStart w:id="160" w:name="_Toc179632554"/>
      <w:bookmarkStart w:id="161" w:name="_Toc152042313"/>
      <w:bookmarkStart w:id="162" w:name="_Toc35424894"/>
      <w:bookmarkStart w:id="163" w:name="_Toc15058853"/>
      <w:bookmarkStart w:id="164" w:name="_Toc35425060"/>
      <w:bookmarkStart w:id="165" w:name="_Toc296602427"/>
      <w:bookmarkStart w:id="166" w:name="_Toc506107276"/>
      <w:bookmarkStart w:id="167" w:name="_Toc152045537"/>
      <w:bookmarkStart w:id="168" w:name="_Toc324404822"/>
      <w:bookmarkStart w:id="169" w:name="_Toc78803329"/>
      <w:bookmarkStart w:id="170" w:name="_Toc246996182"/>
      <w:r>
        <w:rPr>
          <w:rFonts w:hint="eastAsia" w:ascii="宋体" w:hAnsi="宋体" w:eastAsia="宋体" w:cs="宋体"/>
          <w:color w:val="auto"/>
          <w:highlight w:val="none"/>
        </w:rPr>
        <w:t>1.7 语言</w:t>
      </w:r>
      <w:bookmarkEnd w:id="156"/>
      <w:r>
        <w:rPr>
          <w:rFonts w:hint="eastAsia" w:ascii="宋体" w:hAnsi="宋体" w:eastAsia="宋体" w:cs="宋体"/>
          <w:color w:val="auto"/>
          <w:highlight w:val="none"/>
        </w:rPr>
        <w:t>文字</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1FF1A6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171" w:name="_Toc144974506"/>
      <w:bookmarkStart w:id="172" w:name="_Toc152042314"/>
      <w:bookmarkStart w:id="173" w:name="_Toc179632555"/>
      <w:bookmarkStart w:id="174" w:name="_Toc246996183"/>
      <w:bookmarkStart w:id="175" w:name="_Toc152045538"/>
      <w:bookmarkStart w:id="176" w:name="_Toc246996926"/>
      <w:bookmarkStart w:id="177" w:name="_Toc247085697"/>
      <w:r>
        <w:rPr>
          <w:rFonts w:hint="eastAsia" w:ascii="宋体" w:hAnsi="宋体" w:cs="宋体"/>
          <w:color w:val="auto"/>
          <w:szCs w:val="21"/>
          <w:highlight w:val="none"/>
        </w:rPr>
        <w:t>招标投标文件使用的语言文字为中文。专用术语使用外文的，应附有中文注释。</w:t>
      </w:r>
    </w:p>
    <w:p w14:paraId="7C9FFA69">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78" w:name="_Toc324404823"/>
      <w:bookmarkStart w:id="179" w:name="_Toc78803330"/>
      <w:bookmarkStart w:id="180" w:name="_Toc35424895"/>
      <w:bookmarkStart w:id="181" w:name="_Toc506107277"/>
      <w:bookmarkStart w:id="182" w:name="_Toc296602428"/>
      <w:bookmarkStart w:id="183" w:name="_Toc13408"/>
      <w:bookmarkStart w:id="184" w:name="_Toc15058854"/>
      <w:bookmarkStart w:id="185" w:name="_Toc35425061"/>
      <w:r>
        <w:rPr>
          <w:rFonts w:hint="eastAsia" w:ascii="宋体" w:hAnsi="宋体" w:eastAsia="宋体" w:cs="宋体"/>
          <w:color w:val="auto"/>
          <w:highlight w:val="none"/>
        </w:rPr>
        <w:t>1.8 计量单位</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6C0EF1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33885FC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86" w:name="_Toc152045539"/>
      <w:bookmarkStart w:id="187" w:name="_Toc78803331"/>
      <w:bookmarkStart w:id="188" w:name="_Toc324404824"/>
      <w:bookmarkStart w:id="189" w:name="_Toc247592876"/>
      <w:bookmarkStart w:id="190" w:name="_Toc144974507"/>
      <w:bookmarkStart w:id="191" w:name="_Toc35424896"/>
      <w:bookmarkStart w:id="192" w:name="_Toc15058855"/>
      <w:bookmarkStart w:id="193" w:name="_Toc247527563"/>
      <w:bookmarkStart w:id="194" w:name="_Toc11493"/>
      <w:bookmarkStart w:id="195" w:name="_Toc296602429"/>
      <w:bookmarkStart w:id="196" w:name="_Toc35425062"/>
      <w:bookmarkStart w:id="197" w:name="_Toc506107278"/>
      <w:bookmarkStart w:id="198" w:name="_Toc247513962"/>
      <w:bookmarkStart w:id="199" w:name="_Toc152042315"/>
      <w:r>
        <w:rPr>
          <w:rFonts w:hint="eastAsia" w:ascii="宋体" w:hAnsi="宋体" w:eastAsia="宋体" w:cs="宋体"/>
          <w:color w:val="auto"/>
          <w:highlight w:val="none"/>
        </w:rPr>
        <w:t>1.9 踏勘现场</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1D6D26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4DF2728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3BC2D19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5DDB3D7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53074F7D">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00" w:name="_Toc22954"/>
      <w:bookmarkStart w:id="201" w:name="_Toc152042316"/>
      <w:bookmarkStart w:id="202" w:name="_Toc78803332"/>
      <w:bookmarkStart w:id="203" w:name="_Toc506107279"/>
      <w:bookmarkStart w:id="204" w:name="_Toc247592877"/>
      <w:bookmarkStart w:id="205" w:name="_Toc324404825"/>
      <w:bookmarkStart w:id="206" w:name="_Toc15058856"/>
      <w:bookmarkStart w:id="207" w:name="_Toc296602430"/>
      <w:bookmarkStart w:id="208" w:name="_Toc152045540"/>
      <w:bookmarkStart w:id="209" w:name="_Toc144974508"/>
      <w:bookmarkStart w:id="210" w:name="_Toc35424897"/>
      <w:bookmarkStart w:id="211" w:name="_Toc247527564"/>
      <w:bookmarkStart w:id="212" w:name="_Toc247513963"/>
      <w:bookmarkStart w:id="213" w:name="_Toc35425063"/>
      <w:r>
        <w:rPr>
          <w:rFonts w:hint="eastAsia" w:ascii="宋体" w:hAnsi="宋体" w:eastAsia="宋体" w:cs="宋体"/>
          <w:color w:val="auto"/>
          <w:highlight w:val="none"/>
        </w:rPr>
        <w:t>1.10 投标预备会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A029E08">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70247C9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1.10.2投标人应在投标人须知前附表规定的时间前，将提出的问题</w:t>
      </w:r>
      <w:r>
        <w:rPr>
          <w:rFonts w:hint="eastAsia" w:ascii="宋体" w:hAnsi="宋体" w:cs="宋体"/>
          <w:color w:val="auto"/>
          <w:szCs w:val="21"/>
          <w:highlight w:val="none"/>
          <w:lang w:val="en-US" w:eastAsia="zh-CN"/>
        </w:rPr>
        <w:t>提出</w:t>
      </w:r>
      <w:r>
        <w:rPr>
          <w:rFonts w:hint="eastAsia" w:ascii="宋体" w:hAnsi="宋体" w:cs="宋体"/>
          <w:color w:val="auto"/>
          <w:szCs w:val="21"/>
          <w:highlight w:val="none"/>
        </w:rPr>
        <w:t>，以便招标人澄清。</w:t>
      </w:r>
    </w:p>
    <w:p w14:paraId="0FE1F1D4">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1.10.3招标人在投标人须知前附表规定的时间，将对投标人所提的问题进行澄清。该澄清内容为招标文件的组成部分。</w:t>
      </w:r>
    </w:p>
    <w:p w14:paraId="7C382A0D">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14" w:name="_Toc506107280"/>
      <w:bookmarkStart w:id="215" w:name="_Toc324404826"/>
      <w:bookmarkStart w:id="216" w:name="_Toc296602431"/>
      <w:bookmarkStart w:id="217" w:name="_Toc15058857"/>
      <w:bookmarkStart w:id="218" w:name="_Toc83301699"/>
      <w:bookmarkStart w:id="219" w:name="_Toc95223347"/>
      <w:bookmarkStart w:id="220" w:name="_Toc60061444"/>
      <w:bookmarkStart w:id="221" w:name="_Toc144974510"/>
      <w:bookmarkStart w:id="222" w:name="_Toc179632560"/>
      <w:bookmarkStart w:id="223" w:name="_Toc246996930"/>
      <w:bookmarkStart w:id="224" w:name="_Toc152045542"/>
      <w:bookmarkStart w:id="225" w:name="_Toc35424899"/>
      <w:bookmarkStart w:id="226" w:name="_Toc506107281"/>
      <w:bookmarkStart w:id="227" w:name="_Toc15058858"/>
      <w:bookmarkStart w:id="228" w:name="_Toc246996187"/>
      <w:bookmarkStart w:id="229" w:name="_Toc152042318"/>
      <w:bookmarkStart w:id="230" w:name="_Toc35425065"/>
      <w:bookmarkStart w:id="231" w:name="_Toc324404827"/>
      <w:bookmarkStart w:id="232" w:name="_Toc78803334"/>
      <w:bookmarkStart w:id="233" w:name="_Toc4012"/>
      <w:bookmarkStart w:id="234" w:name="_Toc247085701"/>
      <w:r>
        <w:rPr>
          <w:rFonts w:hint="eastAsia" w:ascii="宋体" w:hAnsi="宋体" w:eastAsia="宋体" w:cs="宋体"/>
          <w:color w:val="auto"/>
          <w:highlight w:val="none"/>
        </w:rPr>
        <w:t xml:space="preserve">1.11 </w:t>
      </w:r>
      <w:bookmarkEnd w:id="214"/>
      <w:bookmarkEnd w:id="215"/>
      <w:bookmarkEnd w:id="216"/>
      <w:bookmarkEnd w:id="217"/>
      <w:r>
        <w:rPr>
          <w:rFonts w:hint="eastAsia" w:ascii="宋体" w:hAnsi="宋体" w:eastAsia="宋体" w:cs="宋体"/>
          <w:color w:val="auto"/>
          <w:highlight w:val="none"/>
        </w:rPr>
        <w:t>分包</w:t>
      </w:r>
      <w:bookmarkEnd w:id="218"/>
      <w:bookmarkEnd w:id="219"/>
      <w:bookmarkEnd w:id="220"/>
    </w:p>
    <w:p w14:paraId="7837B3C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1.11.1 投标人拟在中标后将中标项目的部分非主体、非关键性工作进行分包的，应符合以下规定：</w:t>
      </w:r>
    </w:p>
    <w:p w14:paraId="03AD7C8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（1）分包内容要求：招标人允许分包或不允许分包的专业工程（如有）应在投标人须知前附表中载明；</w:t>
      </w:r>
    </w:p>
    <w:p w14:paraId="5C9E600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（2）接受分包的第三人资格要求：分包人的资格能力应与其分包工程的标准和规模相适应，且具备投标人须知前附表中规定的资格条件；</w:t>
      </w:r>
    </w:p>
    <w:p w14:paraId="34E1BBC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（3）其他要求：</w:t>
      </w:r>
      <w:r>
        <w:rPr>
          <w:rFonts w:hint="eastAsia" w:ascii="宋体" w:hAnsi="宋体" w:cs="宋体"/>
          <w:color w:val="auto"/>
          <w:szCs w:val="21"/>
          <w:highlight w:val="none"/>
          <w:lang w:val="en-US" w:eastAsia="zh-CN"/>
        </w:rPr>
        <w:t>无。</w:t>
      </w:r>
    </w:p>
    <w:p w14:paraId="3A66F76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1.11.2中标人不得向他人转让中标项目，接受分包的人不得再次分包。中标人应就分包项目向招标人负责，接受分包的人就分包项目承担连带责任。</w:t>
      </w:r>
    </w:p>
    <w:p w14:paraId="6AFF7C9C">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35" w:name="_Toc83301700"/>
      <w:bookmarkStart w:id="236" w:name="_Toc60061445"/>
      <w:bookmarkStart w:id="237" w:name="_Toc95223348"/>
      <w:r>
        <w:rPr>
          <w:rFonts w:hint="eastAsia" w:ascii="宋体" w:hAnsi="宋体" w:eastAsia="宋体" w:cs="宋体"/>
          <w:color w:val="auto"/>
          <w:highlight w:val="none"/>
        </w:rPr>
        <w:t>1.12 偏离</w:t>
      </w:r>
      <w:bookmarkEnd w:id="235"/>
      <w:bookmarkEnd w:id="236"/>
      <w:bookmarkEnd w:id="237"/>
    </w:p>
    <w:p w14:paraId="5480385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1.12.1投标文件偏离招标文件某些要求，视为投标文件存在偏差。偏差包括重大偏差和细微偏差。</w:t>
      </w:r>
    </w:p>
    <w:p w14:paraId="1C5851B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1.12.2投标文件应对招标文件的实质性要求和条件作出满足性或更有利于招标人的响应，否则，视为投标文件存在重大偏差，投标人的投标将被否决。</w:t>
      </w:r>
    </w:p>
    <w:p w14:paraId="080B599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章“评标办法”中所列任一无效投标情形的，均属于存在重大偏差。</w:t>
      </w:r>
    </w:p>
    <w:p w14:paraId="11847C0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1.12.3投标文件中的下列偏差为细微偏差：</w:t>
      </w:r>
    </w:p>
    <w:p w14:paraId="2FA3AA7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章“评标办法”规定的算术性错误和投标报价的其他错误；</w:t>
      </w:r>
    </w:p>
    <w:p w14:paraId="28723CA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024658F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1.12.4评标委员会对投标文件中的细微偏差按如下规定处理：</w:t>
      </w:r>
    </w:p>
    <w:p w14:paraId="1541DDA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项（1）目所述的细微偏差，按照第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章“评标办法”的规定予以修正并要求投标人进行澄清；</w:t>
      </w:r>
    </w:p>
    <w:p w14:paraId="617AE5C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项（2）目所述的细微偏差，可要求投标人对细微偏差进行澄清。</w:t>
      </w:r>
    </w:p>
    <w:p w14:paraId="358DFFD3">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5F5B26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38" w:name="_Toc152045543"/>
      <w:bookmarkStart w:id="239" w:name="_Toc152042319"/>
      <w:bookmarkStart w:id="240" w:name="_Toc179632561"/>
      <w:bookmarkStart w:id="241" w:name="_Toc78803335"/>
      <w:bookmarkStart w:id="242" w:name="_Toc15058859"/>
      <w:bookmarkStart w:id="243" w:name="_Toc13213"/>
      <w:bookmarkStart w:id="244" w:name="_Toc296602433"/>
      <w:bookmarkStart w:id="245" w:name="_Toc35425066"/>
      <w:bookmarkStart w:id="246" w:name="_Toc324404828"/>
      <w:bookmarkStart w:id="247" w:name="_Toc35424900"/>
      <w:bookmarkStart w:id="248" w:name="_Toc246996188"/>
      <w:bookmarkStart w:id="249" w:name="_Toc247085702"/>
      <w:bookmarkStart w:id="250" w:name="_Toc246996931"/>
      <w:bookmarkStart w:id="251" w:name="_Toc144974511"/>
      <w:bookmarkStart w:id="252" w:name="_Toc506107282"/>
      <w:r>
        <w:rPr>
          <w:rFonts w:hint="eastAsia" w:ascii="宋体" w:hAnsi="宋体" w:eastAsia="宋体" w:cs="宋体"/>
          <w:color w:val="auto"/>
          <w:highlight w:val="none"/>
        </w:rPr>
        <w:t>2.1 招标文件的组成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4BC5F8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本招标文件包括：</w:t>
      </w:r>
    </w:p>
    <w:p w14:paraId="18F4CF6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0C268AC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0F65443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（3）资格审查办法</w:t>
      </w:r>
    </w:p>
    <w:p w14:paraId="118E628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14:paraId="22D67F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（5）合同条款及格式；</w:t>
      </w:r>
    </w:p>
    <w:p w14:paraId="234F153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（6）工程量清单； </w:t>
      </w:r>
    </w:p>
    <w:p w14:paraId="66887BF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本项目无</w:t>
      </w:r>
      <w:r>
        <w:rPr>
          <w:rFonts w:hint="eastAsia" w:ascii="宋体" w:hAnsi="宋体" w:cs="宋体"/>
          <w:color w:val="auto"/>
          <w:szCs w:val="21"/>
          <w:highlight w:val="none"/>
          <w:lang w:eastAsia="zh-CN"/>
        </w:rPr>
        <w:t>）</w:t>
      </w:r>
    </w:p>
    <w:p w14:paraId="264F900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技术标准和要求</w:t>
      </w:r>
      <w:r>
        <w:rPr>
          <w:rFonts w:hint="eastAsia" w:ascii="宋体" w:hAnsi="宋体" w:cs="宋体"/>
          <w:color w:val="auto"/>
          <w:szCs w:val="21"/>
          <w:highlight w:val="none"/>
          <w:lang w:val="en-US" w:eastAsia="zh-CN"/>
        </w:rPr>
        <w:t>；</w:t>
      </w:r>
    </w:p>
    <w:p w14:paraId="691BDAA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）投标文件格式；</w:t>
      </w:r>
    </w:p>
    <w:p w14:paraId="24C8533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）投标人须知前附表规定的其他材料。</w:t>
      </w:r>
    </w:p>
    <w:p w14:paraId="4079D4D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根据本章第1.10款、第2.2款和第2.3款对招标文件所作的澄清、修改，构成招标文件的组成部分。</w:t>
      </w:r>
    </w:p>
    <w:p w14:paraId="65A63B1E">
      <w:pPr>
        <w:pStyle w:val="21"/>
        <w:pageBreakBefore w:val="0"/>
        <w:widowControl w:val="0"/>
        <w:kinsoku/>
        <w:wordWrap/>
        <w:overflowPunct/>
        <w:topLinePunct w:val="0"/>
        <w:autoSpaceDE/>
        <w:autoSpaceDN/>
        <w:bidi w:val="0"/>
        <w:adjustRightInd w:val="0"/>
        <w:snapToGrid w:val="0"/>
        <w:spacing w:after="0" w:line="420" w:lineRule="exact"/>
        <w:ind w:firstLine="420" w:firstLineChars="200"/>
        <w:textAlignment w:val="auto"/>
        <w:rPr>
          <w:color w:val="auto"/>
          <w:highlight w:val="none"/>
        </w:rPr>
      </w:pPr>
      <w:r>
        <w:rPr>
          <w:rFonts w:hint="eastAsia" w:ascii="宋体" w:hAnsi="宋体" w:cs="宋体"/>
          <w:color w:val="auto"/>
          <w:szCs w:val="21"/>
          <w:highlight w:val="none"/>
        </w:rPr>
        <w:t>2.1.3当招标文件、招标文件的澄清或修改等在同一内容的表述上不一致时，以最后发出的文件为准。</w:t>
      </w:r>
    </w:p>
    <w:p w14:paraId="0070C634">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53" w:name="_Toc35425067"/>
      <w:bookmarkStart w:id="254" w:name="_Toc296602434"/>
      <w:bookmarkStart w:id="255" w:name="_Toc506107283"/>
      <w:bookmarkStart w:id="256" w:name="_Toc246996932"/>
      <w:bookmarkStart w:id="257" w:name="_Toc179632562"/>
      <w:bookmarkStart w:id="258" w:name="_Toc246996189"/>
      <w:bookmarkStart w:id="259" w:name="_Toc78803336"/>
      <w:bookmarkStart w:id="260" w:name="_Toc32239"/>
      <w:bookmarkStart w:id="261" w:name="_Toc15058860"/>
      <w:bookmarkStart w:id="262" w:name="_Toc324404829"/>
      <w:bookmarkStart w:id="263" w:name="_Toc152042320"/>
      <w:bookmarkStart w:id="264" w:name="_Toc144974512"/>
      <w:bookmarkStart w:id="265" w:name="_Toc152045544"/>
      <w:bookmarkStart w:id="266" w:name="_Toc247085703"/>
      <w:bookmarkStart w:id="267" w:name="_Toc35424901"/>
      <w:r>
        <w:rPr>
          <w:rFonts w:hint="eastAsia" w:ascii="宋体" w:hAnsi="宋体" w:eastAsia="宋体" w:cs="宋体"/>
          <w:color w:val="auto"/>
          <w:highlight w:val="none"/>
        </w:rPr>
        <w:t>2.2 招标文件的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eastAsia="宋体" w:cs="宋体"/>
          <w:color w:val="auto"/>
          <w:highlight w:val="none"/>
          <w:lang w:val="en-US" w:eastAsia="zh-CN"/>
        </w:rPr>
        <w:t>异议</w:t>
      </w:r>
    </w:p>
    <w:p w14:paraId="3187D79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见投标须知前附表。</w:t>
      </w:r>
    </w:p>
    <w:p w14:paraId="6B618D2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68" w:name="_Toc246996190"/>
      <w:bookmarkStart w:id="269" w:name="_Toc78803337"/>
      <w:bookmarkStart w:id="270" w:name="_Toc35425068"/>
      <w:bookmarkStart w:id="271" w:name="_Toc506107284"/>
      <w:bookmarkStart w:id="272" w:name="_Toc24633"/>
      <w:bookmarkStart w:id="273" w:name="_Toc35424902"/>
      <w:bookmarkStart w:id="274" w:name="_Toc324404830"/>
      <w:bookmarkStart w:id="275" w:name="_Toc152042321"/>
      <w:bookmarkStart w:id="276" w:name="_Toc179632563"/>
      <w:bookmarkStart w:id="277" w:name="_Toc246996933"/>
      <w:bookmarkStart w:id="278" w:name="_Toc152045545"/>
      <w:bookmarkStart w:id="279" w:name="_Toc144974513"/>
      <w:bookmarkStart w:id="280" w:name="_Toc15058861"/>
      <w:bookmarkStart w:id="281" w:name="_Toc296602435"/>
      <w:bookmarkStart w:id="282" w:name="_Toc247085704"/>
      <w:r>
        <w:rPr>
          <w:rFonts w:hint="eastAsia" w:ascii="宋体" w:hAnsi="宋体" w:eastAsia="宋体" w:cs="宋体"/>
          <w:color w:val="auto"/>
          <w:highlight w:val="none"/>
        </w:rPr>
        <w:t>2.3 招标文件的</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hint="eastAsia" w:ascii="宋体" w:hAnsi="宋体" w:eastAsia="宋体" w:cs="宋体"/>
          <w:color w:val="auto"/>
          <w:highlight w:val="none"/>
          <w:lang w:val="en-US" w:eastAsia="zh-CN"/>
        </w:rPr>
        <w:t>澄清</w:t>
      </w:r>
    </w:p>
    <w:p w14:paraId="0274584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见投标须知前附表。</w:t>
      </w:r>
    </w:p>
    <w:p w14:paraId="38A549FA">
      <w:pPr>
        <w:pageBreakBefore w:val="0"/>
        <w:widowControl w:val="0"/>
        <w:kinsoku/>
        <w:wordWrap/>
        <w:overflowPunct/>
        <w:topLinePunct w:val="0"/>
        <w:autoSpaceDE/>
        <w:autoSpaceDN/>
        <w:bidi w:val="0"/>
        <w:spacing w:beforeLines="50" w:afterLines="50" w:line="420" w:lineRule="exact"/>
        <w:ind w:firstLine="422" w:firstLineChars="200"/>
        <w:textAlignment w:val="auto"/>
        <w:rPr>
          <w:rFonts w:hint="eastAsia" w:ascii="宋体" w:hAnsi="宋体" w:eastAsia="宋体" w:cs="宋体"/>
          <w:b/>
          <w:bCs/>
          <w:color w:val="auto"/>
          <w:sz w:val="21"/>
          <w:szCs w:val="32"/>
          <w:highlight w:val="none"/>
        </w:rPr>
      </w:pPr>
      <w:bookmarkStart w:id="283" w:name="_Toc506107285"/>
      <w:bookmarkStart w:id="284" w:name="_Toc144974514"/>
      <w:bookmarkStart w:id="285" w:name="_Toc246996191"/>
      <w:bookmarkStart w:id="286" w:name="_Toc247085705"/>
      <w:bookmarkStart w:id="287" w:name="_Toc15058863"/>
      <w:bookmarkStart w:id="288" w:name="_Toc152042322"/>
      <w:bookmarkStart w:id="289" w:name="_Toc324404832"/>
      <w:bookmarkStart w:id="290" w:name="_Toc35424904"/>
      <w:bookmarkStart w:id="291" w:name="_Toc179632564"/>
      <w:bookmarkStart w:id="292" w:name="_Toc152045546"/>
      <w:bookmarkStart w:id="293" w:name="_Toc246996934"/>
      <w:bookmarkStart w:id="294" w:name="_Toc35425070"/>
      <w:bookmarkStart w:id="295" w:name="_Toc6464"/>
      <w:bookmarkStart w:id="296" w:name="_Toc78803339"/>
      <w:r>
        <w:rPr>
          <w:rFonts w:hint="eastAsia" w:ascii="宋体" w:hAnsi="宋体" w:eastAsia="宋体" w:cs="宋体"/>
          <w:b/>
          <w:bCs/>
          <w:color w:val="auto"/>
          <w:sz w:val="21"/>
          <w:szCs w:val="32"/>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02C4CA0A">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97" w:name="_Toc78803340"/>
      <w:bookmarkStart w:id="298" w:name="_Toc247085706"/>
      <w:bookmarkStart w:id="299" w:name="_Toc246996192"/>
      <w:bookmarkStart w:id="300" w:name="_Toc296602437"/>
      <w:bookmarkStart w:id="301" w:name="_Toc35425071"/>
      <w:bookmarkStart w:id="302" w:name="_Toc15058864"/>
      <w:bookmarkStart w:id="303" w:name="_Toc246996935"/>
      <w:bookmarkStart w:id="304" w:name="_Toc179632565"/>
      <w:bookmarkStart w:id="305" w:name="_Toc35424905"/>
      <w:bookmarkStart w:id="306" w:name="_Toc324404833"/>
      <w:bookmarkStart w:id="307" w:name="_Toc506107286"/>
      <w:bookmarkStart w:id="308" w:name="_Toc144974515"/>
      <w:bookmarkStart w:id="309" w:name="_Toc157"/>
      <w:bookmarkStart w:id="310" w:name="_Toc152042323"/>
      <w:bookmarkStart w:id="311" w:name="_Toc152045547"/>
      <w:r>
        <w:rPr>
          <w:rFonts w:hint="eastAsia" w:ascii="宋体" w:hAnsi="宋体" w:eastAsia="宋体" w:cs="宋体"/>
          <w:color w:val="auto"/>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5E8E653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投标文件的具体组成部分及材料要求详见本招标文件第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章“投标文件格式”。</w:t>
      </w:r>
    </w:p>
    <w:p w14:paraId="5DDCD9A1">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12" w:name="_Toc179632566"/>
      <w:bookmarkStart w:id="313" w:name="_Toc15058865"/>
      <w:bookmarkStart w:id="314" w:name="_Toc35424906"/>
      <w:bookmarkStart w:id="315" w:name="_Toc247085707"/>
      <w:bookmarkStart w:id="316" w:name="_Toc152042324"/>
      <w:bookmarkStart w:id="317" w:name="_Toc35425072"/>
      <w:bookmarkStart w:id="318" w:name="_Toc144974516"/>
      <w:bookmarkStart w:id="319" w:name="_Toc246996193"/>
      <w:bookmarkStart w:id="320" w:name="_Toc78803341"/>
      <w:bookmarkStart w:id="321" w:name="_Toc246996936"/>
      <w:bookmarkStart w:id="322" w:name="_Toc324404834"/>
      <w:bookmarkStart w:id="323" w:name="_Toc152045548"/>
      <w:bookmarkStart w:id="324" w:name="_Toc6829"/>
      <w:bookmarkStart w:id="325" w:name="_Toc506107287"/>
      <w:bookmarkStart w:id="326" w:name="_Toc296602438"/>
      <w:r>
        <w:rPr>
          <w:rFonts w:hint="eastAsia" w:ascii="宋体" w:hAnsi="宋体" w:eastAsia="宋体" w:cs="宋体"/>
          <w:color w:val="auto"/>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04A0055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327" w:name="_Toc152045549"/>
      <w:bookmarkStart w:id="328" w:name="_Toc246996194"/>
      <w:bookmarkStart w:id="329" w:name="_Toc246996937"/>
      <w:bookmarkStart w:id="330" w:name="_Toc179632567"/>
      <w:bookmarkStart w:id="331" w:name="_Toc35424907"/>
      <w:bookmarkStart w:id="332" w:name="_Toc15058866"/>
      <w:bookmarkStart w:id="333" w:name="_Toc31735"/>
      <w:bookmarkStart w:id="334" w:name="_Toc324404835"/>
      <w:bookmarkStart w:id="335" w:name="_Toc152042325"/>
      <w:bookmarkStart w:id="336" w:name="_Toc78803342"/>
      <w:bookmarkStart w:id="337" w:name="_Toc247085708"/>
      <w:bookmarkStart w:id="338" w:name="_Toc296602439"/>
      <w:bookmarkStart w:id="339" w:name="_Toc35425073"/>
      <w:bookmarkStart w:id="340" w:name="_Toc144974517"/>
      <w:bookmarkStart w:id="341" w:name="_Toc506107288"/>
      <w:r>
        <w:rPr>
          <w:rFonts w:hint="eastAsia" w:ascii="宋体" w:hAnsi="宋体" w:eastAsia="宋体" w:cs="宋体"/>
          <w:color w:val="auto"/>
          <w:szCs w:val="21"/>
          <w:highlight w:val="none"/>
        </w:rPr>
        <w:t>3.2.1投标报价应包括国家规定的增值税税金，除投标人须知前附表另有规定外，增值税税金按一般计税方法计算。投标人应按第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章“投标文件格式”的要求在投标函中进行报价并填写工程量清单相应表格。</w:t>
      </w:r>
    </w:p>
    <w:p w14:paraId="1A786CE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3.2.2投标人应充分了解本项目的总体情况以及影响投标报价的其他要素。</w:t>
      </w:r>
    </w:p>
    <w:p w14:paraId="22D771B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3.2.3招标人设有最高投标限价的，投标人的投标报价不得超过最高投标限价，最高投标限价在投标人须知前附表中载明。</w:t>
      </w:r>
    </w:p>
    <w:p w14:paraId="045587B6">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106687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除投标人须知前附表另有规定外，投标有效期为90天。</w:t>
      </w:r>
    </w:p>
    <w:p w14:paraId="49557EFD">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14:paraId="2D5D5CE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50503EB">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342" w:name="_Toc247085709"/>
      <w:bookmarkStart w:id="343" w:name="_Toc152042326"/>
      <w:bookmarkStart w:id="344" w:name="_Toc324404836"/>
      <w:bookmarkStart w:id="345" w:name="_Toc152045550"/>
      <w:bookmarkStart w:id="346" w:name="_Toc246996195"/>
      <w:bookmarkStart w:id="347" w:name="_Toc144974518"/>
      <w:bookmarkStart w:id="348" w:name="_Toc296602440"/>
      <w:bookmarkStart w:id="349" w:name="_Toc10714"/>
      <w:bookmarkStart w:id="350" w:name="_Toc78803343"/>
      <w:bookmarkStart w:id="351" w:name="_Toc35424908"/>
      <w:bookmarkStart w:id="352" w:name="_Toc506107289"/>
      <w:bookmarkStart w:id="353" w:name="_Toc15058867"/>
      <w:bookmarkStart w:id="354" w:name="_Toc179632568"/>
      <w:bookmarkStart w:id="355" w:name="_Toc246996938"/>
      <w:bookmarkStart w:id="356" w:name="_Toc35425074"/>
      <w:r>
        <w:rPr>
          <w:rFonts w:hint="eastAsia" w:ascii="宋体" w:hAnsi="宋体" w:eastAsia="宋体" w:cs="宋体"/>
          <w:color w:val="auto"/>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A48B36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投标人须知前附表规定递交投标保证金的，投标人在递交投标文件的同时，应按投标人须知前附表规定的金额、担保形式规定的或者事先经过招标人认可的保证金格式递交保证金，并作为其投标文件的组成部分。联合体投标的，其投标保证金由牵头人递交，并应符合投标人须知前附表的规定。</w:t>
      </w:r>
    </w:p>
    <w:p w14:paraId="4F60BE2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采取何种形式的投标保证金，投标保证金有效期均应与投标有效期一致（采用保函的保证期截止时间不得早于该项目投标有效期的截止时间）。招标人如果按本章第3.3.3项的规定延长了投标有效期，则投标保证金的有效期也相应延长。</w:t>
      </w:r>
    </w:p>
    <w:p w14:paraId="0EDA545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投标人不按本章第3.4.1项要求提交投标保证金的，评标委员会将否决其投标。</w:t>
      </w:r>
    </w:p>
    <w:p w14:paraId="511D9C0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有下列情形之一的，投标保证金将不予退还： </w:t>
      </w:r>
    </w:p>
    <w:p w14:paraId="54883C1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0EE7E816">
      <w:pPr>
        <w:pageBreakBefore w:val="0"/>
        <w:widowControl w:val="0"/>
        <w:kinsoku/>
        <w:wordWrap/>
        <w:overflowPunct/>
        <w:topLinePunct w:val="0"/>
        <w:autoSpaceDE/>
        <w:autoSpaceDN/>
        <w:bidi w:val="0"/>
        <w:spacing w:line="42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5195456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57" w:name="_Toc19037"/>
      <w:bookmarkStart w:id="358" w:name="_Toc296602442"/>
      <w:bookmarkStart w:id="359" w:name="_Toc78803344"/>
      <w:bookmarkStart w:id="360" w:name="_Toc506107290"/>
      <w:bookmarkStart w:id="361" w:name="_Toc324404837"/>
      <w:bookmarkStart w:id="362" w:name="_Toc35424909"/>
      <w:bookmarkStart w:id="363" w:name="_Toc15058868"/>
      <w:bookmarkStart w:id="364" w:name="_Toc35425075"/>
      <w:bookmarkStart w:id="365" w:name="_Toc247085711"/>
      <w:bookmarkStart w:id="366" w:name="_Toc246996197"/>
      <w:bookmarkStart w:id="367" w:name="_Toc152042329"/>
      <w:bookmarkStart w:id="368" w:name="_Toc179632571"/>
      <w:bookmarkStart w:id="369" w:name="_Toc144974521"/>
      <w:bookmarkStart w:id="370" w:name="_Toc152045553"/>
      <w:bookmarkStart w:id="371" w:name="_Toc246996940"/>
      <w:r>
        <w:rPr>
          <w:rFonts w:hint="eastAsia" w:ascii="宋体" w:hAnsi="宋体" w:eastAsia="宋体" w:cs="宋体"/>
          <w:color w:val="auto"/>
          <w:highlight w:val="none"/>
        </w:rPr>
        <w:t>3.5投标文件的编制</w:t>
      </w:r>
      <w:bookmarkEnd w:id="357"/>
      <w:bookmarkEnd w:id="358"/>
      <w:bookmarkEnd w:id="359"/>
      <w:bookmarkEnd w:id="360"/>
      <w:bookmarkEnd w:id="361"/>
      <w:bookmarkEnd w:id="362"/>
      <w:bookmarkEnd w:id="363"/>
      <w:bookmarkEnd w:id="364"/>
    </w:p>
    <w:p w14:paraId="3B8209B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3.5.1投标文件应按第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bookmarkEnd w:id="365"/>
    <w:bookmarkEnd w:id="366"/>
    <w:bookmarkEnd w:id="367"/>
    <w:bookmarkEnd w:id="368"/>
    <w:bookmarkEnd w:id="369"/>
    <w:bookmarkEnd w:id="370"/>
    <w:bookmarkEnd w:id="371"/>
    <w:p w14:paraId="749A006B">
      <w:pPr>
        <w:adjustRightInd/>
        <w:snapToGrid/>
        <w:spacing w:line="420" w:lineRule="exact"/>
        <w:ind w:firstLine="420" w:firstLineChars="200"/>
        <w:jc w:val="left"/>
        <w:rPr>
          <w:rFonts w:hint="eastAsia" w:ascii="宋体" w:hAnsi="宋体" w:cs="宋体"/>
          <w:color w:val="auto"/>
          <w:szCs w:val="21"/>
          <w:highlight w:val="none"/>
        </w:rPr>
      </w:pPr>
      <w:bookmarkStart w:id="372" w:name="_Toc246996942"/>
      <w:bookmarkStart w:id="373" w:name="_Toc247085713"/>
      <w:bookmarkStart w:id="374" w:name="_Toc179632573"/>
      <w:bookmarkStart w:id="375" w:name="_Toc324404838"/>
      <w:bookmarkStart w:id="376" w:name="_Toc144974523"/>
      <w:bookmarkStart w:id="377" w:name="_Toc246996199"/>
      <w:bookmarkStart w:id="378" w:name="_Toc152045555"/>
      <w:bookmarkStart w:id="379" w:name="_Toc152042331"/>
      <w:r>
        <w:rPr>
          <w:rFonts w:hint="eastAsia" w:ascii="宋体" w:hAnsi="宋体" w:eastAsia="宋体" w:cs="宋体"/>
          <w:color w:val="auto"/>
          <w:szCs w:val="21"/>
          <w:highlight w:val="none"/>
        </w:rPr>
        <w:t>3.5.2</w:t>
      </w:r>
      <w:r>
        <w:rPr>
          <w:rFonts w:hint="eastAsia" w:ascii="宋体" w:hAnsi="宋体" w:cs="宋体"/>
          <w:color w:val="auto"/>
          <w:szCs w:val="21"/>
          <w:highlight w:val="none"/>
        </w:rPr>
        <w:t>本次投标不需要提供纸质投标文件，投标人应按照电子招标投标的要求，在投标人的电子系统中制作、签章、上传加密的电子投标文件。</w:t>
      </w:r>
    </w:p>
    <w:p w14:paraId="1D2F952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3.5.3投标文件应当对招标文件有关工期、投标有效期、质量要求、技术标准和要求、招标范围等实质性内容作出响应。</w:t>
      </w:r>
    </w:p>
    <w:p w14:paraId="14F1F5E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招标人有权核查投标人在投标文件中提供的资料，若在评标期间发现投标人提供了虚假资料，其投标将被否决；若在签订合同前发现作为中标候选人的投标人提供了虚假资料，招标人有权取消其中标资格；如果签订合同后发现中标人提供了虚假材料，招标人有权解除合同。同时招标人将投标人上述弄虚作假行为上报</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部门处理。</w:t>
      </w:r>
    </w:p>
    <w:p w14:paraId="2D1B1B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投标文件的制作应满足以下规定：</w:t>
      </w:r>
    </w:p>
    <w:p w14:paraId="6C357444">
      <w:pPr>
        <w:pageBreakBefore w:val="0"/>
        <w:widowControl w:val="0"/>
        <w:numPr>
          <w:ilvl w:val="0"/>
          <w:numId w:val="2"/>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招标文件中“签章”是指签字或盖章。在第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w:t>
      </w:r>
      <w:r>
        <w:rPr>
          <w:rFonts w:hint="eastAsia" w:ascii="宋体" w:hAnsi="宋体" w:cs="宋体"/>
          <w:color w:val="auto"/>
          <w:szCs w:val="21"/>
          <w:highlight w:val="none"/>
        </w:rPr>
        <w:t>中要求签章处，投标人应加盖投标人单位电子印章和法定代表人的个人电子印章/电子签名章或直接上传加盖投标人单位印章和法定代表人的印章（或签字）的原件彩色扫描件。</w:t>
      </w:r>
    </w:p>
    <w:p w14:paraId="163FAC5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4C16EA0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因投标人自身原因而导致投标文件无法</w:t>
      </w:r>
      <w:r>
        <w:rPr>
          <w:rFonts w:hint="eastAsia" w:ascii="宋体" w:hAnsi="宋体" w:eastAsia="宋体" w:cs="宋体"/>
          <w:color w:val="auto"/>
          <w:szCs w:val="21"/>
          <w:highlight w:val="none"/>
          <w:lang w:val="en-US" w:eastAsia="zh-CN"/>
        </w:rPr>
        <w:t>打开、读取</w:t>
      </w:r>
      <w:r>
        <w:rPr>
          <w:rFonts w:hint="eastAsia" w:ascii="宋体" w:hAnsi="宋体" w:eastAsia="宋体" w:cs="宋体"/>
          <w:color w:val="auto"/>
          <w:szCs w:val="21"/>
          <w:highlight w:val="none"/>
        </w:rPr>
        <w:t>，该投标视为无效投标，投标人自行承担由此导致的全部责任。</w:t>
      </w:r>
    </w:p>
    <w:p w14:paraId="656892A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投标人中标后须递交与网上电子投标文件完全一致的纸质版投标文件，在领取中标通知书时，一并递交给招标代理机构</w:t>
      </w:r>
      <w:r>
        <w:rPr>
          <w:rFonts w:hint="eastAsia" w:ascii="宋体" w:hAnsi="宋体" w:eastAsia="宋体" w:cs="宋体"/>
          <w:color w:val="auto"/>
          <w:szCs w:val="21"/>
          <w:highlight w:val="none"/>
          <w:lang w:eastAsia="zh-CN"/>
        </w:rPr>
        <w:t>。</w:t>
      </w:r>
    </w:p>
    <w:p w14:paraId="0DF7CD5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3.6 备选投标方案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本项目不采用</w:t>
      </w:r>
      <w:r>
        <w:rPr>
          <w:rFonts w:hint="eastAsia" w:ascii="宋体" w:hAnsi="宋体" w:eastAsia="宋体" w:cs="宋体"/>
          <w:color w:val="auto"/>
          <w:highlight w:val="none"/>
          <w:lang w:eastAsia="zh-CN"/>
        </w:rPr>
        <w:t>）</w:t>
      </w:r>
    </w:p>
    <w:p w14:paraId="483B5C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14:paraId="2CE0291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65727F8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3.6.3投标人提供两个或两个以上投标报价，或在投标文件中提供一个报价，但同时提供两个或两个以上施工组织设计的，视为提供备选方案。</w:t>
      </w:r>
    </w:p>
    <w:p w14:paraId="3F26E3E4">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380" w:name="_Toc35424910"/>
      <w:bookmarkStart w:id="381" w:name="_Toc35425076"/>
      <w:bookmarkStart w:id="382" w:name="_Toc15058869"/>
      <w:bookmarkStart w:id="383" w:name="_Toc506107291"/>
      <w:bookmarkStart w:id="384" w:name="_Toc19455"/>
      <w:bookmarkStart w:id="385" w:name="_Toc78803345"/>
      <w:r>
        <w:rPr>
          <w:rFonts w:hint="eastAsia" w:ascii="宋体" w:hAnsi="宋体" w:eastAsia="宋体" w:cs="宋体"/>
          <w:color w:val="auto"/>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4F18918">
      <w:pPr>
        <w:pStyle w:val="7"/>
        <w:pageBreakBefore w:val="0"/>
        <w:widowControl w:val="0"/>
        <w:kinsoku/>
        <w:wordWrap/>
        <w:overflowPunct/>
        <w:topLinePunct w:val="0"/>
        <w:autoSpaceDE/>
        <w:autoSpaceDN/>
        <w:bidi w:val="0"/>
        <w:spacing w:line="420" w:lineRule="exact"/>
        <w:ind w:firstLine="422" w:firstLineChars="200"/>
        <w:textAlignment w:val="auto"/>
        <w:rPr>
          <w:rFonts w:hint="default" w:ascii="宋体" w:hAnsi="宋体" w:eastAsia="宋体" w:cs="宋体"/>
          <w:color w:val="auto"/>
          <w:highlight w:val="none"/>
          <w:lang w:val="en-US" w:eastAsia="zh-CN"/>
        </w:rPr>
      </w:pPr>
      <w:bookmarkStart w:id="386" w:name="_Toc15058870"/>
      <w:bookmarkStart w:id="387" w:name="_Toc35425077"/>
      <w:bookmarkStart w:id="388" w:name="_Toc35424911"/>
      <w:bookmarkStart w:id="389" w:name="_Toc78803346"/>
      <w:bookmarkStart w:id="390" w:name="_Toc14473"/>
      <w:r>
        <w:rPr>
          <w:rFonts w:hint="eastAsia" w:ascii="宋体" w:hAnsi="宋体" w:eastAsia="宋体" w:cs="宋体"/>
          <w:color w:val="auto"/>
          <w:highlight w:val="none"/>
        </w:rPr>
        <w:t>4.1投标文件</w:t>
      </w:r>
      <w:bookmarkEnd w:id="386"/>
      <w:bookmarkEnd w:id="387"/>
      <w:bookmarkEnd w:id="388"/>
      <w:bookmarkEnd w:id="389"/>
      <w:bookmarkEnd w:id="390"/>
      <w:r>
        <w:rPr>
          <w:rFonts w:hint="eastAsia" w:ascii="宋体" w:hAnsi="宋体" w:eastAsia="宋体" w:cs="宋体"/>
          <w:color w:val="auto"/>
          <w:highlight w:val="none"/>
          <w:lang w:val="en-US" w:eastAsia="zh-CN"/>
        </w:rPr>
        <w:t>的提交</w:t>
      </w:r>
    </w:p>
    <w:p w14:paraId="59DC9F0B">
      <w:pPr>
        <w:pageBreakBefore w:val="0"/>
        <w:widowControl w:val="0"/>
        <w:kinsoku/>
        <w:wordWrap w:val="0"/>
        <w:overflowPunct/>
        <w:topLinePunct w:val="0"/>
        <w:autoSpaceDE/>
        <w:autoSpaceDN/>
        <w:bidi w:val="0"/>
        <w:adjustRightInd w:val="0"/>
        <w:snapToGrid w:val="0"/>
        <w:spacing w:line="44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4.1.1加密电子投标文件投标人应在投标截止时间前通过新点电子交易平台后在【滁州专区】（https://www.etrading.cn/BREpointSSO/login/oauth2login?regioncode=DQ_ChuZhou）交易系统递交电子投标文件。</w:t>
      </w:r>
    </w:p>
    <w:p w14:paraId="32BBC636">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91" w:name="_Toc246996202"/>
      <w:bookmarkStart w:id="392" w:name="_Toc35425080"/>
      <w:bookmarkStart w:id="393" w:name="_Toc78803347"/>
      <w:bookmarkStart w:id="394" w:name="_Toc296602446"/>
      <w:bookmarkStart w:id="395" w:name="_Toc152042334"/>
      <w:bookmarkStart w:id="396" w:name="_Toc506107294"/>
      <w:bookmarkStart w:id="397" w:name="_Toc247085716"/>
      <w:bookmarkStart w:id="398" w:name="_Toc179632576"/>
      <w:bookmarkStart w:id="399" w:name="_Toc324404841"/>
      <w:bookmarkStart w:id="400" w:name="_Toc152045558"/>
      <w:bookmarkStart w:id="401" w:name="_Toc15058873"/>
      <w:bookmarkStart w:id="402" w:name="_Toc19572"/>
      <w:bookmarkStart w:id="403" w:name="_Toc246996945"/>
      <w:bookmarkStart w:id="404" w:name="_Toc35424914"/>
      <w:bookmarkStart w:id="405" w:name="_Toc144974526"/>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投标文件的修改与撤回</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F62EA24">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.1 </w:t>
      </w:r>
      <w:r>
        <w:rPr>
          <w:rFonts w:hint="eastAsia" w:ascii="宋体" w:hAnsi="宋体" w:eastAsia="宋体" w:cs="宋体"/>
          <w:color w:val="auto"/>
          <w:szCs w:val="21"/>
          <w:highlight w:val="none"/>
          <w:lang w:val="en-US" w:eastAsia="zh-CN"/>
        </w:rPr>
        <w:t>除投标人须知前附表另有规定外，投标人所递交的投标文件不予退还。</w:t>
      </w:r>
    </w:p>
    <w:p w14:paraId="7BA55B32">
      <w:pPr>
        <w:pageBreakBefore w:val="0"/>
        <w:widowControl w:val="0"/>
        <w:kinsoku/>
        <w:wordWrap/>
        <w:overflowPunct/>
        <w:topLinePunct w:val="0"/>
        <w:autoSpaceDE/>
        <w:autoSpaceDN/>
        <w:bidi w:val="0"/>
        <w:spacing w:line="420" w:lineRule="exact"/>
        <w:ind w:firstLine="422" w:firstLineChars="200"/>
        <w:jc w:val="left"/>
        <w:textAlignment w:val="auto"/>
        <w:rPr>
          <w:rFonts w:ascii="宋体" w:hAnsi="宋体" w:cs="宋体"/>
          <w:color w:val="auto"/>
          <w:szCs w:val="21"/>
          <w:highlight w:val="none"/>
        </w:rPr>
      </w:pPr>
      <w:r>
        <w:rPr>
          <w:rFonts w:hint="eastAsia" w:ascii="宋体" w:hAnsi="宋体" w:eastAsia="宋体" w:cs="宋体"/>
          <w:b/>
          <w:color w:val="auto"/>
          <w:szCs w:val="21"/>
          <w:highlight w:val="none"/>
          <w:lang w:val="en-US" w:eastAsia="zh-CN"/>
        </w:rPr>
        <w:t>4.2.2</w:t>
      </w:r>
      <w:r>
        <w:rPr>
          <w:rFonts w:hint="eastAsia" w:ascii="宋体" w:hAnsi="宋体" w:eastAsia="宋体" w:cs="宋体"/>
          <w:color w:val="auto"/>
          <w:szCs w:val="21"/>
          <w:highlight w:val="none"/>
          <w:lang w:val="en-US" w:eastAsia="zh-CN"/>
        </w:rPr>
        <w:t xml:space="preserve"> 在规定的投标截止时间前，投标人可以撤回已递交的投标文件，并可修改后重新递交，开标时以投标截止时间前投标人最终递交的投标文件为准。</w:t>
      </w:r>
    </w:p>
    <w:p w14:paraId="7B5E7C2B">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06" w:name="_Toc247085717"/>
      <w:bookmarkStart w:id="407" w:name="_Toc35425081"/>
      <w:bookmarkStart w:id="408" w:name="_Toc324404842"/>
      <w:bookmarkStart w:id="409" w:name="_Toc246996203"/>
      <w:bookmarkStart w:id="410" w:name="_Toc246996946"/>
      <w:bookmarkStart w:id="411" w:name="_Toc29639"/>
      <w:bookmarkStart w:id="412" w:name="_Toc179632577"/>
      <w:bookmarkStart w:id="413" w:name="_Toc78803348"/>
      <w:bookmarkStart w:id="414" w:name="_Toc15058874"/>
      <w:bookmarkStart w:id="415" w:name="_Toc144974527"/>
      <w:bookmarkStart w:id="416" w:name="_Toc152042335"/>
      <w:bookmarkStart w:id="417" w:name="_Toc35424915"/>
      <w:bookmarkStart w:id="418" w:name="_Toc152045559"/>
      <w:bookmarkStart w:id="419" w:name="_Toc506107295"/>
      <w:r>
        <w:rPr>
          <w:rFonts w:hint="eastAsia" w:ascii="宋体" w:hAnsi="宋体" w:eastAsia="宋体" w:cs="宋体"/>
          <w:color w:val="auto"/>
          <w:sz w:val="24"/>
          <w:szCs w:val="24"/>
          <w:highlight w:val="none"/>
        </w:rPr>
        <w:t>5. 开标</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7B402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20" w:name="_Toc35424916"/>
      <w:bookmarkStart w:id="421" w:name="_Toc144974528"/>
      <w:bookmarkStart w:id="422" w:name="_Toc152045560"/>
      <w:bookmarkStart w:id="423" w:name="_Toc179632578"/>
      <w:bookmarkStart w:id="424" w:name="_Toc506107296"/>
      <w:bookmarkStart w:id="425" w:name="_Toc296602448"/>
      <w:bookmarkStart w:id="426" w:name="_Toc246996947"/>
      <w:bookmarkStart w:id="427" w:name="_Toc15058875"/>
      <w:bookmarkStart w:id="428" w:name="_Toc247085718"/>
      <w:bookmarkStart w:id="429" w:name="_Toc78803349"/>
      <w:bookmarkStart w:id="430" w:name="_Toc13691"/>
      <w:bookmarkStart w:id="431" w:name="_Toc324404843"/>
      <w:bookmarkStart w:id="432" w:name="_Toc246996204"/>
      <w:bookmarkStart w:id="433" w:name="_Toc152042336"/>
      <w:bookmarkStart w:id="434" w:name="_Toc35425082"/>
      <w:r>
        <w:rPr>
          <w:rFonts w:hint="eastAsia" w:ascii="宋体" w:hAnsi="宋体" w:eastAsia="宋体" w:cs="宋体"/>
          <w:color w:val="auto"/>
          <w:highlight w:val="none"/>
        </w:rPr>
        <w:t>5.1 开标时间和地点</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AB2726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招标人在投标人须知前附表规定的投标截止时间（开标时间）和地点公开开标。</w:t>
      </w:r>
    </w:p>
    <w:p w14:paraId="07B751A8">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35" w:name="_Toc247085719"/>
      <w:bookmarkStart w:id="436" w:name="_Toc78803350"/>
      <w:bookmarkStart w:id="437" w:name="_Toc15058876"/>
      <w:bookmarkStart w:id="438" w:name="_Toc324404844"/>
      <w:bookmarkStart w:id="439" w:name="_Toc296602449"/>
      <w:bookmarkStart w:id="440" w:name="_Toc152042337"/>
      <w:bookmarkStart w:id="441" w:name="_Toc246996205"/>
      <w:bookmarkStart w:id="442" w:name="_Toc506107297"/>
      <w:bookmarkStart w:id="443" w:name="_Toc246996948"/>
      <w:bookmarkStart w:id="444" w:name="_Toc35424917"/>
      <w:bookmarkStart w:id="445" w:name="_Toc144974529"/>
      <w:bookmarkStart w:id="446" w:name="_Toc179632579"/>
      <w:bookmarkStart w:id="447" w:name="_Toc32451"/>
      <w:bookmarkStart w:id="448" w:name="_Toc35425083"/>
      <w:bookmarkStart w:id="449" w:name="_Toc152045561"/>
      <w:r>
        <w:rPr>
          <w:rFonts w:hint="eastAsia" w:ascii="宋体" w:hAnsi="宋体" w:eastAsia="宋体" w:cs="宋体"/>
          <w:color w:val="auto"/>
          <w:highlight w:val="none"/>
        </w:rPr>
        <w:t>5.2 开标程序</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3D8314F3">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主持人按下列程序进行开标：</w:t>
      </w:r>
      <w:bookmarkStart w:id="450" w:name="_Toc324404845"/>
      <w:bookmarkStart w:id="451" w:name="_Toc296602450"/>
    </w:p>
    <w:p w14:paraId="62B5A21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452" w:name="_Toc15058877"/>
      <w:bookmarkStart w:id="453" w:name="_Toc506107298"/>
      <w:r>
        <w:rPr>
          <w:rFonts w:hint="eastAsia" w:ascii="宋体" w:hAnsi="宋体" w:cs="宋体"/>
          <w:color w:val="auto"/>
          <w:szCs w:val="21"/>
          <w:highlight w:val="none"/>
        </w:rPr>
        <w:t>（1）宣布开标纪律；</w:t>
      </w:r>
      <w:bookmarkEnd w:id="452"/>
    </w:p>
    <w:p w14:paraId="451A5C5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454" w:name="_Toc15058878"/>
      <w:r>
        <w:rPr>
          <w:rFonts w:hint="eastAsia" w:ascii="宋体" w:hAnsi="宋体" w:cs="宋体"/>
          <w:color w:val="auto"/>
          <w:szCs w:val="21"/>
          <w:highlight w:val="none"/>
        </w:rPr>
        <w:t>（2）宣布招标人、代理机构主持人等有关人员姓名；</w:t>
      </w:r>
      <w:bookmarkEnd w:id="454"/>
    </w:p>
    <w:p w14:paraId="3385ED7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455" w:name="_Toc15058881"/>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）公布投标人投标报价、质量目标、工期及其他内容，并记录在案；</w:t>
      </w:r>
      <w:bookmarkEnd w:id="455"/>
    </w:p>
    <w:p w14:paraId="3B1374C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456" w:name="_Toc15058882"/>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）开标结束。</w:t>
      </w:r>
      <w:bookmarkEnd w:id="456"/>
    </w:p>
    <w:bookmarkEnd w:id="450"/>
    <w:bookmarkEnd w:id="451"/>
    <w:bookmarkEnd w:id="453"/>
    <w:p w14:paraId="3B283477">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57" w:name="_Toc78803352"/>
      <w:bookmarkStart w:id="458" w:name="_Toc179632580"/>
      <w:bookmarkStart w:id="459" w:name="_Toc506107299"/>
      <w:bookmarkStart w:id="460" w:name="_Toc35424919"/>
      <w:bookmarkStart w:id="461" w:name="_Toc144974530"/>
      <w:bookmarkStart w:id="462" w:name="_Toc324404846"/>
      <w:bookmarkStart w:id="463" w:name="_Toc152045562"/>
      <w:bookmarkStart w:id="464" w:name="_Toc247085720"/>
      <w:bookmarkStart w:id="465" w:name="_Toc15058884"/>
      <w:bookmarkStart w:id="466" w:name="_Toc35425085"/>
      <w:bookmarkStart w:id="467" w:name="_Toc246996949"/>
      <w:bookmarkStart w:id="468" w:name="_Toc246996206"/>
      <w:bookmarkStart w:id="469" w:name="_Toc152042338"/>
      <w:bookmarkStart w:id="470" w:name="_Toc20689"/>
      <w:r>
        <w:rPr>
          <w:rFonts w:hint="eastAsia" w:ascii="宋体" w:hAnsi="宋体" w:eastAsia="宋体" w:cs="宋体"/>
          <w:color w:val="auto"/>
          <w:sz w:val="24"/>
          <w:szCs w:val="24"/>
          <w:highlight w:val="none"/>
        </w:rPr>
        <w:t>6. 评标</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44325A1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71" w:name="_Toc247085721"/>
      <w:bookmarkStart w:id="472" w:name="_Toc179632581"/>
      <w:bookmarkStart w:id="473" w:name="_Toc246996207"/>
      <w:bookmarkStart w:id="474" w:name="_Toc78803353"/>
      <w:bookmarkStart w:id="475" w:name="_Toc35425086"/>
      <w:bookmarkStart w:id="476" w:name="_Toc296602452"/>
      <w:bookmarkStart w:id="477" w:name="_Toc246996950"/>
      <w:bookmarkStart w:id="478" w:name="_Toc144974531"/>
      <w:bookmarkStart w:id="479" w:name="_Toc152045563"/>
      <w:bookmarkStart w:id="480" w:name="_Toc35424920"/>
      <w:bookmarkStart w:id="481" w:name="_Toc14249"/>
      <w:bookmarkStart w:id="482" w:name="_Toc15058885"/>
      <w:bookmarkStart w:id="483" w:name="_Toc506107300"/>
      <w:bookmarkStart w:id="484" w:name="_Toc324404847"/>
      <w:bookmarkStart w:id="485" w:name="_Toc152042339"/>
      <w:r>
        <w:rPr>
          <w:rFonts w:hint="eastAsia" w:ascii="宋体" w:hAnsi="宋体" w:eastAsia="宋体" w:cs="宋体"/>
          <w:color w:val="auto"/>
          <w:highlight w:val="none"/>
        </w:rPr>
        <w:t>6.1 评标委员会</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39C6422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w:t>
      </w:r>
    </w:p>
    <w:p w14:paraId="3C45341D">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36637F9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14:paraId="5948E1C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019B39D8">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（3）与投标人有经济利益关系；</w:t>
      </w:r>
    </w:p>
    <w:p w14:paraId="026802D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14:paraId="7363E17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（5）与投标人有其他利害关系。</w:t>
      </w:r>
    </w:p>
    <w:p w14:paraId="0267F18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6C3C5B11">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86" w:name="_Toc246996208"/>
      <w:bookmarkStart w:id="487" w:name="_Toc152042340"/>
      <w:bookmarkStart w:id="488" w:name="_Toc247085722"/>
      <w:bookmarkStart w:id="489" w:name="_Toc144974532"/>
      <w:bookmarkStart w:id="490" w:name="_Toc246996951"/>
      <w:bookmarkStart w:id="491" w:name="_Toc35424921"/>
      <w:bookmarkStart w:id="492" w:name="_Toc152045564"/>
      <w:bookmarkStart w:id="493" w:name="_Toc506107301"/>
      <w:bookmarkStart w:id="494" w:name="_Toc35425087"/>
      <w:bookmarkStart w:id="495" w:name="_Toc179632582"/>
      <w:bookmarkStart w:id="496" w:name="_Toc15058886"/>
      <w:bookmarkStart w:id="497" w:name="_Toc296602453"/>
      <w:bookmarkStart w:id="498" w:name="_Toc12948"/>
      <w:bookmarkStart w:id="499" w:name="_Toc324404848"/>
      <w:bookmarkStart w:id="500" w:name="_Toc78803354"/>
      <w:r>
        <w:rPr>
          <w:rFonts w:hint="eastAsia" w:ascii="宋体" w:hAnsi="宋体" w:eastAsia="宋体" w:cs="宋体"/>
          <w:color w:val="auto"/>
          <w:highlight w:val="none"/>
        </w:rPr>
        <w:t>6.2 评标原则</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54F7C93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72586DD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501" w:name="_Toc179632583"/>
      <w:bookmarkStart w:id="502" w:name="_Toc246996952"/>
      <w:bookmarkStart w:id="503" w:name="_Toc35424922"/>
      <w:bookmarkStart w:id="504" w:name="_Toc35425088"/>
      <w:bookmarkStart w:id="505" w:name="_Toc144974533"/>
      <w:bookmarkStart w:id="506" w:name="_Toc506107302"/>
      <w:bookmarkStart w:id="507" w:name="_Toc246996209"/>
      <w:bookmarkStart w:id="508" w:name="_Toc78803355"/>
      <w:bookmarkStart w:id="509" w:name="_Toc14892"/>
      <w:bookmarkStart w:id="510" w:name="_Toc247085723"/>
      <w:bookmarkStart w:id="511" w:name="_Toc296602454"/>
      <w:bookmarkStart w:id="512" w:name="_Toc152045565"/>
      <w:bookmarkStart w:id="513" w:name="_Toc324404849"/>
      <w:bookmarkStart w:id="514" w:name="_Toc152042341"/>
      <w:bookmarkStart w:id="515" w:name="_Toc15058887"/>
      <w:r>
        <w:rPr>
          <w:rFonts w:hint="eastAsia" w:ascii="宋体" w:hAnsi="宋体" w:eastAsia="宋体" w:cs="宋体"/>
          <w:color w:val="auto"/>
          <w:highlight w:val="none"/>
        </w:rPr>
        <w:t>6.3 评标</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373F23C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516" w:name="_Toc246996953"/>
      <w:bookmarkStart w:id="517" w:name="_Toc247085724"/>
      <w:bookmarkStart w:id="518" w:name="_Toc152045566"/>
      <w:bookmarkStart w:id="519" w:name="_Toc246996210"/>
      <w:bookmarkStart w:id="520" w:name="_Toc144974534"/>
      <w:bookmarkStart w:id="521" w:name="_Toc152042342"/>
      <w:bookmarkStart w:id="522" w:name="_Toc179632584"/>
      <w:bookmarkStart w:id="523" w:name="_Toc324404850"/>
      <w:r>
        <w:rPr>
          <w:rFonts w:hint="eastAsia" w:ascii="宋体" w:hAnsi="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14:paraId="39FD314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3141FF89">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524" w:name="_Toc78803356"/>
      <w:bookmarkStart w:id="525" w:name="_Toc506107303"/>
      <w:bookmarkStart w:id="526" w:name="_Toc35424923"/>
      <w:bookmarkStart w:id="527" w:name="_Toc26182"/>
      <w:bookmarkStart w:id="528" w:name="_Toc35425089"/>
      <w:bookmarkStart w:id="529" w:name="_Toc15058888"/>
      <w:r>
        <w:rPr>
          <w:rFonts w:hint="eastAsia" w:ascii="宋体" w:hAnsi="宋体" w:eastAsia="宋体" w:cs="宋体"/>
          <w:color w:val="auto"/>
          <w:sz w:val="24"/>
          <w:szCs w:val="24"/>
          <w:highlight w:val="none"/>
        </w:rPr>
        <w:t>7. 合同授予</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6B2F2FC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30" w:name="_Toc83301726"/>
      <w:bookmarkStart w:id="531" w:name="_Toc324404852"/>
      <w:bookmarkStart w:id="532" w:name="_Toc506107305"/>
      <w:bookmarkStart w:id="533" w:name="_Toc95223374"/>
      <w:bookmarkStart w:id="534" w:name="_Toc15058890"/>
      <w:bookmarkStart w:id="535" w:name="_Toc296602457"/>
      <w:bookmarkStart w:id="536" w:name="_Toc60061472"/>
      <w:bookmarkStart w:id="537" w:name="_Toc4204"/>
      <w:bookmarkStart w:id="538" w:name="_Toc296602458"/>
      <w:bookmarkStart w:id="539" w:name="_Toc78803360"/>
      <w:bookmarkStart w:id="540" w:name="_Toc14692"/>
      <w:bookmarkStart w:id="541" w:name="_Toc246996955"/>
      <w:bookmarkStart w:id="542" w:name="_Toc15058891"/>
      <w:bookmarkStart w:id="543" w:name="_Toc35425093"/>
      <w:bookmarkStart w:id="544" w:name="_Toc506107306"/>
      <w:bookmarkStart w:id="545" w:name="_Toc246996212"/>
      <w:bookmarkStart w:id="546" w:name="_Toc247085726"/>
      <w:bookmarkStart w:id="547" w:name="_Toc35424927"/>
      <w:bookmarkStart w:id="548" w:name="_Toc152045568"/>
      <w:bookmarkStart w:id="549" w:name="_Toc179632586"/>
      <w:bookmarkStart w:id="550" w:name="_Toc144974536"/>
      <w:bookmarkStart w:id="551" w:name="_Toc152042344"/>
      <w:bookmarkStart w:id="552" w:name="_Toc324404853"/>
      <w:r>
        <w:rPr>
          <w:rFonts w:hint="eastAsia" w:ascii="宋体" w:hAnsi="宋体" w:eastAsia="宋体" w:cs="宋体"/>
          <w:color w:val="auto"/>
          <w:highlight w:val="none"/>
        </w:rPr>
        <w:t>7.1 中标候选人公示</w:t>
      </w:r>
      <w:bookmarkEnd w:id="530"/>
      <w:bookmarkEnd w:id="531"/>
      <w:bookmarkEnd w:id="532"/>
      <w:bookmarkEnd w:id="533"/>
      <w:bookmarkEnd w:id="534"/>
      <w:bookmarkEnd w:id="535"/>
      <w:bookmarkEnd w:id="536"/>
    </w:p>
    <w:p w14:paraId="23F40DB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招标人在收到评标报告之日起3日内，按照投标人须知前附表规定的公示媒介和期限依法公示。中标候选人公示期不得少于3日。</w:t>
      </w:r>
    </w:p>
    <w:p w14:paraId="7682DD99">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097F861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投标人或其他利害关系人对评标结果有异议的，应在中标候选人公示期内提出。招标人将在收到异议之日起3日内作出答复；作出答复前，将暂停招标投标活动。</w:t>
      </w:r>
    </w:p>
    <w:bookmarkEnd w:id="537"/>
    <w:p w14:paraId="650622E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507E903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14:paraId="5143576D">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53" w:name="_Toc95223375"/>
      <w:bookmarkStart w:id="554" w:name="_Toc83301727"/>
      <w:bookmarkStart w:id="555" w:name="_Toc60061474"/>
      <w:bookmarkStart w:id="556" w:name="_Toc15058893"/>
      <w:bookmarkStart w:id="557" w:name="_Toc35425096"/>
      <w:bookmarkStart w:id="558" w:name="_Toc152045570"/>
      <w:bookmarkStart w:id="559" w:name="_Toc296602460"/>
      <w:bookmarkStart w:id="560" w:name="_Toc11010"/>
      <w:bookmarkStart w:id="561" w:name="_Toc324404855"/>
      <w:bookmarkStart w:id="562" w:name="_Toc152042346"/>
      <w:bookmarkStart w:id="563" w:name="_Toc35424930"/>
      <w:bookmarkStart w:id="564" w:name="_Toc506107308"/>
      <w:bookmarkStart w:id="565" w:name="_Toc144974538"/>
      <w:bookmarkStart w:id="566" w:name="_Toc247085728"/>
      <w:bookmarkStart w:id="567" w:name="_Toc179632588"/>
      <w:bookmarkStart w:id="568" w:name="_Toc246996957"/>
      <w:bookmarkStart w:id="569" w:name="_Toc78803363"/>
      <w:bookmarkStart w:id="570" w:name="_Toc246996214"/>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定标</w:t>
      </w:r>
      <w:bookmarkEnd w:id="553"/>
      <w:bookmarkEnd w:id="554"/>
    </w:p>
    <w:p w14:paraId="6567A6B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A20D9C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1" w:name="_Toc95223376"/>
      <w:bookmarkStart w:id="572" w:name="_Toc83301728"/>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中标通知</w:t>
      </w:r>
      <w:bookmarkEnd w:id="555"/>
      <w:bookmarkEnd w:id="571"/>
      <w:bookmarkEnd w:id="572"/>
    </w:p>
    <w:p w14:paraId="3943196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在本招标文件规定的投标有效期内，招标人向中标人发出中标通知书，同时将中标结果通知未中标的投标人。</w:t>
      </w:r>
    </w:p>
    <w:p w14:paraId="456D36FA">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3" w:name="_Toc9522337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中标结果公示</w:t>
      </w:r>
      <w:bookmarkEnd w:id="573"/>
    </w:p>
    <w:p w14:paraId="6D301CD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招标人在确定中标人之日起3日内，按照投标人须知前附表规定的公示媒介和期限依法公示中标结果。</w:t>
      </w:r>
    </w:p>
    <w:p w14:paraId="02AFC6D3">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4" w:name="_Toc506107307"/>
      <w:bookmarkStart w:id="575" w:name="_Toc144974537"/>
      <w:bookmarkStart w:id="576" w:name="_Toc15058892"/>
      <w:bookmarkStart w:id="577" w:name="_Toc246996956"/>
      <w:bookmarkStart w:id="578" w:name="_Toc152042345"/>
      <w:bookmarkStart w:id="579" w:name="_Toc60061476"/>
      <w:bookmarkStart w:id="580" w:name="_Toc95223378"/>
      <w:bookmarkStart w:id="581" w:name="_Toc179632587"/>
      <w:bookmarkStart w:id="582" w:name="_Toc296602459"/>
      <w:bookmarkStart w:id="583" w:name="_Toc247085727"/>
      <w:bookmarkStart w:id="584" w:name="_Toc152045569"/>
      <w:bookmarkStart w:id="585" w:name="_Toc324404854"/>
      <w:bookmarkStart w:id="586" w:name="_Toc246996213"/>
      <w:bookmarkStart w:id="587" w:name="_Toc83301730"/>
      <w:r>
        <w:rPr>
          <w:rFonts w:hint="eastAsia" w:ascii="宋体" w:hAnsi="宋体" w:eastAsia="宋体" w:cs="宋体"/>
          <w:color w:val="auto"/>
          <w:highlight w:val="none"/>
        </w:rPr>
        <w:t>7.8 履约担保</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1D36AD0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7.8.1在签订合同前，中标人应按投标人须知前附表规定的担保形式和招标文件第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章“合同条款及格式”规定的或者事先经过招标人书面认可的履约担保格式向招标人提交履约担保。联合体中标的，其履约担保应符合投标人须知前附表规定的金额、担保形式和招标文件第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章“合同条款及格式”规定的履约担保格式要求。</w:t>
      </w:r>
    </w:p>
    <w:p w14:paraId="6253649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28B544F2">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88" w:name="_Toc60061477"/>
      <w:bookmarkStart w:id="589" w:name="_Toc83301731"/>
      <w:bookmarkStart w:id="590" w:name="_Toc95223379"/>
      <w:r>
        <w:rPr>
          <w:rFonts w:hint="eastAsia" w:ascii="宋体" w:hAnsi="宋体" w:eastAsia="宋体" w:cs="宋体"/>
          <w:color w:val="auto"/>
          <w:highlight w:val="none"/>
        </w:rPr>
        <w:t>7.9 签订合同</w:t>
      </w:r>
      <w:bookmarkEnd w:id="588"/>
      <w:bookmarkEnd w:id="589"/>
      <w:bookmarkEnd w:id="590"/>
    </w:p>
    <w:p w14:paraId="619D58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7.9.1本招标工程的施工合同将授予按本须知第7.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款规定所确定的中标人。</w:t>
      </w:r>
    </w:p>
    <w:p w14:paraId="67F3589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14D10D9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7.9.3 发出中标通知书后，招标人无正当理由拒签合同的，招标人向中标人退还投标保证金；给中标人造成损失的，还应当赔偿损失。</w:t>
      </w:r>
    </w:p>
    <w:p w14:paraId="3D98254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7.9.4 除法定情形外，建设工程合同履行期间项目经理（建造师）不得更换。项目经理（建造师）确需变更的，应根据招标文件要求，变更后的项目经理（建造师）不低于投标文件中拟派项目经理（建造师）的资格条件。</w:t>
      </w:r>
    </w:p>
    <w:p w14:paraId="2A15E7F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7.9.5 联合体中标的，联合体各方应当共同与招标人签订合同，就中标项目向招标人承担连带责任。</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14:paraId="167C873D">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hint="eastAsia" w:ascii="宋体" w:hAnsi="宋体" w:eastAsia="宋体" w:cs="宋体"/>
          <w:color w:val="auto"/>
          <w:highlight w:val="none"/>
        </w:rPr>
      </w:pPr>
      <w:bookmarkStart w:id="591" w:name="_Toc152045571"/>
      <w:bookmarkStart w:id="592" w:name="_Toc95223381"/>
      <w:bookmarkStart w:id="593" w:name="_Toc60061478"/>
      <w:bookmarkStart w:id="594" w:name="_Toc144974539"/>
      <w:bookmarkStart w:id="595" w:name="_Toc152042347"/>
      <w:bookmarkStart w:id="596" w:name="_Toc179632589"/>
      <w:bookmarkStart w:id="597" w:name="_Toc83301732"/>
      <w:bookmarkStart w:id="598" w:name="_Toc26974"/>
      <w:bookmarkStart w:id="599" w:name="_Toc35424931"/>
      <w:bookmarkStart w:id="600" w:name="_Toc25375"/>
      <w:bookmarkStart w:id="601" w:name="_Toc31686"/>
      <w:bookmarkStart w:id="602" w:name="_Toc35425097"/>
      <w:bookmarkStart w:id="603" w:name="_Toc78803367"/>
      <w:bookmarkStart w:id="604" w:name="_Toc324404864"/>
      <w:bookmarkStart w:id="605" w:name="_Toc35424939"/>
      <w:bookmarkStart w:id="606" w:name="_Toc506107317"/>
      <w:bookmarkStart w:id="607" w:name="_Toc15058902"/>
      <w:bookmarkStart w:id="608" w:name="_Toc35425105"/>
      <w:bookmarkStart w:id="609" w:name="_Toc296602475"/>
      <w:r>
        <w:rPr>
          <w:rFonts w:hint="eastAsia" w:ascii="宋体" w:hAnsi="Times New Roman" w:eastAsia="宋体" w:cs="Times New Roman"/>
          <w:b/>
          <w:color w:val="auto"/>
          <w:szCs w:val="21"/>
          <w:highlight w:val="none"/>
        </w:rPr>
        <w:t xml:space="preserve">8. </w:t>
      </w:r>
      <w:r>
        <w:rPr>
          <w:rFonts w:hint="eastAsia" w:ascii="宋体" w:hAnsi="宋体" w:eastAsia="宋体" w:cs="宋体"/>
          <w:color w:val="auto"/>
          <w:highlight w:val="none"/>
        </w:rPr>
        <w:t>重新招标和不再招标</w:t>
      </w:r>
    </w:p>
    <w:p w14:paraId="332A6EB4">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8.1 重新招标</w:t>
      </w:r>
    </w:p>
    <w:p w14:paraId="019BB8F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依法必须招标的项目有下列情形之一的，招标人将重新招标：</w:t>
      </w:r>
    </w:p>
    <w:p w14:paraId="1EA7ACB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14:paraId="40673DC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（2）经评标委员会评审后否决所有投标的；</w:t>
      </w:r>
    </w:p>
    <w:p w14:paraId="274111C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（3）中标候选人均未与招标人签订合同的；</w:t>
      </w:r>
    </w:p>
    <w:p w14:paraId="4AC660C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（4）法律、法规规定的其他情形。</w:t>
      </w:r>
    </w:p>
    <w:p w14:paraId="42B8445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8.2 不再招标</w:t>
      </w:r>
    </w:p>
    <w:p w14:paraId="0BF6AAB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重新招标后投标人仍少于3个或者所有投标被否决的，属于必须审批或核准的工程建设项目，经原审批或核准部门批准后不再进行招标。</w:t>
      </w:r>
    </w:p>
    <w:bookmarkEnd w:id="591"/>
    <w:bookmarkEnd w:id="592"/>
    <w:bookmarkEnd w:id="593"/>
    <w:bookmarkEnd w:id="594"/>
    <w:bookmarkEnd w:id="595"/>
    <w:bookmarkEnd w:id="596"/>
    <w:bookmarkEnd w:id="597"/>
    <w:p w14:paraId="515CE264">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9. 纪律和监督</w:t>
      </w:r>
      <w:bookmarkEnd w:id="598"/>
      <w:bookmarkEnd w:id="599"/>
      <w:bookmarkEnd w:id="600"/>
      <w:bookmarkEnd w:id="601"/>
      <w:bookmarkEnd w:id="602"/>
      <w:bookmarkEnd w:id="603"/>
    </w:p>
    <w:p w14:paraId="19A39E56">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10" w:name="_Toc35424932"/>
      <w:bookmarkStart w:id="611" w:name="_Toc35425098"/>
      <w:bookmarkStart w:id="612" w:name="_Toc144974543"/>
      <w:bookmarkStart w:id="613" w:name="_Toc296590983"/>
      <w:bookmarkStart w:id="614" w:name="_Toc296602462"/>
      <w:bookmarkStart w:id="615" w:name="_Toc2855"/>
      <w:bookmarkStart w:id="616" w:name="_Toc506107310"/>
      <w:bookmarkStart w:id="617" w:name="_Toc179632593"/>
      <w:bookmarkStart w:id="618" w:name="_Toc247085733"/>
      <w:bookmarkStart w:id="619" w:name="_Toc246996962"/>
      <w:bookmarkStart w:id="620" w:name="_Toc246996219"/>
      <w:bookmarkStart w:id="621" w:name="_Toc152045575"/>
      <w:bookmarkStart w:id="622" w:name="_Toc324404857"/>
      <w:bookmarkStart w:id="623" w:name="_Toc15607"/>
      <w:bookmarkStart w:id="624" w:name="_Toc15058895"/>
      <w:bookmarkStart w:id="625" w:name="_Toc78803368"/>
      <w:bookmarkStart w:id="626" w:name="_Toc152042351"/>
      <w:r>
        <w:rPr>
          <w:rFonts w:hint="eastAsia" w:ascii="宋体" w:hAnsi="宋体" w:eastAsia="宋体" w:cs="宋体"/>
          <w:color w:val="auto"/>
          <w:highlight w:val="none"/>
        </w:rPr>
        <w:t>9.1 对招标人的纪律要求</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57A1292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0A8BE5A8">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27" w:name="_Toc246996220"/>
      <w:bookmarkStart w:id="628" w:name="_Toc15058896"/>
      <w:bookmarkStart w:id="629" w:name="_Toc152045576"/>
      <w:bookmarkStart w:id="630" w:name="_Toc152042352"/>
      <w:bookmarkStart w:id="631" w:name="_Toc19779"/>
      <w:bookmarkStart w:id="632" w:name="_Toc78803369"/>
      <w:bookmarkStart w:id="633" w:name="_Toc144974544"/>
      <w:bookmarkStart w:id="634" w:name="_Toc247085734"/>
      <w:bookmarkStart w:id="635" w:name="_Toc35425099"/>
      <w:bookmarkStart w:id="636" w:name="_Toc506107311"/>
      <w:bookmarkStart w:id="637" w:name="_Toc179632594"/>
      <w:bookmarkStart w:id="638" w:name="_Toc246996963"/>
      <w:bookmarkStart w:id="639" w:name="_Toc32177"/>
      <w:bookmarkStart w:id="640" w:name="_Toc296602463"/>
      <w:bookmarkStart w:id="641" w:name="_Toc324404858"/>
      <w:bookmarkStart w:id="642" w:name="_Toc35424933"/>
      <w:r>
        <w:rPr>
          <w:rFonts w:hint="eastAsia" w:ascii="宋体" w:hAnsi="宋体" w:eastAsia="宋体" w:cs="宋体"/>
          <w:color w:val="auto"/>
          <w:highlight w:val="none"/>
        </w:rPr>
        <w:t>9.2 对投标人的纪律要求</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69C55BB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5A96BE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43" w:name="_Toc506107312"/>
      <w:bookmarkStart w:id="644" w:name="_Toc246996221"/>
      <w:bookmarkStart w:id="645" w:name="_Toc35424934"/>
      <w:bookmarkStart w:id="646" w:name="_Toc152045577"/>
      <w:bookmarkStart w:id="647" w:name="_Toc144974545"/>
      <w:bookmarkStart w:id="648" w:name="_Toc35425100"/>
      <w:bookmarkStart w:id="649" w:name="_Toc15058897"/>
      <w:bookmarkStart w:id="650" w:name="_Toc324404859"/>
      <w:bookmarkStart w:id="651" w:name="_Toc12564"/>
      <w:bookmarkStart w:id="652" w:name="_Toc296602464"/>
      <w:bookmarkStart w:id="653" w:name="_Toc152042353"/>
      <w:bookmarkStart w:id="654" w:name="_Toc179632595"/>
      <w:bookmarkStart w:id="655" w:name="_Toc246996964"/>
      <w:bookmarkStart w:id="656" w:name="_Toc13043"/>
      <w:bookmarkStart w:id="657" w:name="_Toc247085735"/>
      <w:bookmarkStart w:id="658" w:name="_Toc78803370"/>
      <w:r>
        <w:rPr>
          <w:rFonts w:hint="eastAsia" w:ascii="宋体" w:hAnsi="宋体" w:eastAsia="宋体" w:cs="宋体"/>
          <w:color w:val="auto"/>
          <w:highlight w:val="none"/>
        </w:rPr>
        <w:t>9.3 对评标委员会成员的纪律要求</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66E5ED13">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8D0A748">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59" w:name="_Toc152042354"/>
      <w:bookmarkStart w:id="660" w:name="_Toc247085736"/>
      <w:bookmarkStart w:id="661" w:name="_Toc506107313"/>
      <w:bookmarkStart w:id="662" w:name="_Toc324404860"/>
      <w:bookmarkStart w:id="663" w:name="_Toc15058898"/>
      <w:bookmarkStart w:id="664" w:name="_Toc246996222"/>
      <w:bookmarkStart w:id="665" w:name="_Toc35425101"/>
      <w:bookmarkStart w:id="666" w:name="_Toc78803371"/>
      <w:bookmarkStart w:id="667" w:name="_Toc246996965"/>
      <w:bookmarkStart w:id="668" w:name="_Toc18329"/>
      <w:bookmarkStart w:id="669" w:name="_Toc152045578"/>
      <w:bookmarkStart w:id="670" w:name="_Toc296602465"/>
      <w:bookmarkStart w:id="671" w:name="_Toc179632596"/>
      <w:bookmarkStart w:id="672" w:name="_Toc32214"/>
      <w:bookmarkStart w:id="673" w:name="_Toc35424935"/>
      <w:bookmarkStart w:id="674" w:name="_Toc144974546"/>
      <w:r>
        <w:rPr>
          <w:rFonts w:hint="eastAsia" w:ascii="宋体" w:hAnsi="宋体" w:eastAsia="宋体" w:cs="宋体"/>
          <w:color w:val="auto"/>
          <w:highlight w:val="none"/>
        </w:rPr>
        <w:t>9.4 对与评标活动有关的工作人员的纪律要求</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6A1B5E8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675"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75"/>
    </w:p>
    <w:p w14:paraId="33A7AAA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76" w:name="_Toc35424936"/>
      <w:bookmarkStart w:id="677" w:name="_Toc152042356"/>
      <w:bookmarkStart w:id="678" w:name="_Toc15058899"/>
      <w:bookmarkStart w:id="679" w:name="_Toc78803372"/>
      <w:bookmarkStart w:id="680" w:name="_Toc246996966"/>
      <w:bookmarkStart w:id="681" w:name="_Toc324404861"/>
      <w:bookmarkStart w:id="682" w:name="_Toc35425102"/>
      <w:bookmarkStart w:id="683" w:name="_Toc2811"/>
      <w:bookmarkStart w:id="684" w:name="_Toc247085737"/>
      <w:bookmarkStart w:id="685" w:name="_Toc179632597"/>
      <w:bookmarkStart w:id="686" w:name="_Toc23607"/>
      <w:bookmarkStart w:id="687" w:name="_Toc296602466"/>
      <w:bookmarkStart w:id="688" w:name="_Toc246996223"/>
      <w:bookmarkStart w:id="689" w:name="_Toc506107314"/>
      <w:bookmarkStart w:id="690" w:name="_Toc152045579"/>
      <w:r>
        <w:rPr>
          <w:rFonts w:hint="eastAsia" w:ascii="宋体" w:hAnsi="宋体" w:eastAsia="宋体" w:cs="宋体"/>
          <w:color w:val="auto"/>
          <w:highlight w:val="none"/>
        </w:rPr>
        <w:t>9.5 投诉</w:t>
      </w:r>
      <w:bookmarkEnd w:id="674"/>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7224D94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691" w:name="_Toc247085738"/>
      <w:bookmarkStart w:id="692" w:name="_Toc152042357"/>
      <w:bookmarkStart w:id="693" w:name="_Toc179632598"/>
      <w:bookmarkStart w:id="694" w:name="_Toc324404862"/>
      <w:bookmarkStart w:id="695" w:name="_Toc246996224"/>
      <w:bookmarkStart w:id="696" w:name="_Toc20669"/>
      <w:bookmarkStart w:id="697" w:name="_Toc35425103"/>
      <w:bookmarkStart w:id="698" w:name="_Toc16463"/>
      <w:bookmarkStart w:id="699" w:name="_Toc31643"/>
      <w:bookmarkStart w:id="700" w:name="_Toc506107315"/>
      <w:bookmarkStart w:id="701" w:name="_Toc152045580"/>
      <w:bookmarkStart w:id="702" w:name="_Toc246996967"/>
      <w:bookmarkStart w:id="703" w:name="_Toc78803373"/>
      <w:bookmarkStart w:id="704" w:name="_Toc144974547"/>
      <w:bookmarkStart w:id="705" w:name="_Toc15058900"/>
      <w:bookmarkStart w:id="706" w:name="_Toc35424937"/>
      <w:r>
        <w:rPr>
          <w:rFonts w:hint="eastAsia" w:ascii="宋体" w:hAnsi="宋体" w:eastAsia="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28BAC76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9.5.2投标人和其他利害关系人对招标文件、开标和评标结果事项投诉的，应当按照投标人须知的规定先向招标人提出异议。异议答复期间不计算在第9.5.1项规定的期限内。</w:t>
      </w:r>
    </w:p>
    <w:p w14:paraId="127D520F">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10.需要补充的其他内容</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5762A2B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707" w:name="_Toc15058901"/>
      <w:r>
        <w:rPr>
          <w:rFonts w:hint="eastAsia" w:ascii="宋体" w:hAnsi="宋体" w:cs="宋体"/>
          <w:color w:val="auto"/>
          <w:szCs w:val="21"/>
          <w:highlight w:val="none"/>
        </w:rPr>
        <w:t>需要补充的其他内容：见投标人须知前附表。</w:t>
      </w:r>
      <w:bookmarkEnd w:id="707"/>
    </w:p>
    <w:p w14:paraId="0CD4B093">
      <w:pPr>
        <w:spacing w:line="440" w:lineRule="exact"/>
        <w:jc w:val="left"/>
        <w:rPr>
          <w:rFonts w:ascii="宋体" w:hAnsi="宋体" w:cs="宋体"/>
          <w:color w:val="auto"/>
          <w:szCs w:val="21"/>
          <w:highlight w:val="none"/>
        </w:rPr>
      </w:pPr>
    </w:p>
    <w:p w14:paraId="5E079848">
      <w:pPr>
        <w:pageBreakBefore/>
        <w:spacing w:beforeLines="80" w:afterLines="80" w:line="440" w:lineRule="exact"/>
        <w:jc w:val="center"/>
        <w:outlineLvl w:val="0"/>
        <w:rPr>
          <w:rFonts w:ascii="宋体"/>
          <w:b/>
          <w:color w:val="auto"/>
          <w:sz w:val="32"/>
          <w:szCs w:val="32"/>
          <w:highlight w:val="none"/>
        </w:rPr>
      </w:pPr>
      <w:bookmarkStart w:id="708" w:name="_Toc78803375"/>
      <w:bookmarkStart w:id="709" w:name="_Toc10676"/>
      <w:bookmarkStart w:id="710" w:name="_Toc5501"/>
      <w:r>
        <w:rPr>
          <w:rFonts w:hint="eastAsia" w:ascii="宋体"/>
          <w:b/>
          <w:color w:val="auto"/>
          <w:sz w:val="32"/>
          <w:szCs w:val="32"/>
          <w:highlight w:val="none"/>
        </w:rPr>
        <w:t>第二章  资格审查</w:t>
      </w:r>
      <w:bookmarkEnd w:id="604"/>
      <w:r>
        <w:rPr>
          <w:rFonts w:hint="eastAsia" w:ascii="宋体"/>
          <w:b/>
          <w:color w:val="auto"/>
          <w:sz w:val="32"/>
          <w:szCs w:val="32"/>
          <w:highlight w:val="none"/>
        </w:rPr>
        <w:t>办法</w:t>
      </w:r>
      <w:bookmarkEnd w:id="605"/>
      <w:bookmarkEnd w:id="606"/>
      <w:bookmarkEnd w:id="607"/>
      <w:bookmarkEnd w:id="608"/>
      <w:bookmarkEnd w:id="708"/>
      <w:bookmarkEnd w:id="709"/>
      <w:bookmarkEnd w:id="710"/>
    </w:p>
    <w:p w14:paraId="4E12C3C8">
      <w:pPr>
        <w:spacing w:beforeLines="50" w:afterLines="50" w:line="440" w:lineRule="exact"/>
        <w:jc w:val="center"/>
        <w:rPr>
          <w:rFonts w:ascii="宋体" w:hAnsi="宋体" w:cs="宋体"/>
          <w:b/>
          <w:bCs/>
          <w:color w:val="auto"/>
          <w:sz w:val="28"/>
          <w:szCs w:val="22"/>
          <w:highlight w:val="none"/>
        </w:rPr>
      </w:pPr>
      <w:bookmarkStart w:id="711" w:name="_Toc506107318"/>
      <w:bookmarkStart w:id="712" w:name="_Toc324404865"/>
      <w:bookmarkStart w:id="713" w:name="_Toc35424940"/>
      <w:bookmarkStart w:id="714" w:name="_Toc15058903"/>
      <w:bookmarkStart w:id="715" w:name="_Toc35425106"/>
      <w:r>
        <w:rPr>
          <w:rFonts w:hint="eastAsia" w:ascii="宋体" w:hAnsi="宋体" w:cs="宋体"/>
          <w:b/>
          <w:bCs/>
          <w:color w:val="auto"/>
          <w:sz w:val="28"/>
          <w:szCs w:val="22"/>
          <w:highlight w:val="none"/>
        </w:rPr>
        <w:t>资格审查办法前附表</w:t>
      </w:r>
      <w:bookmarkEnd w:id="711"/>
      <w:bookmarkEnd w:id="712"/>
      <w:bookmarkEnd w:id="713"/>
      <w:bookmarkEnd w:id="714"/>
      <w:bookmarkEnd w:id="715"/>
    </w:p>
    <w:p w14:paraId="0906338F">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0CF7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5F17144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序号</w:t>
            </w:r>
          </w:p>
        </w:tc>
        <w:tc>
          <w:tcPr>
            <w:tcW w:w="6183" w:type="dxa"/>
            <w:noWrap/>
            <w:vAlign w:val="center"/>
          </w:tcPr>
          <w:p w14:paraId="660FC792">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审查内容</w:t>
            </w:r>
          </w:p>
        </w:tc>
        <w:tc>
          <w:tcPr>
            <w:tcW w:w="1860" w:type="dxa"/>
            <w:noWrap/>
            <w:vAlign w:val="center"/>
          </w:tcPr>
          <w:p w14:paraId="2E6D6E75">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评审标准</w:t>
            </w:r>
          </w:p>
        </w:tc>
      </w:tr>
      <w:tr w14:paraId="14E2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0904FF58">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258" w:type="dxa"/>
            <w:vMerge w:val="restart"/>
            <w:noWrap/>
            <w:vAlign w:val="center"/>
          </w:tcPr>
          <w:p w14:paraId="1F464060">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审查资料</w:t>
            </w:r>
          </w:p>
        </w:tc>
        <w:tc>
          <w:tcPr>
            <w:tcW w:w="6183" w:type="dxa"/>
            <w:noWrap/>
            <w:vAlign w:val="center"/>
          </w:tcPr>
          <w:p w14:paraId="5DB1E15A">
            <w:pPr>
              <w:keepNext w:val="0"/>
              <w:keepLines w:val="0"/>
              <w:suppressLineNumbers w:val="0"/>
              <w:spacing w:before="0" w:beforeAutospacing="0" w:after="0" w:afterAutospacing="0" w:line="440" w:lineRule="exact"/>
              <w:ind w:left="0" w:leftChars="0" w:right="0" w:rightChars="0"/>
              <w:rPr>
                <w:rFonts w:hint="default" w:ascii="宋体" w:hAnsi="宋体" w:cs="宋体"/>
                <w:color w:val="auto"/>
                <w:szCs w:val="21"/>
                <w:highlight w:val="none"/>
              </w:rPr>
            </w:pPr>
            <w:r>
              <w:rPr>
                <w:rFonts w:hint="eastAsia" w:ascii="宋体" w:hAnsi="宋体" w:cs="宋体"/>
                <w:color w:val="auto"/>
                <w:szCs w:val="21"/>
                <w:highlight w:val="none"/>
              </w:rPr>
              <w:t>法定代表人身份证明文件和本人有效身份证(或法定代表人授权委托书和委托代理人有效身份证)</w:t>
            </w:r>
          </w:p>
        </w:tc>
        <w:tc>
          <w:tcPr>
            <w:tcW w:w="1860" w:type="dxa"/>
            <w:noWrap/>
            <w:vAlign w:val="center"/>
          </w:tcPr>
          <w:p w14:paraId="21E26F07">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6C9E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6ED8330F">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59C1841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49BEE3F2">
            <w:pPr>
              <w:keepNext w:val="0"/>
              <w:keepLines w:val="0"/>
              <w:suppressLineNumbers w:val="0"/>
              <w:spacing w:before="0" w:beforeAutospacing="0" w:after="0" w:afterAutospacing="0" w:line="440" w:lineRule="exact"/>
              <w:ind w:left="0" w:leftChars="0" w:right="0" w:rightChars="0"/>
              <w:rPr>
                <w:rFonts w:hint="default" w:ascii="宋体" w:hAnsi="宋体" w:cs="宋体"/>
                <w:color w:val="auto"/>
                <w:szCs w:val="21"/>
                <w:highlight w:val="none"/>
              </w:rPr>
            </w:pPr>
            <w:r>
              <w:rPr>
                <w:rFonts w:hint="eastAsia" w:ascii="宋体" w:hAnsi="宋体" w:cs="宋体"/>
                <w:color w:val="auto"/>
                <w:szCs w:val="21"/>
                <w:highlight w:val="none"/>
              </w:rPr>
              <w:t>诚信投标承诺书</w:t>
            </w:r>
          </w:p>
        </w:tc>
        <w:tc>
          <w:tcPr>
            <w:tcW w:w="1860" w:type="dxa"/>
            <w:vMerge w:val="restart"/>
            <w:noWrap/>
            <w:vAlign w:val="center"/>
          </w:tcPr>
          <w:p w14:paraId="4125069D">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4405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5FE2869B">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400917F">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1520F5BF">
            <w:pPr>
              <w:keepNext w:val="0"/>
              <w:keepLines w:val="0"/>
              <w:suppressLineNumbers w:val="0"/>
              <w:spacing w:before="0" w:beforeAutospacing="0" w:after="0" w:afterAutospacing="0" w:line="440" w:lineRule="exact"/>
              <w:ind w:left="0" w:leftChars="0" w:right="0" w:rightChars="0"/>
              <w:rPr>
                <w:rFonts w:hint="default" w:ascii="宋体" w:hAnsi="宋体" w:cs="宋体"/>
                <w:color w:val="auto"/>
                <w:szCs w:val="21"/>
                <w:highlight w:val="none"/>
              </w:rPr>
            </w:pPr>
            <w:r>
              <w:rPr>
                <w:rFonts w:hint="eastAsia" w:ascii="宋体" w:hAnsi="宋体" w:cs="宋体"/>
                <w:color w:val="auto"/>
                <w:szCs w:val="21"/>
                <w:highlight w:val="none"/>
              </w:rPr>
              <w:t>企业法人营业执照</w:t>
            </w:r>
          </w:p>
        </w:tc>
        <w:tc>
          <w:tcPr>
            <w:tcW w:w="1860" w:type="dxa"/>
            <w:vMerge w:val="continue"/>
            <w:noWrap/>
            <w:vAlign w:val="center"/>
          </w:tcPr>
          <w:p w14:paraId="69D0FF12">
            <w:pPr>
              <w:keepNext w:val="0"/>
              <w:keepLines w:val="0"/>
              <w:suppressLineNumbers w:val="0"/>
              <w:spacing w:before="0" w:beforeAutospacing="0" w:after="0" w:afterAutospacing="0" w:line="440" w:lineRule="exact"/>
              <w:ind w:left="0" w:right="0"/>
              <w:rPr>
                <w:rFonts w:hint="default" w:ascii="宋体" w:hAnsi="宋体" w:cs="宋体"/>
                <w:b/>
                <w:color w:val="auto"/>
                <w:szCs w:val="21"/>
                <w:highlight w:val="none"/>
              </w:rPr>
            </w:pPr>
          </w:p>
        </w:tc>
      </w:tr>
      <w:tr w14:paraId="5DCB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3A0936C0">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5BCB7F33">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69D1E1E4">
            <w:pPr>
              <w:keepNext w:val="0"/>
              <w:keepLines w:val="0"/>
              <w:suppressLineNumbers w:val="0"/>
              <w:spacing w:before="0" w:beforeAutospacing="0" w:after="0" w:afterAutospacing="0" w:line="440" w:lineRule="exact"/>
              <w:ind w:left="0" w:leftChars="0" w:right="0" w:rightChars="0"/>
              <w:rPr>
                <w:rFonts w:hint="default"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noWrap/>
            <w:vAlign w:val="center"/>
          </w:tcPr>
          <w:p w14:paraId="43575C2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60A4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9B3405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4903A745">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795F09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cs="宋体"/>
                <w:color w:val="auto"/>
                <w:szCs w:val="21"/>
                <w:highlight w:val="none"/>
              </w:rPr>
            </w:pPr>
            <w:r>
              <w:rPr>
                <w:rFonts w:hint="eastAsia" w:ascii="宋体" w:hAnsi="宋体" w:cs="宋体"/>
                <w:color w:val="auto"/>
                <w:szCs w:val="21"/>
                <w:highlight w:val="none"/>
              </w:rPr>
              <w:t>企业安全生产许可证</w:t>
            </w:r>
          </w:p>
        </w:tc>
        <w:tc>
          <w:tcPr>
            <w:tcW w:w="1860" w:type="dxa"/>
            <w:vMerge w:val="continue"/>
            <w:noWrap/>
            <w:vAlign w:val="center"/>
          </w:tcPr>
          <w:p w14:paraId="78DCBD7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7AAA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22331E3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4162073">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458493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宋体" w:hAnsi="宋体" w:cs="宋体"/>
                <w:color w:val="auto"/>
                <w:szCs w:val="21"/>
                <w:highlight w:val="none"/>
              </w:rPr>
            </w:pPr>
            <w:r>
              <w:rPr>
                <w:rFonts w:hint="eastAsia" w:ascii="宋体" w:hAnsi="宋体" w:cs="宋体"/>
                <w:color w:val="auto"/>
                <w:szCs w:val="21"/>
                <w:highlight w:val="none"/>
              </w:rPr>
              <w:t>项目经理（建造师）有效身份证、注册证书以及安全生产考核合格证书（B证）</w:t>
            </w:r>
          </w:p>
        </w:tc>
        <w:tc>
          <w:tcPr>
            <w:tcW w:w="1860" w:type="dxa"/>
            <w:vMerge w:val="continue"/>
            <w:noWrap/>
            <w:vAlign w:val="center"/>
          </w:tcPr>
          <w:p w14:paraId="3386B31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3757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7E10DE03">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1A49920B">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1D32CA5C">
            <w:pPr>
              <w:keepNext w:val="0"/>
              <w:keepLines w:val="0"/>
              <w:suppressLineNumbers w:val="0"/>
              <w:spacing w:before="0" w:beforeAutospacing="0" w:after="0" w:afterAutospacing="0" w:line="440" w:lineRule="exact"/>
              <w:ind w:left="0" w:leftChars="0" w:right="0" w:rightChars="0"/>
              <w:rPr>
                <w:rFonts w:hint="default" w:ascii="宋体" w:hAnsi="宋体" w:cs="宋体"/>
                <w:color w:val="auto"/>
                <w:highlight w:val="none"/>
              </w:rPr>
            </w:pPr>
            <w:r>
              <w:rPr>
                <w:rFonts w:hint="eastAsia" w:ascii="宋体" w:hAnsi="宋体" w:cs="宋体"/>
                <w:color w:val="auto"/>
                <w:szCs w:val="21"/>
                <w:highlight w:val="none"/>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4D8EEAC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43BF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65" w:type="dxa"/>
            <w:vMerge w:val="continue"/>
            <w:noWrap/>
            <w:vAlign w:val="center"/>
          </w:tcPr>
          <w:p w14:paraId="59E9185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09FE9AFD">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46B844F5">
            <w:pPr>
              <w:keepNext w:val="0"/>
              <w:keepLines w:val="0"/>
              <w:suppressLineNumbers w:val="0"/>
              <w:adjustRightInd w:val="0"/>
              <w:snapToGrid w:val="0"/>
              <w:spacing w:before="0" w:beforeAutospacing="0" w:after="0" w:afterAutospacing="0" w:line="56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项目管理机构。查看项目管理机构主要人员组成表</w:t>
            </w:r>
          </w:p>
        </w:tc>
        <w:tc>
          <w:tcPr>
            <w:tcW w:w="1860" w:type="dxa"/>
            <w:vMerge w:val="continue"/>
            <w:noWrap/>
            <w:vAlign w:val="center"/>
          </w:tcPr>
          <w:p w14:paraId="28772A5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56CF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65" w:type="dxa"/>
            <w:vMerge w:val="continue"/>
            <w:noWrap/>
            <w:vAlign w:val="center"/>
          </w:tcPr>
          <w:p w14:paraId="3D7983CB">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64EF4EA1">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443BA044">
            <w:pPr>
              <w:keepNext w:val="0"/>
              <w:keepLines w:val="0"/>
              <w:suppressLineNumbers w:val="0"/>
              <w:adjustRightInd w:val="0"/>
              <w:snapToGrid w:val="0"/>
              <w:spacing w:before="0" w:beforeAutospacing="0" w:after="0" w:afterAutospacing="0" w:line="560" w:lineRule="exact"/>
              <w:ind w:left="0" w:leftChars="0" w:right="0" w:rightChars="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承诺函：现场施工人员必须有50%以上是承包人单位自有人员，否则，按照10000元/人进行处罚。承诺函格式见附件</w:t>
            </w:r>
          </w:p>
        </w:tc>
        <w:tc>
          <w:tcPr>
            <w:tcW w:w="1860" w:type="dxa"/>
            <w:vMerge w:val="continue"/>
            <w:noWrap/>
            <w:vAlign w:val="center"/>
          </w:tcPr>
          <w:p w14:paraId="6BBA6DC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19C4D1A4">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重要提示：</w:t>
      </w:r>
    </w:p>
    <w:p w14:paraId="76D9F65A">
      <w:pPr>
        <w:spacing w:line="440" w:lineRule="exact"/>
        <w:ind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r>
        <w:rPr>
          <w:rFonts w:hint="eastAsia" w:ascii="宋体" w:hAnsi="宋体" w:cs="宋体"/>
          <w:b/>
          <w:bCs/>
          <w:color w:val="auto"/>
          <w:szCs w:val="21"/>
          <w:highlight w:val="none"/>
          <w:lang w:eastAsia="zh-CN"/>
        </w:rPr>
        <w:t>。</w:t>
      </w:r>
    </w:p>
    <w:p w14:paraId="079C6507">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投标人拟委任项目经理为注册建造师（含一级、二级）的，须提供有效的纸质版电子证书。投标人打印纸质电子证书后，应由建造师本人在个人签名栏手写本人签名，或附其本人知情承诺，未手写签名或与签名图片笔迹不一致的，该打印的纸质证书无效（其他省份建造师电子证书执行该省现行政策规定）。投标人应对其提供的纸质版电子证书真实性、有效性负责。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r>
        <w:rPr>
          <w:rFonts w:hint="eastAsia" w:ascii="宋体" w:hAnsi="宋体" w:cs="宋体"/>
          <w:b/>
          <w:bCs/>
          <w:color w:val="auto"/>
          <w:szCs w:val="21"/>
          <w:highlight w:val="none"/>
        </w:rPr>
        <w:t>。</w:t>
      </w:r>
    </w:p>
    <w:p w14:paraId="08A6ECFF">
      <w:pPr>
        <w:pStyle w:val="7"/>
        <w:spacing w:beforeLines="50" w:afterLines="50"/>
        <w:ind w:firstLine="422" w:firstLineChars="200"/>
        <w:rPr>
          <w:rFonts w:ascii="宋体" w:hAnsi="宋体" w:eastAsia="宋体" w:cs="宋体"/>
          <w:color w:val="auto"/>
          <w:highlight w:val="none"/>
        </w:rPr>
      </w:pPr>
      <w:bookmarkStart w:id="716" w:name="_Toc35424942"/>
      <w:bookmarkStart w:id="717" w:name="_Toc78803377"/>
      <w:bookmarkStart w:id="718" w:name="_Toc35425108"/>
      <w:bookmarkStart w:id="719" w:name="_Toc506107320"/>
      <w:bookmarkStart w:id="720" w:name="_Toc12549"/>
      <w:bookmarkStart w:id="721" w:name="_Toc15058909"/>
      <w:bookmarkStart w:id="722" w:name="_Toc324404867"/>
      <w:r>
        <w:rPr>
          <w:rFonts w:hint="eastAsia" w:ascii="宋体" w:hAnsi="宋体" w:eastAsia="宋体" w:cs="宋体"/>
          <w:color w:val="auto"/>
          <w:highlight w:val="none"/>
        </w:rPr>
        <w:t>2.审查办法</w:t>
      </w:r>
      <w:bookmarkEnd w:id="716"/>
      <w:bookmarkEnd w:id="717"/>
      <w:bookmarkEnd w:id="718"/>
      <w:bookmarkEnd w:id="719"/>
      <w:bookmarkEnd w:id="720"/>
      <w:bookmarkEnd w:id="721"/>
      <w:bookmarkEnd w:id="722"/>
    </w:p>
    <w:p w14:paraId="468366C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0C2BB022">
      <w:pPr>
        <w:pStyle w:val="7"/>
        <w:spacing w:beforeLines="50" w:afterLines="50"/>
        <w:ind w:firstLine="422" w:firstLineChars="200"/>
        <w:rPr>
          <w:rFonts w:ascii="宋体" w:hAnsi="宋体" w:eastAsia="宋体" w:cs="宋体"/>
          <w:color w:val="auto"/>
          <w:highlight w:val="none"/>
        </w:rPr>
      </w:pPr>
      <w:bookmarkStart w:id="723" w:name="_Toc35425109"/>
      <w:bookmarkStart w:id="724" w:name="_Toc324404868"/>
      <w:bookmarkStart w:id="725" w:name="_Toc78803378"/>
      <w:bookmarkStart w:id="726" w:name="_Toc35424943"/>
      <w:bookmarkStart w:id="727" w:name="_Toc15626"/>
      <w:bookmarkStart w:id="728" w:name="_Toc15058910"/>
      <w:bookmarkStart w:id="729" w:name="_Toc506107321"/>
      <w:r>
        <w:rPr>
          <w:rFonts w:hint="eastAsia" w:ascii="宋体" w:hAnsi="宋体" w:eastAsia="宋体" w:cs="宋体"/>
          <w:color w:val="auto"/>
          <w:highlight w:val="none"/>
        </w:rPr>
        <w:t>3.资格审查委员会和审查标准</w:t>
      </w:r>
      <w:bookmarkEnd w:id="723"/>
      <w:bookmarkEnd w:id="724"/>
      <w:bookmarkEnd w:id="725"/>
      <w:bookmarkEnd w:id="726"/>
      <w:bookmarkEnd w:id="727"/>
      <w:bookmarkEnd w:id="728"/>
      <w:bookmarkEnd w:id="729"/>
    </w:p>
    <w:p w14:paraId="7B9B31D6">
      <w:pPr>
        <w:spacing w:line="440" w:lineRule="exact"/>
        <w:ind w:firstLine="420" w:firstLineChars="200"/>
        <w:jc w:val="left"/>
        <w:rPr>
          <w:rFonts w:hint="eastAsia" w:ascii="宋体" w:hAnsi="宋体" w:eastAsia="宋体" w:cs="宋体"/>
          <w:color w:val="auto"/>
          <w:szCs w:val="21"/>
          <w:highlight w:val="none"/>
        </w:rPr>
      </w:pPr>
      <w:bookmarkStart w:id="730" w:name="_Toc506107322"/>
      <w:bookmarkStart w:id="731" w:name="_Toc35425110"/>
      <w:bookmarkStart w:id="732" w:name="_Toc35424944"/>
      <w:bookmarkStart w:id="733" w:name="_Toc10330"/>
      <w:bookmarkStart w:id="734" w:name="_Toc78803379"/>
      <w:bookmarkStart w:id="735" w:name="_Toc324404869"/>
      <w:bookmarkStart w:id="736" w:name="_Toc15058911"/>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14:paraId="5472A9A0">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442F9B89">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未上传电子标书或电子标书经审查不合格；</w:t>
      </w:r>
    </w:p>
    <w:p w14:paraId="1E88E023">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招标公告</w:t>
      </w:r>
      <w:r>
        <w:rPr>
          <w:rFonts w:hint="eastAsia" w:ascii="宋体" w:hAnsi="宋体" w:eastAsia="宋体" w:cs="宋体"/>
          <w:color w:val="auto"/>
          <w:szCs w:val="21"/>
          <w:highlight w:val="none"/>
        </w:rPr>
        <w:t>要求提交投标保证金的；</w:t>
      </w:r>
    </w:p>
    <w:p w14:paraId="0C4AA11B">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）法律、法规规定的其他情形。</w:t>
      </w:r>
    </w:p>
    <w:p w14:paraId="7E3C3EC4">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4.审查结果</w:t>
      </w:r>
      <w:bookmarkEnd w:id="730"/>
      <w:bookmarkEnd w:id="731"/>
      <w:bookmarkEnd w:id="732"/>
      <w:bookmarkEnd w:id="733"/>
      <w:bookmarkEnd w:id="734"/>
      <w:bookmarkEnd w:id="735"/>
      <w:bookmarkEnd w:id="736"/>
    </w:p>
    <w:p w14:paraId="4DEDA62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737" w:name="_Toc506107323"/>
    </w:p>
    <w:p w14:paraId="38475816">
      <w:pPr>
        <w:pStyle w:val="6"/>
        <w:numPr>
          <w:ilvl w:val="0"/>
          <w:numId w:val="3"/>
        </w:numPr>
        <w:spacing w:beforeLines="50" w:afterLines="50"/>
        <w:rPr>
          <w:rFonts w:hint="eastAsia" w:ascii="Arial" w:hAnsi="Arial"/>
          <w:color w:val="auto"/>
          <w:kern w:val="0"/>
          <w:sz w:val="32"/>
          <w:szCs w:val="32"/>
          <w:highlight w:val="none"/>
        </w:rPr>
      </w:pPr>
      <w:bookmarkStart w:id="738" w:name="_Toc35424945"/>
      <w:bookmarkStart w:id="739" w:name="_Toc15058912"/>
      <w:bookmarkStart w:id="740" w:name="_Toc35425111"/>
      <w:r>
        <w:rPr>
          <w:rFonts w:hint="eastAsia"/>
          <w:color w:val="auto"/>
          <w:highlight w:val="none"/>
        </w:rPr>
        <w:br w:type="page"/>
      </w:r>
      <w:bookmarkStart w:id="741" w:name="_Toc78803380"/>
      <w:r>
        <w:rPr>
          <w:rFonts w:hint="eastAsia" w:ascii="Arial" w:hAnsi="Arial"/>
          <w:color w:val="auto"/>
          <w:kern w:val="0"/>
          <w:sz w:val="32"/>
          <w:szCs w:val="32"/>
          <w:highlight w:val="none"/>
        </w:rPr>
        <w:t xml:space="preserve"> </w:t>
      </w:r>
      <w:bookmarkStart w:id="742" w:name="_Toc32602"/>
      <w:bookmarkStart w:id="743" w:name="_Toc30518"/>
      <w:bookmarkStart w:id="744" w:name="_Toc1286"/>
      <w:r>
        <w:rPr>
          <w:rFonts w:hint="eastAsia" w:ascii="Arial" w:hAnsi="Arial"/>
          <w:color w:val="auto"/>
          <w:kern w:val="0"/>
          <w:sz w:val="32"/>
          <w:szCs w:val="32"/>
          <w:highlight w:val="none"/>
        </w:rPr>
        <w:t>评标办法</w:t>
      </w:r>
      <w:bookmarkEnd w:id="609"/>
      <w:bookmarkEnd w:id="737"/>
      <w:bookmarkEnd w:id="738"/>
      <w:bookmarkEnd w:id="739"/>
      <w:bookmarkEnd w:id="740"/>
      <w:bookmarkEnd w:id="741"/>
      <w:bookmarkEnd w:id="742"/>
      <w:bookmarkEnd w:id="743"/>
      <w:bookmarkEnd w:id="744"/>
    </w:p>
    <w:p w14:paraId="70C0EF81">
      <w:pPr>
        <w:pStyle w:val="2"/>
        <w:adjustRightInd w:val="0"/>
        <w:snapToGrid w:val="0"/>
        <w:spacing w:after="0" w:line="560" w:lineRule="exact"/>
        <w:ind w:left="0" w:leftChars="0" w:firstLine="0" w:firstLineChars="0"/>
        <w:jc w:val="center"/>
        <w:rPr>
          <w:rFonts w:hint="eastAsia"/>
          <w:color w:val="auto"/>
          <w:sz w:val="25"/>
          <w:highlight w:val="none"/>
        </w:rPr>
      </w:pPr>
      <w:bookmarkStart w:id="745" w:name="_Toc16721"/>
      <w:bookmarkStart w:id="746" w:name="_Toc152042546"/>
      <w:bookmarkStart w:id="747" w:name="_Toc144974826"/>
      <w:bookmarkStart w:id="748" w:name="_Toc152045767"/>
      <w:bookmarkStart w:id="749" w:name="_Toc179632785"/>
      <w:r>
        <w:rPr>
          <w:rFonts w:hint="eastAsia"/>
          <w:color w:val="auto"/>
          <w:sz w:val="25"/>
          <w:highlight w:val="none"/>
        </w:rPr>
        <w:t>技术标评审</w:t>
      </w:r>
    </w:p>
    <w:tbl>
      <w:tblPr>
        <w:tblStyle w:val="47"/>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221"/>
        <w:gridCol w:w="730"/>
        <w:gridCol w:w="545"/>
        <w:gridCol w:w="2135"/>
        <w:gridCol w:w="4475"/>
      </w:tblGrid>
      <w:tr w14:paraId="192B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2129" w:type="dxa"/>
            <w:gridSpan w:val="2"/>
            <w:noWrap w:val="0"/>
            <w:vAlign w:val="center"/>
          </w:tcPr>
          <w:p w14:paraId="2CF78120">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条款号</w:t>
            </w:r>
          </w:p>
        </w:tc>
        <w:tc>
          <w:tcPr>
            <w:tcW w:w="3410" w:type="dxa"/>
            <w:gridSpan w:val="3"/>
            <w:noWrap w:val="0"/>
            <w:vAlign w:val="center"/>
          </w:tcPr>
          <w:p w14:paraId="0C1F9101">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评审因素</w:t>
            </w:r>
          </w:p>
        </w:tc>
        <w:tc>
          <w:tcPr>
            <w:tcW w:w="4475" w:type="dxa"/>
            <w:noWrap w:val="0"/>
            <w:vAlign w:val="center"/>
          </w:tcPr>
          <w:p w14:paraId="177FDE4E">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评审标准</w:t>
            </w:r>
          </w:p>
        </w:tc>
      </w:tr>
      <w:tr w14:paraId="7FAA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restart"/>
            <w:noWrap w:val="0"/>
            <w:vAlign w:val="center"/>
          </w:tcPr>
          <w:p w14:paraId="18131C1C">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4.1.1</w:t>
            </w:r>
          </w:p>
        </w:tc>
        <w:tc>
          <w:tcPr>
            <w:tcW w:w="1221" w:type="dxa"/>
            <w:vMerge w:val="restart"/>
            <w:noWrap w:val="0"/>
            <w:vAlign w:val="center"/>
          </w:tcPr>
          <w:p w14:paraId="0DFE0D8E">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形式评审标准</w:t>
            </w:r>
          </w:p>
        </w:tc>
        <w:tc>
          <w:tcPr>
            <w:tcW w:w="3410" w:type="dxa"/>
            <w:gridSpan w:val="3"/>
            <w:noWrap w:val="0"/>
            <w:vAlign w:val="center"/>
          </w:tcPr>
          <w:p w14:paraId="74F79E7D">
            <w:pPr>
              <w:keepNext w:val="0"/>
              <w:keepLines w:val="0"/>
              <w:suppressLineNumbers w:val="0"/>
              <w:adjustRightInd w:val="0"/>
              <w:snapToGrid w:val="0"/>
              <w:spacing w:before="0" w:beforeAutospacing="0" w:after="0" w:afterAutospacing="0" w:line="560" w:lineRule="exact"/>
              <w:ind w:left="0" w:right="0"/>
              <w:jc w:val="center"/>
              <w:textAlignment w:val="baseline"/>
              <w:rPr>
                <w:rFonts w:hint="default"/>
                <w:color w:val="auto"/>
                <w:szCs w:val="21"/>
                <w:highlight w:val="none"/>
              </w:rPr>
            </w:pPr>
            <w:r>
              <w:rPr>
                <w:rFonts w:hint="default"/>
                <w:color w:val="auto"/>
                <w:szCs w:val="21"/>
                <w:highlight w:val="none"/>
              </w:rPr>
              <w:t>投标人名称</w:t>
            </w:r>
          </w:p>
        </w:tc>
        <w:tc>
          <w:tcPr>
            <w:tcW w:w="4475" w:type="dxa"/>
            <w:noWrap w:val="0"/>
            <w:vAlign w:val="center"/>
          </w:tcPr>
          <w:p w14:paraId="69E27FE7">
            <w:pPr>
              <w:keepNext w:val="0"/>
              <w:keepLines w:val="0"/>
              <w:suppressLineNumbers w:val="0"/>
              <w:adjustRightInd w:val="0"/>
              <w:snapToGrid w:val="0"/>
              <w:spacing w:before="0" w:beforeAutospacing="0" w:after="0" w:afterAutospacing="0" w:line="560" w:lineRule="exact"/>
              <w:ind w:left="0" w:right="0"/>
              <w:jc w:val="center"/>
              <w:textAlignment w:val="baseline"/>
              <w:rPr>
                <w:rFonts w:hint="default"/>
                <w:color w:val="auto"/>
                <w:szCs w:val="21"/>
                <w:highlight w:val="none"/>
              </w:rPr>
            </w:pPr>
            <w:r>
              <w:rPr>
                <w:rFonts w:hint="default"/>
                <w:color w:val="auto"/>
                <w:szCs w:val="21"/>
                <w:highlight w:val="none"/>
              </w:rPr>
              <w:t>与营业执照、资质证书</w:t>
            </w:r>
            <w:r>
              <w:rPr>
                <w:rFonts w:hint="eastAsia"/>
                <w:color w:val="auto"/>
                <w:szCs w:val="21"/>
                <w:highlight w:val="none"/>
              </w:rPr>
              <w:t>、安全生产许可证</w:t>
            </w:r>
            <w:r>
              <w:rPr>
                <w:rFonts w:hint="default"/>
                <w:color w:val="auto"/>
                <w:szCs w:val="21"/>
                <w:highlight w:val="none"/>
              </w:rPr>
              <w:t>一致</w:t>
            </w:r>
            <w:r>
              <w:rPr>
                <w:rFonts w:hint="eastAsia"/>
                <w:color w:val="auto"/>
                <w:szCs w:val="21"/>
                <w:highlight w:val="none"/>
              </w:rPr>
              <w:t>。</w:t>
            </w:r>
          </w:p>
        </w:tc>
      </w:tr>
      <w:tr w14:paraId="0288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142D7AD5">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1221" w:type="dxa"/>
            <w:vMerge w:val="continue"/>
            <w:noWrap w:val="0"/>
            <w:vAlign w:val="center"/>
          </w:tcPr>
          <w:p w14:paraId="51CDFDF8">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3410" w:type="dxa"/>
            <w:gridSpan w:val="3"/>
            <w:noWrap w:val="0"/>
            <w:vAlign w:val="center"/>
          </w:tcPr>
          <w:p w14:paraId="6BB01DA0">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投标文件格式</w:t>
            </w:r>
          </w:p>
        </w:tc>
        <w:tc>
          <w:tcPr>
            <w:tcW w:w="4475" w:type="dxa"/>
            <w:noWrap w:val="0"/>
            <w:vAlign w:val="center"/>
          </w:tcPr>
          <w:p w14:paraId="52FF2C3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符合第九章“投标文件格式”的要求，</w:t>
            </w:r>
          </w:p>
          <w:p w14:paraId="18A3834B">
            <w:pPr>
              <w:keepNext w:val="0"/>
              <w:keepLines w:val="0"/>
              <w:suppressLineNumbers w:val="0"/>
              <w:adjustRightInd w:val="0"/>
              <w:snapToGrid w:val="0"/>
              <w:spacing w:before="0" w:beforeAutospacing="0" w:after="0" w:afterAutospacing="0" w:line="560" w:lineRule="exact"/>
              <w:ind w:left="0" w:right="0"/>
              <w:rPr>
                <w:rFonts w:hint="default" w:ascii="宋体" w:hAnsi="宋体" w:cs="宋体"/>
                <w:b/>
                <w:color w:val="auto"/>
                <w:spacing w:val="-6"/>
                <w:szCs w:val="21"/>
                <w:highlight w:val="none"/>
              </w:rPr>
            </w:pPr>
            <w:r>
              <w:rPr>
                <w:rFonts w:hint="eastAsia" w:ascii="宋体" w:hAnsi="宋体" w:cs="宋体"/>
                <w:color w:val="auto"/>
                <w:szCs w:val="21"/>
                <w:highlight w:val="none"/>
              </w:rPr>
              <w:t>否则经评委会一致认定后,按照无效投标处理。</w:t>
            </w:r>
          </w:p>
        </w:tc>
      </w:tr>
      <w:tr w14:paraId="4721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restart"/>
            <w:noWrap w:val="0"/>
            <w:vAlign w:val="center"/>
          </w:tcPr>
          <w:p w14:paraId="047AE163">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4.1.2</w:t>
            </w:r>
          </w:p>
        </w:tc>
        <w:tc>
          <w:tcPr>
            <w:tcW w:w="1221" w:type="dxa"/>
            <w:vMerge w:val="restart"/>
            <w:noWrap w:val="0"/>
            <w:vAlign w:val="center"/>
          </w:tcPr>
          <w:p w14:paraId="0C0700B8">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响应性评审标准（初步评审）</w:t>
            </w:r>
          </w:p>
        </w:tc>
        <w:tc>
          <w:tcPr>
            <w:tcW w:w="3410" w:type="dxa"/>
            <w:gridSpan w:val="3"/>
            <w:noWrap w:val="0"/>
            <w:vAlign w:val="center"/>
          </w:tcPr>
          <w:p w14:paraId="4933CC93">
            <w:pPr>
              <w:keepNext w:val="0"/>
              <w:keepLines w:val="0"/>
              <w:suppressLineNumbers w:val="0"/>
              <w:adjustRightInd w:val="0"/>
              <w:snapToGrid w:val="0"/>
              <w:spacing w:before="0" w:beforeAutospacing="0" w:after="0" w:afterAutospacing="0" w:line="560" w:lineRule="exact"/>
              <w:ind w:left="0" w:right="0"/>
              <w:jc w:val="center"/>
              <w:textAlignment w:val="baseline"/>
              <w:rPr>
                <w:rFonts w:hint="default"/>
                <w:color w:val="auto"/>
                <w:szCs w:val="21"/>
                <w:highlight w:val="none"/>
              </w:rPr>
            </w:pPr>
            <w:r>
              <w:rPr>
                <w:rFonts w:hint="default"/>
                <w:color w:val="auto"/>
                <w:szCs w:val="21"/>
                <w:highlight w:val="none"/>
              </w:rPr>
              <w:t>投标内容</w:t>
            </w:r>
          </w:p>
        </w:tc>
        <w:tc>
          <w:tcPr>
            <w:tcW w:w="4475" w:type="dxa"/>
            <w:noWrap w:val="0"/>
            <w:vAlign w:val="center"/>
          </w:tcPr>
          <w:p w14:paraId="52D88FD3">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章“投标人须知”规定。</w:t>
            </w:r>
          </w:p>
        </w:tc>
      </w:tr>
      <w:tr w14:paraId="2FFA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54D02835">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1221" w:type="dxa"/>
            <w:vMerge w:val="continue"/>
            <w:noWrap w:val="0"/>
            <w:vAlign w:val="center"/>
          </w:tcPr>
          <w:p w14:paraId="1E3D5122">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3410" w:type="dxa"/>
            <w:gridSpan w:val="3"/>
            <w:noWrap w:val="0"/>
            <w:vAlign w:val="center"/>
          </w:tcPr>
          <w:p w14:paraId="603ADA53">
            <w:pPr>
              <w:keepNext w:val="0"/>
              <w:keepLines w:val="0"/>
              <w:suppressLineNumbers w:val="0"/>
              <w:adjustRightInd w:val="0"/>
              <w:snapToGrid w:val="0"/>
              <w:spacing w:before="0" w:beforeAutospacing="0" w:after="0" w:afterAutospacing="0" w:line="560" w:lineRule="exact"/>
              <w:ind w:left="0" w:right="0"/>
              <w:jc w:val="center"/>
              <w:textAlignment w:val="baseline"/>
              <w:rPr>
                <w:rFonts w:hint="default"/>
                <w:color w:val="auto"/>
                <w:szCs w:val="21"/>
                <w:highlight w:val="none"/>
              </w:rPr>
            </w:pPr>
            <w:r>
              <w:rPr>
                <w:rFonts w:hint="default"/>
                <w:color w:val="auto"/>
                <w:szCs w:val="21"/>
                <w:highlight w:val="none"/>
              </w:rPr>
              <w:t>工期</w:t>
            </w:r>
          </w:p>
        </w:tc>
        <w:tc>
          <w:tcPr>
            <w:tcW w:w="4475" w:type="dxa"/>
            <w:noWrap w:val="0"/>
            <w:vAlign w:val="center"/>
          </w:tcPr>
          <w:p w14:paraId="675965E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章“投标人须知”规定。</w:t>
            </w:r>
          </w:p>
        </w:tc>
      </w:tr>
      <w:tr w14:paraId="01A2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top"/>
          </w:tcPr>
          <w:p w14:paraId="428DAF7C">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1221" w:type="dxa"/>
            <w:vMerge w:val="continue"/>
            <w:noWrap w:val="0"/>
            <w:vAlign w:val="center"/>
          </w:tcPr>
          <w:p w14:paraId="64FD4016">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3410" w:type="dxa"/>
            <w:gridSpan w:val="3"/>
            <w:noWrap w:val="0"/>
            <w:vAlign w:val="center"/>
          </w:tcPr>
          <w:p w14:paraId="76147C5F">
            <w:pPr>
              <w:keepNext w:val="0"/>
              <w:keepLines w:val="0"/>
              <w:suppressLineNumbers w:val="0"/>
              <w:adjustRightInd w:val="0"/>
              <w:snapToGrid w:val="0"/>
              <w:spacing w:before="0" w:beforeAutospacing="0" w:after="0" w:afterAutospacing="0" w:line="560" w:lineRule="exact"/>
              <w:ind w:left="0" w:right="0"/>
              <w:jc w:val="center"/>
              <w:textAlignment w:val="baseline"/>
              <w:rPr>
                <w:rFonts w:hint="default"/>
                <w:color w:val="auto"/>
                <w:szCs w:val="21"/>
                <w:highlight w:val="none"/>
              </w:rPr>
            </w:pPr>
            <w:r>
              <w:rPr>
                <w:rFonts w:hint="default"/>
                <w:color w:val="auto"/>
                <w:szCs w:val="21"/>
                <w:highlight w:val="none"/>
              </w:rPr>
              <w:t>权利义务</w:t>
            </w:r>
          </w:p>
        </w:tc>
        <w:tc>
          <w:tcPr>
            <w:tcW w:w="4475" w:type="dxa"/>
            <w:noWrap w:val="0"/>
            <w:vAlign w:val="center"/>
          </w:tcPr>
          <w:p w14:paraId="07BB956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章“合同条款及格式”规定。</w:t>
            </w:r>
          </w:p>
        </w:tc>
      </w:tr>
      <w:tr w14:paraId="7CA4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vMerge w:val="continue"/>
            <w:noWrap w:val="0"/>
            <w:vAlign w:val="top"/>
          </w:tcPr>
          <w:p w14:paraId="7443DA4E">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1221" w:type="dxa"/>
            <w:vMerge w:val="continue"/>
            <w:noWrap w:val="0"/>
            <w:vAlign w:val="center"/>
          </w:tcPr>
          <w:p w14:paraId="08605157">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3410" w:type="dxa"/>
            <w:gridSpan w:val="3"/>
            <w:noWrap w:val="0"/>
            <w:vAlign w:val="center"/>
          </w:tcPr>
          <w:p w14:paraId="424DB3DB">
            <w:pPr>
              <w:keepNext w:val="0"/>
              <w:keepLines w:val="0"/>
              <w:suppressLineNumbers w:val="0"/>
              <w:adjustRightInd w:val="0"/>
              <w:snapToGrid w:val="0"/>
              <w:spacing w:before="0" w:beforeAutospacing="0" w:after="0" w:afterAutospacing="0" w:line="560" w:lineRule="exact"/>
              <w:ind w:left="0" w:right="0"/>
              <w:jc w:val="center"/>
              <w:textAlignment w:val="baseline"/>
              <w:rPr>
                <w:rFonts w:hint="default"/>
                <w:color w:val="auto"/>
                <w:szCs w:val="21"/>
                <w:highlight w:val="none"/>
              </w:rPr>
            </w:pPr>
            <w:r>
              <w:rPr>
                <w:rFonts w:hint="eastAsia"/>
                <w:color w:val="auto"/>
                <w:szCs w:val="21"/>
                <w:highlight w:val="none"/>
              </w:rPr>
              <w:t>技术标准和要求</w:t>
            </w:r>
          </w:p>
        </w:tc>
        <w:tc>
          <w:tcPr>
            <w:tcW w:w="4475" w:type="dxa"/>
            <w:noWrap w:val="0"/>
            <w:vAlign w:val="center"/>
          </w:tcPr>
          <w:p w14:paraId="3DB68C05">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符合第</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章“技术标准和要求”规定。</w:t>
            </w:r>
          </w:p>
        </w:tc>
      </w:tr>
      <w:tr w14:paraId="5F67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8" w:type="dxa"/>
            <w:vMerge w:val="continue"/>
            <w:noWrap w:val="0"/>
            <w:vAlign w:val="top"/>
          </w:tcPr>
          <w:p w14:paraId="3389E7B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restart"/>
            <w:noWrap w:val="0"/>
            <w:vAlign w:val="center"/>
          </w:tcPr>
          <w:p w14:paraId="21B88C04">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响应性评审标准（符合性评审）</w:t>
            </w:r>
          </w:p>
        </w:tc>
        <w:tc>
          <w:tcPr>
            <w:tcW w:w="730" w:type="dxa"/>
            <w:vMerge w:val="restart"/>
            <w:noWrap w:val="0"/>
            <w:vAlign w:val="center"/>
          </w:tcPr>
          <w:p w14:paraId="7C6C29F8">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p w14:paraId="25641ACE">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p w14:paraId="4E2992D5">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p w14:paraId="03EC2702">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p w14:paraId="54FE517F">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p w14:paraId="206A5763">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施工组织设计</w:t>
            </w:r>
          </w:p>
        </w:tc>
        <w:tc>
          <w:tcPr>
            <w:tcW w:w="545" w:type="dxa"/>
            <w:noWrap w:val="0"/>
            <w:vAlign w:val="center"/>
          </w:tcPr>
          <w:p w14:paraId="6506B1D2">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w:t>
            </w:r>
          </w:p>
        </w:tc>
        <w:tc>
          <w:tcPr>
            <w:tcW w:w="2135" w:type="dxa"/>
            <w:noWrap w:val="0"/>
            <w:vAlign w:val="center"/>
          </w:tcPr>
          <w:p w14:paraId="5FAB43AB">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工程概况</w:t>
            </w:r>
          </w:p>
        </w:tc>
        <w:tc>
          <w:tcPr>
            <w:tcW w:w="4475" w:type="dxa"/>
            <w:noWrap w:val="0"/>
            <w:vAlign w:val="center"/>
          </w:tcPr>
          <w:p w14:paraId="480CF857">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描述是否准确。</w:t>
            </w:r>
          </w:p>
        </w:tc>
      </w:tr>
      <w:tr w14:paraId="0127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top"/>
          </w:tcPr>
          <w:p w14:paraId="2ACB0D20">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425E39E7">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23308FEF">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48FF57FC">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w:t>
            </w:r>
          </w:p>
        </w:tc>
        <w:tc>
          <w:tcPr>
            <w:tcW w:w="2135" w:type="dxa"/>
            <w:noWrap w:val="0"/>
            <w:vAlign w:val="center"/>
          </w:tcPr>
          <w:p w14:paraId="131296A4">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主要施工方法</w:t>
            </w:r>
          </w:p>
        </w:tc>
        <w:tc>
          <w:tcPr>
            <w:tcW w:w="4475" w:type="dxa"/>
            <w:noWrap w:val="0"/>
            <w:vAlign w:val="center"/>
          </w:tcPr>
          <w:p w14:paraId="31EEA89E">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各主要分部施工方法符合项目实际，须有详尽的施工技术方案，工艺先进、方法科学合理、可行，能指导具体施工并确保安全。</w:t>
            </w:r>
          </w:p>
        </w:tc>
      </w:tr>
      <w:tr w14:paraId="5DEB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8" w:type="dxa"/>
            <w:vMerge w:val="continue"/>
            <w:noWrap w:val="0"/>
            <w:vAlign w:val="top"/>
          </w:tcPr>
          <w:p w14:paraId="70E1233F">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59C26007">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0EFDBEEC">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1E2CAC42">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w:t>
            </w:r>
          </w:p>
        </w:tc>
        <w:tc>
          <w:tcPr>
            <w:tcW w:w="2135" w:type="dxa"/>
            <w:noWrap w:val="0"/>
            <w:vAlign w:val="center"/>
          </w:tcPr>
          <w:p w14:paraId="31B8D87F">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拟投入的主要物资计划</w:t>
            </w:r>
          </w:p>
        </w:tc>
        <w:tc>
          <w:tcPr>
            <w:tcW w:w="4475" w:type="dxa"/>
            <w:noWrap w:val="0"/>
            <w:vAlign w:val="center"/>
          </w:tcPr>
          <w:p w14:paraId="4BDD1F6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投入的施工材料有详细计划且计划周密，数量、选型配置、进场数量、时间安排合理，满足施工需要。</w:t>
            </w:r>
          </w:p>
        </w:tc>
      </w:tr>
      <w:tr w14:paraId="33B0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08" w:type="dxa"/>
            <w:vMerge w:val="continue"/>
            <w:noWrap w:val="0"/>
            <w:vAlign w:val="top"/>
          </w:tcPr>
          <w:p w14:paraId="78FB21D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15699258">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3EBB5C9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2F999147">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w:t>
            </w:r>
          </w:p>
        </w:tc>
        <w:tc>
          <w:tcPr>
            <w:tcW w:w="2135" w:type="dxa"/>
            <w:noWrap w:val="0"/>
            <w:vAlign w:val="center"/>
          </w:tcPr>
          <w:p w14:paraId="7388C17D">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拟投入的主要施工机械、设备计划</w:t>
            </w:r>
          </w:p>
        </w:tc>
        <w:tc>
          <w:tcPr>
            <w:tcW w:w="4475" w:type="dxa"/>
            <w:noWrap w:val="0"/>
            <w:vAlign w:val="center"/>
          </w:tcPr>
          <w:p w14:paraId="510338F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投入的施工机械、设备、机具有详细计划且计划周密，设备数量、选型配置、进场数量、时间 合理、满足施工需要。</w:t>
            </w:r>
          </w:p>
        </w:tc>
      </w:tr>
      <w:tr w14:paraId="6C55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08" w:type="dxa"/>
            <w:vMerge w:val="continue"/>
            <w:noWrap w:val="0"/>
            <w:vAlign w:val="top"/>
          </w:tcPr>
          <w:p w14:paraId="49783686">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5005AC07">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3E6EC743">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5A8D9E09">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w:t>
            </w:r>
          </w:p>
        </w:tc>
        <w:tc>
          <w:tcPr>
            <w:tcW w:w="2135" w:type="dxa"/>
            <w:noWrap w:val="0"/>
            <w:vAlign w:val="center"/>
          </w:tcPr>
          <w:p w14:paraId="634255A8">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劳动力安排计划</w:t>
            </w:r>
          </w:p>
        </w:tc>
        <w:tc>
          <w:tcPr>
            <w:tcW w:w="4475" w:type="dxa"/>
            <w:noWrap w:val="0"/>
            <w:vAlign w:val="center"/>
          </w:tcPr>
          <w:p w14:paraId="292144C3">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各主要施工工序应有详细周密的劳动力安排计划明细，有各工种劳动力安排计划。劳动力投入经济合理，满足施工需要。</w:t>
            </w:r>
          </w:p>
        </w:tc>
      </w:tr>
      <w:tr w14:paraId="4E30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08" w:type="dxa"/>
            <w:vMerge w:val="continue"/>
            <w:noWrap w:val="0"/>
            <w:vAlign w:val="top"/>
          </w:tcPr>
          <w:p w14:paraId="1C01A4D6">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41F3EDD2">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5149977F">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325847D1">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6</w:t>
            </w:r>
          </w:p>
        </w:tc>
        <w:tc>
          <w:tcPr>
            <w:tcW w:w="2135" w:type="dxa"/>
            <w:noWrap w:val="0"/>
            <w:vAlign w:val="center"/>
          </w:tcPr>
          <w:p w14:paraId="190FE87B">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确保工程质量的技术组织措施</w:t>
            </w:r>
          </w:p>
        </w:tc>
        <w:tc>
          <w:tcPr>
            <w:tcW w:w="4475" w:type="dxa"/>
            <w:noWrap w:val="0"/>
            <w:vAlign w:val="center"/>
          </w:tcPr>
          <w:p w14:paraId="287A5466">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施工项目应有专门的质量技术管理班子和制度，且人员配备合理，制度健全，主要工序应有质量技术保证措施和手段，自控体系完整，能有效的保证技术质量，达到承诺的质量标准。</w:t>
            </w:r>
          </w:p>
        </w:tc>
      </w:tr>
      <w:tr w14:paraId="2C45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08" w:type="dxa"/>
            <w:vMerge w:val="continue"/>
            <w:noWrap w:val="0"/>
            <w:vAlign w:val="top"/>
          </w:tcPr>
          <w:p w14:paraId="6A582102">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1A85483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3884402B">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74D2EA69">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7</w:t>
            </w:r>
          </w:p>
        </w:tc>
        <w:tc>
          <w:tcPr>
            <w:tcW w:w="2135" w:type="dxa"/>
            <w:noWrap w:val="0"/>
            <w:vAlign w:val="center"/>
          </w:tcPr>
          <w:p w14:paraId="686FCE5F">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确保安全生产的技术组织措施</w:t>
            </w:r>
          </w:p>
        </w:tc>
        <w:tc>
          <w:tcPr>
            <w:tcW w:w="4475" w:type="dxa"/>
            <w:noWrap w:val="0"/>
            <w:vAlign w:val="center"/>
          </w:tcPr>
          <w:p w14:paraId="3B6BD81A">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施工项目应有专门的安全管理人员和制度，且人员配备合理，制度健全，各道工序安全技术措施针对性强，符合实际且满足有关安全技术标准要求。现场防火、社会治安安全措施得力。</w:t>
            </w:r>
          </w:p>
        </w:tc>
      </w:tr>
      <w:tr w14:paraId="2E08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908" w:type="dxa"/>
            <w:vMerge w:val="continue"/>
            <w:noWrap w:val="0"/>
            <w:vAlign w:val="top"/>
          </w:tcPr>
          <w:p w14:paraId="08074DE3">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437EE092">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7FFB0D08">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56C0A402">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8</w:t>
            </w:r>
          </w:p>
        </w:tc>
        <w:tc>
          <w:tcPr>
            <w:tcW w:w="2135" w:type="dxa"/>
            <w:noWrap w:val="0"/>
            <w:vAlign w:val="center"/>
          </w:tcPr>
          <w:p w14:paraId="08DACE36">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确保工期的技术组织措施</w:t>
            </w:r>
          </w:p>
        </w:tc>
        <w:tc>
          <w:tcPr>
            <w:tcW w:w="4475" w:type="dxa"/>
            <w:noWrap w:val="0"/>
            <w:vAlign w:val="center"/>
          </w:tcPr>
          <w:p w14:paraId="38E3F82A">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3DDC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08" w:type="dxa"/>
            <w:vMerge w:val="continue"/>
            <w:noWrap w:val="0"/>
            <w:vAlign w:val="top"/>
          </w:tcPr>
          <w:p w14:paraId="13C8CE6C">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4B814E93">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47EDB84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6A95C841">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9</w:t>
            </w:r>
          </w:p>
        </w:tc>
        <w:tc>
          <w:tcPr>
            <w:tcW w:w="2135" w:type="dxa"/>
            <w:noWrap w:val="0"/>
            <w:vAlign w:val="center"/>
          </w:tcPr>
          <w:p w14:paraId="3758AEEC">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确保文明施工的技术组织措施</w:t>
            </w:r>
          </w:p>
        </w:tc>
        <w:tc>
          <w:tcPr>
            <w:tcW w:w="4475" w:type="dxa"/>
            <w:noWrap w:val="0"/>
            <w:vAlign w:val="center"/>
          </w:tcPr>
          <w:p w14:paraId="42ABBCA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针对本工程特点，应有现场文明施工计划，环境保护措施，且计划措施内容应达到“安全文明示范工地”标准。各项措施周全、具体、有效。有具体实现现场文明施工目标的承诺。</w:t>
            </w:r>
          </w:p>
        </w:tc>
      </w:tr>
      <w:tr w14:paraId="3AF9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8" w:type="dxa"/>
            <w:vMerge w:val="continue"/>
            <w:noWrap w:val="0"/>
            <w:vAlign w:val="top"/>
          </w:tcPr>
          <w:p w14:paraId="6F600897">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11A7032A">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27374E9C">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22673779">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10</w:t>
            </w:r>
          </w:p>
        </w:tc>
        <w:tc>
          <w:tcPr>
            <w:tcW w:w="2135" w:type="dxa"/>
            <w:noWrap w:val="0"/>
            <w:vAlign w:val="center"/>
          </w:tcPr>
          <w:p w14:paraId="2DBCB0F8">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工程施工重点和难点及保证措施</w:t>
            </w:r>
          </w:p>
        </w:tc>
        <w:tc>
          <w:tcPr>
            <w:tcW w:w="4475" w:type="dxa"/>
            <w:noWrap w:val="0"/>
            <w:vAlign w:val="center"/>
          </w:tcPr>
          <w:p w14:paraId="358C09D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是否正确（本条内容须与前附表要求对应）。</w:t>
            </w:r>
          </w:p>
        </w:tc>
      </w:tr>
      <w:tr w14:paraId="15F8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8" w:type="dxa"/>
            <w:vMerge w:val="continue"/>
            <w:noWrap w:val="0"/>
            <w:vAlign w:val="top"/>
          </w:tcPr>
          <w:p w14:paraId="6580E10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2002B82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576EB7F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37246D19">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11</w:t>
            </w:r>
          </w:p>
        </w:tc>
        <w:tc>
          <w:tcPr>
            <w:tcW w:w="2135" w:type="dxa"/>
            <w:noWrap w:val="0"/>
            <w:vAlign w:val="center"/>
          </w:tcPr>
          <w:p w14:paraId="249F8148">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危大工程安全管理（如有）</w:t>
            </w:r>
          </w:p>
        </w:tc>
        <w:tc>
          <w:tcPr>
            <w:tcW w:w="4475" w:type="dxa"/>
            <w:noWrap w:val="0"/>
            <w:vAlign w:val="top"/>
          </w:tcPr>
          <w:p w14:paraId="01126056">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根据招标人在招标文件中列明的危大工程清单及结合招标项目实际情况补充完善危大工程清单，编制专项施工方案并明确相应的安全管理措施。</w:t>
            </w:r>
          </w:p>
        </w:tc>
      </w:tr>
      <w:tr w14:paraId="027B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8" w:type="dxa"/>
            <w:vMerge w:val="continue"/>
            <w:noWrap w:val="0"/>
            <w:vAlign w:val="top"/>
          </w:tcPr>
          <w:p w14:paraId="48771944">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168E6765">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4CFBF75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54E17214">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12</w:t>
            </w:r>
          </w:p>
        </w:tc>
        <w:tc>
          <w:tcPr>
            <w:tcW w:w="2135" w:type="dxa"/>
            <w:noWrap w:val="0"/>
            <w:vAlign w:val="center"/>
          </w:tcPr>
          <w:p w14:paraId="76417A5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施工总平面布置图</w:t>
            </w:r>
          </w:p>
        </w:tc>
        <w:tc>
          <w:tcPr>
            <w:tcW w:w="4475" w:type="dxa"/>
            <w:noWrap w:val="0"/>
            <w:vAlign w:val="center"/>
          </w:tcPr>
          <w:p w14:paraId="5A56A6C0">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应有施工总平面布置图，安排科学合理，符合本项目施工实际要求。</w:t>
            </w:r>
          </w:p>
        </w:tc>
      </w:tr>
      <w:tr w14:paraId="7660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top"/>
          </w:tcPr>
          <w:p w14:paraId="228144E3">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4BFCFF55">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652D00C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66E539AA">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13</w:t>
            </w:r>
          </w:p>
        </w:tc>
        <w:tc>
          <w:tcPr>
            <w:tcW w:w="2135" w:type="dxa"/>
            <w:noWrap w:val="0"/>
            <w:vAlign w:val="center"/>
          </w:tcPr>
          <w:p w14:paraId="1A7A2740">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施工组织设计整体</w:t>
            </w:r>
          </w:p>
        </w:tc>
        <w:tc>
          <w:tcPr>
            <w:tcW w:w="4475" w:type="dxa"/>
            <w:noWrap w:val="0"/>
            <w:vAlign w:val="center"/>
          </w:tcPr>
          <w:p w14:paraId="5E105CD2">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针对性、完整性符合要求。</w:t>
            </w:r>
          </w:p>
        </w:tc>
      </w:tr>
      <w:tr w14:paraId="2E23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8" w:type="dxa"/>
            <w:vMerge w:val="continue"/>
            <w:noWrap w:val="0"/>
            <w:vAlign w:val="top"/>
          </w:tcPr>
          <w:p w14:paraId="1038F5BC">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1221" w:type="dxa"/>
            <w:vMerge w:val="continue"/>
            <w:noWrap w:val="0"/>
            <w:vAlign w:val="top"/>
          </w:tcPr>
          <w:p w14:paraId="524164E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730" w:type="dxa"/>
            <w:vMerge w:val="continue"/>
            <w:noWrap w:val="0"/>
            <w:vAlign w:val="top"/>
          </w:tcPr>
          <w:p w14:paraId="2EC1528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545" w:type="dxa"/>
            <w:noWrap w:val="0"/>
            <w:vAlign w:val="center"/>
          </w:tcPr>
          <w:p w14:paraId="50CA786C">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14</w:t>
            </w:r>
          </w:p>
        </w:tc>
        <w:tc>
          <w:tcPr>
            <w:tcW w:w="2135" w:type="dxa"/>
            <w:noWrap w:val="0"/>
            <w:vAlign w:val="center"/>
          </w:tcPr>
          <w:p w14:paraId="23A3F155">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其他内容（如有）</w:t>
            </w:r>
          </w:p>
        </w:tc>
        <w:tc>
          <w:tcPr>
            <w:tcW w:w="4475" w:type="dxa"/>
            <w:noWrap w:val="0"/>
            <w:vAlign w:val="center"/>
          </w:tcPr>
          <w:p w14:paraId="126BB0A0">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r>
    </w:tbl>
    <w:p w14:paraId="719C2C45">
      <w:pPr>
        <w:adjustRightInd w:val="0"/>
        <w:snapToGrid w:val="0"/>
        <w:spacing w:line="560" w:lineRule="exact"/>
        <w:jc w:val="center"/>
        <w:rPr>
          <w:rFonts w:ascii="宋体" w:hAnsi="宋体"/>
          <w:color w:val="auto"/>
          <w:sz w:val="25"/>
          <w:highlight w:val="none"/>
        </w:rPr>
      </w:pPr>
      <w:r>
        <w:rPr>
          <w:rFonts w:hint="eastAsia" w:ascii="宋体" w:hAnsi="宋体"/>
          <w:color w:val="auto"/>
          <w:sz w:val="25"/>
          <w:highlight w:val="none"/>
        </w:rPr>
        <w:t>商务标评审</w:t>
      </w:r>
    </w:p>
    <w:tbl>
      <w:tblPr>
        <w:tblStyle w:val="47"/>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80"/>
        <w:gridCol w:w="726"/>
        <w:gridCol w:w="2132"/>
        <w:gridCol w:w="5526"/>
      </w:tblGrid>
      <w:tr w14:paraId="0802C95B">
        <w:tblPrEx>
          <w:tblCellMar>
            <w:top w:w="0" w:type="dxa"/>
            <w:left w:w="108" w:type="dxa"/>
            <w:bottom w:w="0" w:type="dxa"/>
            <w:right w:w="108" w:type="dxa"/>
          </w:tblCellMar>
        </w:tblPrEx>
        <w:trPr>
          <w:trHeight w:val="463" w:hRule="atLeast"/>
          <w:jc w:val="center"/>
        </w:trPr>
        <w:tc>
          <w:tcPr>
            <w:tcW w:w="1660" w:type="dxa"/>
            <w:gridSpan w:val="2"/>
            <w:noWrap w:val="0"/>
            <w:vAlign w:val="center"/>
          </w:tcPr>
          <w:p w14:paraId="708DEA22">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条款号</w:t>
            </w:r>
          </w:p>
        </w:tc>
        <w:tc>
          <w:tcPr>
            <w:tcW w:w="2858" w:type="dxa"/>
            <w:gridSpan w:val="2"/>
            <w:noWrap w:val="0"/>
            <w:vAlign w:val="center"/>
          </w:tcPr>
          <w:p w14:paraId="69EDFC60">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评审因素</w:t>
            </w:r>
          </w:p>
        </w:tc>
        <w:tc>
          <w:tcPr>
            <w:tcW w:w="5526" w:type="dxa"/>
            <w:noWrap w:val="0"/>
            <w:vAlign w:val="center"/>
          </w:tcPr>
          <w:p w14:paraId="6D6201B8">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评审标准</w:t>
            </w:r>
          </w:p>
        </w:tc>
      </w:tr>
      <w:tr w14:paraId="0ED9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0" w:type="dxa"/>
            <w:vMerge w:val="restart"/>
            <w:noWrap w:val="0"/>
            <w:vAlign w:val="center"/>
          </w:tcPr>
          <w:p w14:paraId="60F1CFC7">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4.2.1</w:t>
            </w:r>
          </w:p>
        </w:tc>
        <w:tc>
          <w:tcPr>
            <w:tcW w:w="780" w:type="dxa"/>
            <w:vMerge w:val="restart"/>
            <w:noWrap w:val="0"/>
            <w:vAlign w:val="center"/>
          </w:tcPr>
          <w:p w14:paraId="6C4F867E">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形式评审标准</w:t>
            </w:r>
          </w:p>
        </w:tc>
        <w:tc>
          <w:tcPr>
            <w:tcW w:w="2858" w:type="dxa"/>
            <w:gridSpan w:val="2"/>
            <w:noWrap w:val="0"/>
            <w:vAlign w:val="center"/>
          </w:tcPr>
          <w:p w14:paraId="7FFCB346">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投标函签字盖章</w:t>
            </w:r>
          </w:p>
        </w:tc>
        <w:tc>
          <w:tcPr>
            <w:tcW w:w="5526" w:type="dxa"/>
            <w:noWrap w:val="0"/>
            <w:vAlign w:val="center"/>
          </w:tcPr>
          <w:p w14:paraId="31499B4E">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有投标人及其法定代表人签章。</w:t>
            </w:r>
          </w:p>
        </w:tc>
      </w:tr>
      <w:tr w14:paraId="697F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5C5C2E52">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652B6EC3">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2858" w:type="dxa"/>
            <w:gridSpan w:val="2"/>
            <w:noWrap w:val="0"/>
            <w:vAlign w:val="center"/>
          </w:tcPr>
          <w:p w14:paraId="4C00947B">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投标文件格式</w:t>
            </w:r>
          </w:p>
        </w:tc>
        <w:tc>
          <w:tcPr>
            <w:tcW w:w="5526" w:type="dxa"/>
            <w:noWrap w:val="0"/>
            <w:vAlign w:val="center"/>
          </w:tcPr>
          <w:p w14:paraId="09F8D864">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符合“投标文件格式”的要求。</w:t>
            </w:r>
          </w:p>
        </w:tc>
      </w:tr>
      <w:tr w14:paraId="25B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2D108BDB">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7A3D3600">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2858" w:type="dxa"/>
            <w:gridSpan w:val="2"/>
            <w:noWrap w:val="0"/>
            <w:vAlign w:val="center"/>
          </w:tcPr>
          <w:p w14:paraId="1EAD3DC7">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商务标签字盖章</w:t>
            </w:r>
          </w:p>
        </w:tc>
        <w:tc>
          <w:tcPr>
            <w:tcW w:w="5526" w:type="dxa"/>
            <w:noWrap w:val="0"/>
            <w:vAlign w:val="center"/>
          </w:tcPr>
          <w:p w14:paraId="5D45272C">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按投标文件格式要求签章。</w:t>
            </w:r>
          </w:p>
        </w:tc>
      </w:tr>
      <w:tr w14:paraId="30FD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0" w:type="dxa"/>
            <w:vMerge w:val="continue"/>
            <w:noWrap w:val="0"/>
            <w:vAlign w:val="center"/>
          </w:tcPr>
          <w:p w14:paraId="65ADE77C">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1CD4DCAC">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2858" w:type="dxa"/>
            <w:gridSpan w:val="2"/>
            <w:noWrap w:val="0"/>
            <w:vAlign w:val="center"/>
          </w:tcPr>
          <w:p w14:paraId="5556D817">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报价唯一</w:t>
            </w:r>
          </w:p>
        </w:tc>
        <w:tc>
          <w:tcPr>
            <w:tcW w:w="5526" w:type="dxa"/>
            <w:noWrap w:val="0"/>
            <w:vAlign w:val="center"/>
          </w:tcPr>
          <w:p w14:paraId="56FA01A3">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只能有一个报价。</w:t>
            </w:r>
          </w:p>
        </w:tc>
      </w:tr>
      <w:tr w14:paraId="555E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0" w:type="dxa"/>
            <w:vMerge w:val="restart"/>
            <w:noWrap w:val="0"/>
            <w:vAlign w:val="center"/>
          </w:tcPr>
          <w:p w14:paraId="3CDACE6B">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4.2.2</w:t>
            </w:r>
          </w:p>
        </w:tc>
        <w:tc>
          <w:tcPr>
            <w:tcW w:w="780" w:type="dxa"/>
            <w:vMerge w:val="restart"/>
            <w:noWrap w:val="0"/>
            <w:vAlign w:val="center"/>
          </w:tcPr>
          <w:p w14:paraId="4FAC99F4">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响应性评审标准</w:t>
            </w:r>
          </w:p>
          <w:p w14:paraId="685554E6">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2858" w:type="dxa"/>
            <w:gridSpan w:val="2"/>
            <w:noWrap w:val="0"/>
            <w:vAlign w:val="center"/>
          </w:tcPr>
          <w:p w14:paraId="55C58A47">
            <w:pPr>
              <w:keepNext w:val="0"/>
              <w:keepLines w:val="0"/>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工期</w:t>
            </w:r>
          </w:p>
        </w:tc>
        <w:tc>
          <w:tcPr>
            <w:tcW w:w="5526" w:type="dxa"/>
            <w:noWrap w:val="0"/>
            <w:vAlign w:val="center"/>
          </w:tcPr>
          <w:p w14:paraId="6A5E1893">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符合投标须知前附表规定。</w:t>
            </w:r>
          </w:p>
        </w:tc>
      </w:tr>
      <w:tr w14:paraId="510B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2ED3C587">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758877C0">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2858" w:type="dxa"/>
            <w:gridSpan w:val="2"/>
            <w:noWrap w:val="0"/>
            <w:vAlign w:val="center"/>
          </w:tcPr>
          <w:p w14:paraId="665621A6">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工程质量</w:t>
            </w:r>
          </w:p>
        </w:tc>
        <w:tc>
          <w:tcPr>
            <w:tcW w:w="5526" w:type="dxa"/>
            <w:noWrap w:val="0"/>
            <w:vAlign w:val="center"/>
          </w:tcPr>
          <w:p w14:paraId="012CA27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符合投标须知前附表规定。</w:t>
            </w:r>
          </w:p>
        </w:tc>
      </w:tr>
      <w:tr w14:paraId="6F04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539626E3">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03576695">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2858" w:type="dxa"/>
            <w:gridSpan w:val="2"/>
            <w:noWrap w:val="0"/>
            <w:vAlign w:val="center"/>
          </w:tcPr>
          <w:p w14:paraId="7246EEC3">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5526" w:type="dxa"/>
            <w:noWrap w:val="0"/>
            <w:vAlign w:val="center"/>
          </w:tcPr>
          <w:p w14:paraId="57126F82">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符合投标须知前附表规定。</w:t>
            </w:r>
          </w:p>
        </w:tc>
      </w:tr>
      <w:tr w14:paraId="7BEA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80" w:type="dxa"/>
            <w:vMerge w:val="continue"/>
            <w:noWrap w:val="0"/>
            <w:vAlign w:val="center"/>
          </w:tcPr>
          <w:p w14:paraId="710C4142">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2BF60A80">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2858" w:type="dxa"/>
            <w:gridSpan w:val="2"/>
            <w:noWrap w:val="0"/>
            <w:vAlign w:val="center"/>
          </w:tcPr>
          <w:p w14:paraId="5397BA86">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已标价工程量清单</w:t>
            </w:r>
          </w:p>
        </w:tc>
        <w:tc>
          <w:tcPr>
            <w:tcW w:w="5526" w:type="dxa"/>
            <w:noWrap w:val="0"/>
            <w:vAlign w:val="center"/>
          </w:tcPr>
          <w:p w14:paraId="28944630">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与招标人发布的招标工程量清单（含需评审材料清单）排序一致，能有效导入计算机辅助评标系统。</w:t>
            </w:r>
          </w:p>
        </w:tc>
      </w:tr>
      <w:tr w14:paraId="4FA7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685CBDFC">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44D89D38">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2858" w:type="dxa"/>
            <w:gridSpan w:val="2"/>
            <w:noWrap w:val="0"/>
            <w:vAlign w:val="center"/>
          </w:tcPr>
          <w:p w14:paraId="2B10ABED">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投标总价评审</w:t>
            </w:r>
          </w:p>
        </w:tc>
        <w:tc>
          <w:tcPr>
            <w:tcW w:w="5526" w:type="dxa"/>
            <w:noWrap w:val="0"/>
            <w:vAlign w:val="center"/>
          </w:tcPr>
          <w:p w14:paraId="4909DDF7">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pacing w:val="-6"/>
                <w:szCs w:val="21"/>
                <w:highlight w:val="none"/>
              </w:rPr>
            </w:pPr>
            <w:r>
              <w:rPr>
                <w:rFonts w:hint="eastAsia" w:ascii="宋体" w:hAnsi="宋体" w:cs="宋体"/>
                <w:color w:val="auto"/>
                <w:spacing w:val="-6"/>
                <w:szCs w:val="21"/>
                <w:highlight w:val="none"/>
              </w:rPr>
              <w:t>不得高于最高投标限价，也不得低于工程成本价。</w:t>
            </w:r>
          </w:p>
        </w:tc>
      </w:tr>
      <w:tr w14:paraId="2BE6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56BEC660">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1DAC0A48">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2858" w:type="dxa"/>
            <w:gridSpan w:val="2"/>
            <w:noWrap w:val="0"/>
            <w:vAlign w:val="center"/>
          </w:tcPr>
          <w:p w14:paraId="31186C56">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暂列金额、专业工程暂估价、分部分项工程材料及设备暂估价</w:t>
            </w:r>
          </w:p>
        </w:tc>
        <w:tc>
          <w:tcPr>
            <w:tcW w:w="5526" w:type="dxa"/>
            <w:noWrap w:val="0"/>
            <w:vAlign w:val="center"/>
          </w:tcPr>
          <w:p w14:paraId="209CB00B">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与招标人发布的招标工程量清单一致。</w:t>
            </w:r>
          </w:p>
        </w:tc>
      </w:tr>
      <w:tr w14:paraId="6898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0" w:type="dxa"/>
            <w:vMerge w:val="restart"/>
            <w:noWrap w:val="0"/>
            <w:vAlign w:val="center"/>
          </w:tcPr>
          <w:p w14:paraId="5EA653B8">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4.2.3</w:t>
            </w:r>
          </w:p>
        </w:tc>
        <w:tc>
          <w:tcPr>
            <w:tcW w:w="780" w:type="dxa"/>
            <w:vMerge w:val="restart"/>
            <w:noWrap w:val="0"/>
            <w:vAlign w:val="center"/>
          </w:tcPr>
          <w:p w14:paraId="6FC8920A">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详细评审标准</w:t>
            </w:r>
          </w:p>
          <w:p w14:paraId="201424F7">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p>
        </w:tc>
        <w:tc>
          <w:tcPr>
            <w:tcW w:w="726" w:type="dxa"/>
            <w:vMerge w:val="restart"/>
            <w:noWrap w:val="0"/>
            <w:vAlign w:val="center"/>
          </w:tcPr>
          <w:p w14:paraId="41360747">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工程成本评审</w:t>
            </w:r>
          </w:p>
        </w:tc>
        <w:tc>
          <w:tcPr>
            <w:tcW w:w="7658" w:type="dxa"/>
            <w:gridSpan w:val="2"/>
            <w:noWrap w:val="0"/>
            <w:vAlign w:val="center"/>
          </w:tcPr>
          <w:p w14:paraId="1B98B9D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pacing w:val="-6"/>
                <w:szCs w:val="21"/>
                <w:highlight w:val="none"/>
              </w:rPr>
            </w:pPr>
            <w:r>
              <w:rPr>
                <w:rFonts w:hint="eastAsia" w:ascii="宋体" w:hAnsi="宋体" w:cs="宋体"/>
                <w:color w:val="auto"/>
                <w:spacing w:val="-6"/>
                <w:szCs w:val="21"/>
                <w:highlight w:val="none"/>
              </w:rPr>
              <w:t>投标报价出现下列情形之一的，由评标委员会重点评审后界定其报价是否低于工程成本：</w:t>
            </w:r>
          </w:p>
        </w:tc>
      </w:tr>
      <w:tr w14:paraId="6EB7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0" w:type="dxa"/>
            <w:vMerge w:val="continue"/>
            <w:noWrap w:val="0"/>
            <w:vAlign w:val="center"/>
          </w:tcPr>
          <w:p w14:paraId="1489E6E7">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647C8FAD">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26" w:type="dxa"/>
            <w:vMerge w:val="continue"/>
            <w:noWrap w:val="0"/>
            <w:vAlign w:val="center"/>
          </w:tcPr>
          <w:p w14:paraId="1D78BBA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2132" w:type="dxa"/>
            <w:noWrap w:val="0"/>
            <w:vAlign w:val="center"/>
          </w:tcPr>
          <w:p w14:paraId="1D7D1A4C">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w:t>
            </w:r>
          </w:p>
        </w:tc>
        <w:tc>
          <w:tcPr>
            <w:tcW w:w="5526" w:type="dxa"/>
            <w:noWrap w:val="0"/>
            <w:vAlign w:val="center"/>
          </w:tcPr>
          <w:p w14:paraId="71522012">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投标报价低于本项目通过资信、技术评审且商务标初步评审合格的有效投标报价平均值10%以上。</w:t>
            </w:r>
          </w:p>
        </w:tc>
      </w:tr>
      <w:tr w14:paraId="4F1E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0" w:type="dxa"/>
            <w:vMerge w:val="continue"/>
            <w:noWrap w:val="0"/>
            <w:vAlign w:val="center"/>
          </w:tcPr>
          <w:p w14:paraId="59AFAA97">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3E600A1D">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26" w:type="dxa"/>
            <w:vMerge w:val="continue"/>
            <w:noWrap w:val="0"/>
            <w:vAlign w:val="center"/>
          </w:tcPr>
          <w:p w14:paraId="02FD7A2B">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2132" w:type="dxa"/>
            <w:noWrap w:val="0"/>
            <w:vAlign w:val="center"/>
          </w:tcPr>
          <w:p w14:paraId="5653738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报价内容完整性</w:t>
            </w:r>
          </w:p>
        </w:tc>
        <w:tc>
          <w:tcPr>
            <w:tcW w:w="5526" w:type="dxa"/>
            <w:noWrap w:val="0"/>
            <w:vAlign w:val="center"/>
          </w:tcPr>
          <w:p w14:paraId="7BF9C9F7">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因投标人原因造成投标报价清单缺漏，缺漏项总额（多算或多报总额不得抵消缺漏项目总额）累计占本项目通过资信、技术评审且商务标初步评审合格</w:t>
            </w:r>
            <w:r>
              <w:rPr>
                <w:rFonts w:hint="eastAsia" w:ascii="宋体" w:hAnsi="宋体" w:cs="宋体"/>
                <w:color w:val="auto"/>
                <w:spacing w:val="-6"/>
                <w:szCs w:val="21"/>
                <w:highlight w:val="none"/>
              </w:rPr>
              <w:t>有效投标总报价平均值5%以上。</w:t>
            </w:r>
          </w:p>
        </w:tc>
      </w:tr>
      <w:tr w14:paraId="0B1D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0" w:type="dxa"/>
            <w:vMerge w:val="continue"/>
            <w:noWrap w:val="0"/>
            <w:vAlign w:val="center"/>
          </w:tcPr>
          <w:p w14:paraId="65D83150">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52FC8D5C">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26" w:type="dxa"/>
            <w:vMerge w:val="continue"/>
            <w:noWrap w:val="0"/>
            <w:vAlign w:val="center"/>
          </w:tcPr>
          <w:p w14:paraId="3F7A02D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2132" w:type="dxa"/>
            <w:noWrap w:val="0"/>
            <w:vAlign w:val="center"/>
          </w:tcPr>
          <w:p w14:paraId="3E7660B0">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人工工日单价</w:t>
            </w:r>
          </w:p>
        </w:tc>
        <w:tc>
          <w:tcPr>
            <w:tcW w:w="5526" w:type="dxa"/>
            <w:noWrap w:val="0"/>
            <w:vAlign w:val="center"/>
          </w:tcPr>
          <w:p w14:paraId="7058EB20">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不得低于招标人发布的最高投标限价中的人工工日单价。</w:t>
            </w:r>
          </w:p>
        </w:tc>
      </w:tr>
      <w:tr w14:paraId="5F29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0" w:type="dxa"/>
            <w:vMerge w:val="continue"/>
            <w:noWrap w:val="0"/>
            <w:vAlign w:val="center"/>
          </w:tcPr>
          <w:p w14:paraId="79FB198B">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30982A67">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26" w:type="dxa"/>
            <w:vMerge w:val="continue"/>
            <w:noWrap w:val="0"/>
            <w:vAlign w:val="center"/>
          </w:tcPr>
          <w:p w14:paraId="1B3F5456">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2132" w:type="dxa"/>
            <w:noWrap w:val="0"/>
            <w:vAlign w:val="center"/>
          </w:tcPr>
          <w:p w14:paraId="4505110F">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需评审材料数量</w:t>
            </w:r>
          </w:p>
        </w:tc>
        <w:tc>
          <w:tcPr>
            <w:tcW w:w="5526" w:type="dxa"/>
            <w:noWrap w:val="0"/>
            <w:vAlign w:val="center"/>
          </w:tcPr>
          <w:p w14:paraId="0D62A67F">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需评审的主要材料消耗量低于最高投标限价相应材料数量的5%以上，且低于本项目通过资信、技术评审且商务标初步评审合格有效投标报价相应材料消耗量平均值的3%以上。</w:t>
            </w:r>
          </w:p>
        </w:tc>
      </w:tr>
      <w:tr w14:paraId="4AD6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80" w:type="dxa"/>
            <w:vMerge w:val="continue"/>
            <w:noWrap w:val="0"/>
            <w:vAlign w:val="center"/>
          </w:tcPr>
          <w:p w14:paraId="4502655C">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2F83F426">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26" w:type="dxa"/>
            <w:vMerge w:val="continue"/>
            <w:noWrap w:val="0"/>
            <w:vAlign w:val="center"/>
          </w:tcPr>
          <w:p w14:paraId="0F6D4614">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2132" w:type="dxa"/>
            <w:noWrap w:val="0"/>
            <w:vAlign w:val="center"/>
          </w:tcPr>
          <w:p w14:paraId="230E617A">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施工机具使用费</w:t>
            </w:r>
          </w:p>
        </w:tc>
        <w:tc>
          <w:tcPr>
            <w:tcW w:w="5526" w:type="dxa"/>
            <w:noWrap w:val="0"/>
            <w:vAlign w:val="center"/>
          </w:tcPr>
          <w:p w14:paraId="6FF1126C">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施工机具使用费低于本项目通过资信、技术评审且商务标初步评审合格有效投标报价施工机具使用费平均值的10%以上。</w:t>
            </w:r>
          </w:p>
        </w:tc>
      </w:tr>
      <w:tr w14:paraId="16B4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111DC436">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040C24DE">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26" w:type="dxa"/>
            <w:vMerge w:val="continue"/>
            <w:noWrap w:val="0"/>
            <w:vAlign w:val="center"/>
          </w:tcPr>
          <w:p w14:paraId="678332F8">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2132" w:type="dxa"/>
            <w:noWrap w:val="0"/>
            <w:vAlign w:val="center"/>
          </w:tcPr>
          <w:p w14:paraId="3797275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管理费和利润费率</w:t>
            </w:r>
          </w:p>
        </w:tc>
        <w:tc>
          <w:tcPr>
            <w:tcW w:w="5526" w:type="dxa"/>
            <w:noWrap w:val="0"/>
            <w:vAlign w:val="center"/>
          </w:tcPr>
          <w:p w14:paraId="7D782D4B">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管理费、利润投标费率低于0%。</w:t>
            </w:r>
          </w:p>
        </w:tc>
      </w:tr>
      <w:tr w14:paraId="09B9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0" w:type="dxa"/>
            <w:vMerge w:val="continue"/>
            <w:noWrap w:val="0"/>
            <w:vAlign w:val="center"/>
          </w:tcPr>
          <w:p w14:paraId="73BAB2AE">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75AD252F">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26" w:type="dxa"/>
            <w:vMerge w:val="restart"/>
            <w:noWrap w:val="0"/>
            <w:vAlign w:val="center"/>
          </w:tcPr>
          <w:p w14:paraId="0E7C8B1A">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无效报价</w:t>
            </w:r>
          </w:p>
        </w:tc>
        <w:tc>
          <w:tcPr>
            <w:tcW w:w="2132" w:type="dxa"/>
            <w:noWrap w:val="0"/>
            <w:vAlign w:val="center"/>
          </w:tcPr>
          <w:p w14:paraId="6600D3B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暂估价材料、设备</w:t>
            </w:r>
          </w:p>
        </w:tc>
        <w:tc>
          <w:tcPr>
            <w:tcW w:w="5526" w:type="dxa"/>
            <w:noWrap w:val="0"/>
            <w:vAlign w:val="center"/>
          </w:tcPr>
          <w:p w14:paraId="263CB951">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材料、设备暂估价未按要求计入分部分项工程费。</w:t>
            </w:r>
          </w:p>
        </w:tc>
      </w:tr>
      <w:tr w14:paraId="1E5D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68FC2BF9">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312E3CDE">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26" w:type="dxa"/>
            <w:vMerge w:val="continue"/>
            <w:noWrap w:val="0"/>
            <w:vAlign w:val="center"/>
          </w:tcPr>
          <w:p w14:paraId="3E5C85D8">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2132" w:type="dxa"/>
            <w:noWrap w:val="0"/>
            <w:vAlign w:val="center"/>
          </w:tcPr>
          <w:p w14:paraId="724A730B">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不可竞争项目费费率</w:t>
            </w:r>
          </w:p>
        </w:tc>
        <w:tc>
          <w:tcPr>
            <w:tcW w:w="5526" w:type="dxa"/>
            <w:noWrap w:val="0"/>
            <w:vAlign w:val="center"/>
          </w:tcPr>
          <w:p w14:paraId="4E186C35">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低于建标〔2021〕42号文规定的费率。</w:t>
            </w:r>
          </w:p>
        </w:tc>
      </w:tr>
      <w:tr w14:paraId="00AC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0801171A">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80" w:type="dxa"/>
            <w:vMerge w:val="continue"/>
            <w:noWrap w:val="0"/>
            <w:vAlign w:val="center"/>
          </w:tcPr>
          <w:p w14:paraId="64B2F625">
            <w:pPr>
              <w:keepNext w:val="0"/>
              <w:keepLines w:val="0"/>
              <w:widowControl/>
              <w:suppressLineNumbers w:val="0"/>
              <w:adjustRightInd w:val="0"/>
              <w:snapToGrid w:val="0"/>
              <w:spacing w:before="0" w:beforeAutospacing="0" w:after="0" w:afterAutospacing="0" w:line="560" w:lineRule="exact"/>
              <w:ind w:left="0" w:right="0"/>
              <w:jc w:val="left"/>
              <w:rPr>
                <w:rFonts w:hint="default" w:ascii="宋体" w:hAnsi="宋体" w:cs="宋体"/>
                <w:color w:val="auto"/>
                <w:szCs w:val="21"/>
                <w:highlight w:val="none"/>
              </w:rPr>
            </w:pPr>
          </w:p>
        </w:tc>
        <w:tc>
          <w:tcPr>
            <w:tcW w:w="726" w:type="dxa"/>
            <w:vMerge w:val="continue"/>
            <w:noWrap w:val="0"/>
            <w:vAlign w:val="center"/>
          </w:tcPr>
          <w:p w14:paraId="592EF149">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p>
        </w:tc>
        <w:tc>
          <w:tcPr>
            <w:tcW w:w="2132" w:type="dxa"/>
            <w:noWrap w:val="0"/>
            <w:vAlign w:val="center"/>
          </w:tcPr>
          <w:p w14:paraId="1D58F143">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税率</w:t>
            </w:r>
          </w:p>
        </w:tc>
        <w:tc>
          <w:tcPr>
            <w:tcW w:w="5526" w:type="dxa"/>
            <w:noWrap w:val="0"/>
            <w:vAlign w:val="center"/>
          </w:tcPr>
          <w:p w14:paraId="5F2E4F05">
            <w:pPr>
              <w:keepNext w:val="0"/>
              <w:keepLines w:val="0"/>
              <w:suppressLineNumbers w:val="0"/>
              <w:adjustRightInd w:val="0"/>
              <w:snapToGrid w:val="0"/>
              <w:spacing w:before="0" w:beforeAutospacing="0" w:after="0" w:afterAutospacing="0" w:line="560" w:lineRule="exact"/>
              <w:ind w:left="0" w:right="0"/>
              <w:rPr>
                <w:rFonts w:hint="default" w:ascii="宋体" w:hAnsi="宋体" w:cs="宋体"/>
                <w:color w:val="auto"/>
                <w:szCs w:val="21"/>
                <w:highlight w:val="none"/>
              </w:rPr>
            </w:pPr>
            <w:r>
              <w:rPr>
                <w:rFonts w:hint="eastAsia" w:ascii="宋体" w:hAnsi="宋体"/>
                <w:color w:val="auto"/>
                <w:szCs w:val="21"/>
                <w:highlight w:val="none"/>
              </w:rPr>
              <w:t>低于《关于调整我省现行建设工程计价依据增值税税率的通知》（皖造价〔2019〕7号）规定的费率。</w:t>
            </w:r>
          </w:p>
        </w:tc>
      </w:tr>
    </w:tbl>
    <w:p w14:paraId="2C2C5F9C">
      <w:pPr>
        <w:adjustRightInd w:val="0"/>
        <w:snapToGrid w:val="0"/>
        <w:spacing w:line="560" w:lineRule="exact"/>
        <w:ind w:firstLine="422" w:firstLineChars="200"/>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商务标评审表注：</w:t>
      </w:r>
    </w:p>
    <w:p w14:paraId="6ACAC386">
      <w:pPr>
        <w:adjustRightInd w:val="0"/>
        <w:snapToGrid w:val="0"/>
        <w:spacing w:line="560" w:lineRule="exact"/>
        <w:ind w:firstLine="420" w:firstLineChars="200"/>
        <w:rPr>
          <w:rFonts w:hint="eastAsia" w:ascii="宋体" w:hAnsi="宋体"/>
          <w:color w:val="auto"/>
          <w:szCs w:val="21"/>
          <w:highlight w:val="none"/>
        </w:rPr>
      </w:pPr>
      <w:bookmarkStart w:id="750" w:name="_Toc246996975"/>
      <w:bookmarkStart w:id="751" w:name="_Toc152042366"/>
      <w:bookmarkStart w:id="752" w:name="_Toc179632607"/>
      <w:bookmarkStart w:id="753" w:name="_Toc247085747"/>
      <w:bookmarkStart w:id="754" w:name="_Toc324404872"/>
      <w:bookmarkStart w:id="755" w:name="_Toc246996232"/>
      <w:bookmarkStart w:id="756" w:name="_Toc144974556"/>
      <w:bookmarkStart w:id="757" w:name="_Toc152045589"/>
      <w:r>
        <w:rPr>
          <w:rFonts w:hint="eastAsia" w:ascii="宋体" w:hAnsi="宋体"/>
          <w:color w:val="auto"/>
          <w:szCs w:val="21"/>
          <w:highlight w:val="none"/>
        </w:rPr>
        <w:t>1、本表所称投标报价是指按招标文件规定修正后的投标总报价（多算投标报价、多报费用不扣减）</w:t>
      </w:r>
      <w:r>
        <w:rPr>
          <w:rFonts w:hint="eastAsia" w:ascii="宋体" w:hAnsi="宋体" w:cs="宋体"/>
          <w:color w:val="auto"/>
          <w:szCs w:val="21"/>
          <w:highlight w:val="none"/>
        </w:rPr>
        <w:t>，报价以元为单位，保留两位小数，小数点后第三位四舍五入。</w:t>
      </w:r>
    </w:p>
    <w:p w14:paraId="5307BFBB">
      <w:pPr>
        <w:adjustRightInd w:val="0"/>
        <w:snapToGrid w:val="0"/>
        <w:spacing w:line="560" w:lineRule="exact"/>
        <w:ind w:firstLine="420" w:firstLineChars="200"/>
        <w:rPr>
          <w:rFonts w:hint="eastAsia" w:ascii="宋体" w:hAnsi="宋体"/>
          <w:color w:val="auto"/>
          <w:highlight w:val="none"/>
        </w:rPr>
      </w:pPr>
      <w:r>
        <w:rPr>
          <w:rFonts w:hint="eastAsia" w:ascii="宋体" w:hAnsi="宋体"/>
          <w:color w:val="auto"/>
          <w:highlight w:val="none"/>
        </w:rPr>
        <w:t>2、缺漏项金额是指投标人漏计招标人发布的清单项目，按最高投标限价对应清单综合单价计算缺漏金额。</w:t>
      </w:r>
    </w:p>
    <w:p w14:paraId="2A145088">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3、本表所述累计投标报价缺漏错总额占原投标报价5%以下者，视为投标人主动让利或包含在其他项目中，不修正总价，工程结算时亦不予调整。</w:t>
      </w:r>
    </w:p>
    <w:p w14:paraId="08623293">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758" w:name="_Toc95223399"/>
      <w:bookmarkStart w:id="759" w:name="_Toc506107324"/>
      <w:bookmarkStart w:id="760" w:name="_Toc15058913"/>
      <w:bookmarkStart w:id="761" w:name="_Toc60061496"/>
      <w:r>
        <w:rPr>
          <w:rFonts w:hint="eastAsia" w:ascii="黑体" w:hAnsi="黑体" w:cs="黑体"/>
          <w:color w:val="auto"/>
          <w:sz w:val="21"/>
          <w:szCs w:val="21"/>
          <w:highlight w:val="none"/>
        </w:rPr>
        <w:t>1. 评标方法</w:t>
      </w:r>
      <w:bookmarkEnd w:id="750"/>
      <w:bookmarkEnd w:id="751"/>
      <w:bookmarkEnd w:id="752"/>
      <w:bookmarkEnd w:id="753"/>
      <w:bookmarkEnd w:id="754"/>
      <w:bookmarkEnd w:id="755"/>
      <w:bookmarkEnd w:id="756"/>
      <w:bookmarkEnd w:id="757"/>
      <w:bookmarkEnd w:id="758"/>
      <w:bookmarkEnd w:id="759"/>
      <w:bookmarkEnd w:id="760"/>
      <w:bookmarkEnd w:id="761"/>
    </w:p>
    <w:p w14:paraId="6127FD9B">
      <w:pPr>
        <w:widowControl/>
        <w:adjustRightInd w:val="0"/>
        <w:snapToGrid w:val="0"/>
        <w:spacing w:line="560" w:lineRule="exact"/>
        <w:ind w:firstLine="422" w:firstLineChars="200"/>
        <w:jc w:val="left"/>
        <w:rPr>
          <w:rFonts w:hint="eastAsia" w:ascii="宋体" w:hAnsi="宋体" w:cs="宋体"/>
          <w:b/>
          <w:color w:val="auto"/>
          <w:szCs w:val="21"/>
          <w:highlight w:val="none"/>
        </w:rPr>
      </w:pPr>
      <w:bookmarkStart w:id="762" w:name="_Toc324404873"/>
      <w:bookmarkStart w:id="763" w:name="_Toc247085748"/>
      <w:bookmarkStart w:id="764" w:name="_Toc152045590"/>
      <w:bookmarkStart w:id="765" w:name="_Toc296602478"/>
      <w:bookmarkStart w:id="766" w:name="_Toc246996976"/>
      <w:bookmarkStart w:id="767" w:name="_Toc246996233"/>
      <w:bookmarkStart w:id="768" w:name="_Toc144974557"/>
      <w:bookmarkStart w:id="769" w:name="_Toc179632608"/>
      <w:bookmarkStart w:id="770" w:name="_Toc152042367"/>
      <w:r>
        <w:rPr>
          <w:rFonts w:hint="eastAsia" w:ascii="宋体" w:hAnsi="宋体" w:cs="宋体"/>
          <w:b/>
          <w:color w:val="auto"/>
          <w:szCs w:val="21"/>
          <w:highlight w:val="none"/>
        </w:rPr>
        <w:t>本次评标采用</w:t>
      </w:r>
      <w:r>
        <w:rPr>
          <w:rFonts w:hint="eastAsia" w:ascii="宋体" w:hAnsi="宋体" w:cs="宋体"/>
          <w:b/>
          <w:color w:val="auto"/>
          <w:szCs w:val="21"/>
          <w:highlight w:val="none"/>
          <w:lang w:eastAsia="zh-CN"/>
        </w:rPr>
        <w:t>经评审的最低投标价法</w:t>
      </w:r>
      <w:r>
        <w:rPr>
          <w:rFonts w:hint="eastAsia" w:ascii="宋体" w:hAnsi="宋体" w:cs="宋体"/>
          <w:b/>
          <w:color w:val="auto"/>
          <w:szCs w:val="21"/>
          <w:highlight w:val="none"/>
        </w:rPr>
        <w:t>。评标委员会对满足招标文件实质性要求的投标文件，最终按投标报价最低原则，推荐有效投标报价最低的为第一中标候选人，次低的为第二中标候选人，以此类推，推荐中标候选人应当不超过3名，并标明排序，但投标报价低于其成本的除外。投标报价最低的有效投标人有两名或两名以上相同时，由评标委员会主任委员或招标人抽签确定第一中标候选人。</w:t>
      </w:r>
    </w:p>
    <w:p w14:paraId="56C5C582">
      <w:pPr>
        <w:widowControl/>
        <w:adjustRightInd w:val="0"/>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评标委员会评审初步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AB768D0">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771" w:name="_Toc15058914"/>
      <w:bookmarkStart w:id="772" w:name="_Toc60061497"/>
      <w:bookmarkStart w:id="773" w:name="_Toc95223400"/>
      <w:bookmarkStart w:id="774" w:name="_Toc506107325"/>
      <w:r>
        <w:rPr>
          <w:rFonts w:hint="eastAsia" w:ascii="黑体" w:hAnsi="黑体" w:cs="黑体"/>
          <w:color w:val="auto"/>
          <w:sz w:val="21"/>
          <w:szCs w:val="21"/>
          <w:highlight w:val="none"/>
        </w:rPr>
        <w:t>2.评标委员会的职责</w:t>
      </w:r>
      <w:bookmarkEnd w:id="762"/>
      <w:bookmarkEnd w:id="771"/>
      <w:bookmarkEnd w:id="772"/>
      <w:bookmarkEnd w:id="773"/>
      <w:bookmarkEnd w:id="774"/>
    </w:p>
    <w:p w14:paraId="69CFBEF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C33D704">
      <w:pPr>
        <w:adjustRightInd w:val="0"/>
        <w:snapToGrid w:val="0"/>
        <w:spacing w:line="560" w:lineRule="exact"/>
        <w:ind w:firstLine="420" w:firstLineChars="200"/>
        <w:rPr>
          <w:rFonts w:hint="eastAsia"/>
          <w:color w:val="auto"/>
          <w:highlight w:val="none"/>
        </w:rPr>
      </w:pPr>
      <w:r>
        <w:rPr>
          <w:rFonts w:hint="eastAsia" w:ascii="宋体" w:hAnsi="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bookmarkStart w:id="775" w:name="_Toc95223401"/>
    </w:p>
    <w:p w14:paraId="628F6918">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r>
        <w:rPr>
          <w:rFonts w:hint="eastAsia" w:ascii="黑体" w:hAnsi="黑体" w:cs="黑体"/>
          <w:color w:val="auto"/>
          <w:sz w:val="21"/>
          <w:szCs w:val="21"/>
          <w:highlight w:val="none"/>
        </w:rPr>
        <w:t>3.评标程序</w:t>
      </w:r>
      <w:bookmarkEnd w:id="775"/>
    </w:p>
    <w:p w14:paraId="6BC4F88C">
      <w:pPr>
        <w:adjustRightInd w:val="0"/>
        <w:snapToGrid w:val="0"/>
        <w:spacing w:line="560" w:lineRule="exact"/>
        <w:ind w:firstLine="420" w:firstLineChars="200"/>
        <w:rPr>
          <w:rFonts w:hint="eastAsia"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评标先做准备工作，再进行技术标评审，然后进行商务标评</w:t>
      </w:r>
      <w:bookmarkStart w:id="776" w:name="_Toc60061498"/>
      <w:bookmarkStart w:id="777" w:name="_Toc15058915"/>
      <w:bookmarkStart w:id="778" w:name="_Toc506107326"/>
      <w:bookmarkStart w:id="779" w:name="_Toc324404874"/>
      <w:r>
        <w:rPr>
          <w:rFonts w:hint="eastAsia" w:ascii="宋体" w:hAnsi="宋体"/>
          <w:color w:val="auto"/>
          <w:szCs w:val="21"/>
          <w:highlight w:val="none"/>
        </w:rPr>
        <w:t>审。</w:t>
      </w:r>
    </w:p>
    <w:p w14:paraId="3A84E402">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780" w:name="_Toc95223402"/>
      <w:r>
        <w:rPr>
          <w:rFonts w:hint="eastAsia" w:ascii="黑体" w:hAnsi="黑体" w:cs="黑体"/>
          <w:color w:val="auto"/>
          <w:sz w:val="21"/>
          <w:szCs w:val="21"/>
          <w:highlight w:val="none"/>
        </w:rPr>
        <w:t>3.1</w:t>
      </w:r>
      <w:bookmarkEnd w:id="776"/>
      <w:bookmarkEnd w:id="777"/>
      <w:bookmarkEnd w:id="778"/>
      <w:bookmarkEnd w:id="779"/>
      <w:r>
        <w:rPr>
          <w:rFonts w:hint="eastAsia" w:ascii="黑体" w:hAnsi="黑体" w:cs="黑体"/>
          <w:color w:val="auto"/>
          <w:sz w:val="21"/>
          <w:szCs w:val="21"/>
          <w:highlight w:val="none"/>
        </w:rPr>
        <w:t>评标准备工作</w:t>
      </w:r>
      <w:bookmarkEnd w:id="780"/>
    </w:p>
    <w:p w14:paraId="67B8670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评标委员会熟悉评标工作情况：</w:t>
      </w:r>
    </w:p>
    <w:p w14:paraId="6CE947A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（1）阅读由招标人或者其委</w:t>
      </w:r>
      <w:bookmarkStart w:id="781" w:name="_Toc60061499"/>
      <w:bookmarkStart w:id="782" w:name="_Toc15058916"/>
      <w:r>
        <w:rPr>
          <w:rFonts w:hint="eastAsia" w:ascii="宋体" w:hAnsi="宋体" w:cs="宋体"/>
          <w:color w:val="auto"/>
          <w:szCs w:val="21"/>
          <w:highlight w:val="none"/>
        </w:rPr>
        <w:t>托的工程代理机构编</w:t>
      </w:r>
      <w:bookmarkEnd w:id="781"/>
      <w:bookmarkEnd w:id="782"/>
      <w:r>
        <w:rPr>
          <w:rFonts w:hint="eastAsia" w:ascii="宋体" w:hAnsi="宋体" w:cs="宋体"/>
          <w:color w:val="auto"/>
          <w:szCs w:val="21"/>
          <w:highlight w:val="none"/>
        </w:rPr>
        <w:t>制的招标项目情况材料。</w:t>
      </w:r>
    </w:p>
    <w:p w14:paraId="25A2E95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251E05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69462E1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（4）核对评标工作用表。</w:t>
      </w:r>
    </w:p>
    <w:p w14:paraId="70CC22F1">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783" w:name="_Toc95223403"/>
      <w:r>
        <w:rPr>
          <w:rFonts w:hint="eastAsia" w:ascii="黑体" w:hAnsi="黑体" w:cs="黑体"/>
          <w:color w:val="auto"/>
          <w:sz w:val="21"/>
          <w:szCs w:val="21"/>
          <w:highlight w:val="none"/>
        </w:rPr>
        <w:t>3.2技术标评审</w:t>
      </w:r>
      <w:bookmarkEnd w:id="783"/>
    </w:p>
    <w:p w14:paraId="2F151F1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详见技术标评审表。</w:t>
      </w:r>
    </w:p>
    <w:p w14:paraId="17BD9A94">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784" w:name="_Toc95223404"/>
      <w:r>
        <w:rPr>
          <w:rFonts w:hint="eastAsia" w:ascii="黑体" w:hAnsi="黑体" w:cs="黑体"/>
          <w:color w:val="auto"/>
          <w:sz w:val="21"/>
          <w:szCs w:val="21"/>
          <w:highlight w:val="none"/>
        </w:rPr>
        <w:t>3.3商务标评审</w:t>
      </w:r>
      <w:bookmarkEnd w:id="784"/>
    </w:p>
    <w:p w14:paraId="1E11CCE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详见商务标评审表。</w:t>
      </w:r>
    </w:p>
    <w:p w14:paraId="288F57B2">
      <w:pPr>
        <w:pStyle w:val="7"/>
        <w:adjustRightInd w:val="0"/>
        <w:snapToGrid w:val="0"/>
        <w:spacing w:before="0" w:after="0" w:line="560" w:lineRule="exact"/>
        <w:ind w:firstLine="422" w:firstLineChars="200"/>
        <w:rPr>
          <w:rFonts w:hint="eastAsia" w:ascii="黑体" w:hAnsi="黑体" w:cs="黑体"/>
          <w:b w:val="0"/>
          <w:bCs w:val="0"/>
          <w:color w:val="auto"/>
          <w:szCs w:val="21"/>
          <w:highlight w:val="none"/>
        </w:rPr>
      </w:pPr>
      <w:bookmarkStart w:id="785" w:name="_Toc15058917"/>
      <w:bookmarkStart w:id="786" w:name="_Toc60061500"/>
      <w:r>
        <w:rPr>
          <w:rFonts w:hint="eastAsia" w:ascii="黑体" w:hAnsi="黑体" w:cs="黑体"/>
          <w:color w:val="auto"/>
          <w:sz w:val="21"/>
          <w:szCs w:val="21"/>
          <w:highlight w:val="none"/>
        </w:rPr>
        <w:t>3.4 推荐中标候</w:t>
      </w:r>
      <w:bookmarkEnd w:id="785"/>
      <w:bookmarkEnd w:id="786"/>
      <w:r>
        <w:rPr>
          <w:rFonts w:hint="eastAsia" w:ascii="黑体" w:hAnsi="黑体" w:cs="黑体"/>
          <w:color w:val="auto"/>
          <w:sz w:val="21"/>
          <w:szCs w:val="21"/>
          <w:highlight w:val="none"/>
        </w:rPr>
        <w:t>选人</w:t>
      </w:r>
    </w:p>
    <w:p w14:paraId="66C5CC7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资信评审、技术标</w:t>
      </w:r>
      <w:bookmarkStart w:id="787" w:name="_Toc60061501"/>
      <w:bookmarkStart w:id="788" w:name="_Toc15058918"/>
      <w:r>
        <w:rPr>
          <w:rFonts w:hint="eastAsia" w:ascii="宋体" w:hAnsi="宋体" w:cs="宋体"/>
          <w:color w:val="auto"/>
          <w:szCs w:val="21"/>
          <w:highlight w:val="none"/>
        </w:rPr>
        <w:t>评审、商务标评审</w:t>
      </w:r>
      <w:bookmarkEnd w:id="787"/>
      <w:bookmarkEnd w:id="788"/>
      <w:r>
        <w:rPr>
          <w:rFonts w:hint="eastAsia" w:ascii="宋体" w:hAnsi="宋体" w:cs="宋体"/>
          <w:color w:val="auto"/>
          <w:szCs w:val="21"/>
          <w:highlight w:val="none"/>
        </w:rPr>
        <w:t>后，推荐中标候选人，并标明排序。</w:t>
      </w:r>
    </w:p>
    <w:p w14:paraId="4A3B98F6">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789" w:name="_Toc95223405"/>
      <w:r>
        <w:rPr>
          <w:rFonts w:hint="eastAsia" w:ascii="黑体" w:hAnsi="黑体" w:cs="黑体"/>
          <w:color w:val="auto"/>
          <w:sz w:val="21"/>
          <w:szCs w:val="21"/>
          <w:highlight w:val="none"/>
        </w:rPr>
        <w:t>4.评审内容</w:t>
      </w:r>
      <w:bookmarkEnd w:id="789"/>
    </w:p>
    <w:p w14:paraId="665B4C9F">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790" w:name="_Toc95223406"/>
      <w:r>
        <w:rPr>
          <w:rFonts w:hint="eastAsia" w:ascii="黑体" w:hAnsi="黑体" w:cs="黑体"/>
          <w:color w:val="auto"/>
          <w:sz w:val="21"/>
          <w:szCs w:val="21"/>
          <w:highlight w:val="none"/>
        </w:rPr>
        <w:t>4.1技术标评审</w:t>
      </w:r>
      <w:bookmarkEnd w:id="790"/>
    </w:p>
    <w:p w14:paraId="2D2B030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4.1.1形式性评审标准：见技术标评审表。</w:t>
      </w:r>
    </w:p>
    <w:p w14:paraId="3602CFC0">
      <w:pPr>
        <w:adjustRightInd w:val="0"/>
        <w:snapToGrid w:val="0"/>
        <w:spacing w:line="560" w:lineRule="exact"/>
        <w:ind w:firstLine="420" w:firstLineChars="200"/>
        <w:rPr>
          <w:rFonts w:hint="eastAsia" w:ascii="宋体" w:hAnsi="宋体" w:cs="宋体"/>
          <w:color w:val="auto"/>
          <w:szCs w:val="21"/>
          <w:highlight w:val="none"/>
        </w:rPr>
      </w:pPr>
      <w:bookmarkStart w:id="791" w:name="_Toc324404875"/>
      <w:bookmarkStart w:id="792" w:name="_Toc60061502"/>
      <w:bookmarkStart w:id="793" w:name="_Toc15058919"/>
      <w:bookmarkStart w:id="794" w:name="_Toc506107327"/>
      <w:r>
        <w:rPr>
          <w:rFonts w:hint="eastAsia" w:ascii="宋体" w:hAnsi="宋体" w:cs="宋体"/>
          <w:color w:val="auto"/>
          <w:szCs w:val="21"/>
          <w:highlight w:val="none"/>
        </w:rPr>
        <w:t>4.1.2响</w:t>
      </w:r>
      <w:bookmarkEnd w:id="791"/>
      <w:bookmarkEnd w:id="792"/>
      <w:bookmarkEnd w:id="793"/>
      <w:bookmarkEnd w:id="794"/>
      <w:r>
        <w:rPr>
          <w:rFonts w:hint="eastAsia" w:ascii="宋体" w:hAnsi="宋体" w:cs="宋体"/>
          <w:color w:val="auto"/>
          <w:szCs w:val="21"/>
          <w:highlight w:val="none"/>
        </w:rPr>
        <w:t>应</w:t>
      </w:r>
      <w:bookmarkStart w:id="795" w:name="_Toc15058920"/>
      <w:bookmarkStart w:id="796" w:name="_Toc60061503"/>
      <w:r>
        <w:rPr>
          <w:rFonts w:hint="eastAsia" w:ascii="宋体" w:hAnsi="宋体" w:cs="宋体"/>
          <w:color w:val="auto"/>
          <w:szCs w:val="21"/>
          <w:highlight w:val="none"/>
        </w:rPr>
        <w:t>性评审标准：见技</w:t>
      </w:r>
      <w:bookmarkEnd w:id="795"/>
      <w:bookmarkEnd w:id="796"/>
      <w:r>
        <w:rPr>
          <w:rFonts w:hint="eastAsia" w:ascii="宋体" w:hAnsi="宋体" w:cs="宋体"/>
          <w:color w:val="auto"/>
          <w:szCs w:val="21"/>
          <w:highlight w:val="none"/>
        </w:rPr>
        <w:t>术标评审表。</w:t>
      </w:r>
    </w:p>
    <w:p w14:paraId="52FD699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评标委员会依据上述标准对投标文件进行初步评审。有一项不符合评审标准的，作无效投标处理。</w:t>
      </w:r>
    </w:p>
    <w:p w14:paraId="5133FF3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投标人的技术标进行符合性评审，评审结论采用合格制。其中6-9中有一项不合格的，或其他项中有三项及以上不合格的，技术标即为不合格。对否定的技术标，评标委员会要提出充足的否定理由，并填写在技术标评标记录上。</w:t>
      </w:r>
    </w:p>
    <w:p w14:paraId="2E94C162">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797" w:name="_Toc95223407"/>
      <w:r>
        <w:rPr>
          <w:rFonts w:hint="eastAsia" w:ascii="黑体" w:hAnsi="黑体" w:cs="黑体"/>
          <w:color w:val="auto"/>
          <w:sz w:val="21"/>
          <w:szCs w:val="21"/>
          <w:highlight w:val="none"/>
        </w:rPr>
        <w:t>4.2商务标评审</w:t>
      </w:r>
      <w:bookmarkEnd w:id="797"/>
    </w:p>
    <w:p w14:paraId="4F2359F6">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只有通过技术标评审的投标才能够进入本阶段评审。</w:t>
      </w:r>
    </w:p>
    <w:p w14:paraId="783171C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w:t>
      </w:r>
      <w:bookmarkStart w:id="798" w:name="_Toc60061504"/>
      <w:bookmarkStart w:id="799" w:name="_Toc15058921"/>
      <w:bookmarkStart w:id="800" w:name="_Toc324404876"/>
      <w:r>
        <w:rPr>
          <w:rFonts w:hint="eastAsia" w:ascii="宋体" w:hAnsi="宋体" w:cs="宋体"/>
          <w:color w:val="auto"/>
          <w:szCs w:val="21"/>
          <w:highlight w:val="none"/>
        </w:rPr>
        <w:t>形式性评审标准：</w:t>
      </w:r>
      <w:bookmarkEnd w:id="798"/>
      <w:bookmarkEnd w:id="799"/>
      <w:r>
        <w:rPr>
          <w:rFonts w:hint="eastAsia" w:ascii="宋体" w:hAnsi="宋体" w:cs="宋体"/>
          <w:color w:val="auto"/>
          <w:szCs w:val="21"/>
          <w:highlight w:val="none"/>
        </w:rPr>
        <w:t>见商务标评审表。</w:t>
      </w:r>
    </w:p>
    <w:p w14:paraId="5E1EBEA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4.2.2响应性评审标准：见商务标评审表。</w:t>
      </w:r>
    </w:p>
    <w:p w14:paraId="64D9079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评标委员会依据上述标准对投标文件进行初步评审。有一项不符合评审标准的，作无效投标处理。</w:t>
      </w:r>
    </w:p>
    <w:p w14:paraId="73B1061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4.2.3详细评审标准：见商务标评审表。</w:t>
      </w:r>
    </w:p>
    <w:p w14:paraId="405BE69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4.2.3.1投标报价清标：</w:t>
      </w:r>
    </w:p>
    <w:p w14:paraId="503BC7D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（1）清标是指通过对需要评审的工程量清单投标报价采用核对、比较、筛选等方法，对基础性数据进行分析和整理。其目的是找出投标文件中可能存在疑义或者显著异常的数据，为评审中的质疑工作提供基础。</w:t>
      </w:r>
    </w:p>
    <w:p w14:paraId="521A3AC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（2）清标工作应当使用计算机辅助评标系统，由计算机完成。</w:t>
      </w:r>
    </w:p>
    <w:p w14:paraId="59A525A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（3）清标的内容和步骤：</w:t>
      </w:r>
    </w:p>
    <w:p w14:paraId="33B6F53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 投标文件在符合性、响应性等方面存在的偏差。</w:t>
      </w:r>
    </w:p>
    <w:p w14:paraId="33F56C0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 投标文件存在的算术计算错误和修正结果。</w:t>
      </w:r>
    </w:p>
    <w:p w14:paraId="6975ADD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 在列出的所有偏差中，属于重大偏差的情形和相关依据；在列出的所有偏差中、属于细微偏差的情形。</w:t>
      </w:r>
    </w:p>
    <w:p w14:paraId="270293A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 列出投标价格过高或过低等的清单项目的序号、项目编码、项目名称、项目特征、与招标文件规定的标准之间存在的偏差幅度和产生原因的摘录。</w:t>
      </w:r>
    </w:p>
    <w:p w14:paraId="66C9549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33468C1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37C43C9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14:paraId="52B0411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（3）工程量清单报价表中综合单价与工程量清单项目价格分析表相对应综合单价不一致时，以工程量清单项目价格分析表中标出的综合单价为准。</w:t>
      </w:r>
    </w:p>
    <w:p w14:paraId="37D31E4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按上述修正错误的原则及方法调整或修正</w:t>
      </w:r>
    </w:p>
    <w:p w14:paraId="5E7543B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3EC6054E">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801" w:name="_Toc95223408"/>
      <w:r>
        <w:rPr>
          <w:rFonts w:hint="eastAsia" w:ascii="黑体" w:hAnsi="黑体" w:cs="黑体"/>
          <w:color w:val="auto"/>
          <w:sz w:val="21"/>
          <w:szCs w:val="21"/>
          <w:highlight w:val="none"/>
        </w:rPr>
        <w:t>5.无效投标条款</w:t>
      </w:r>
      <w:bookmarkEnd w:id="801"/>
    </w:p>
    <w:p w14:paraId="2735306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5.1投标人存在下列情形的招标人将拒收投标文件：</w:t>
      </w:r>
    </w:p>
    <w:p w14:paraId="7EB694BC">
      <w:pPr>
        <w:adjustRightInd w:val="0"/>
        <w:snapToGrid w:val="0"/>
        <w:spacing w:line="56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w:t>
      </w:r>
      <w:bookmarkStart w:id="802" w:name="_Toc15058922"/>
      <w:bookmarkStart w:id="803" w:name="_Toc506107328"/>
      <w:bookmarkStart w:id="804" w:name="_Toc60061505"/>
      <w:r>
        <w:rPr>
          <w:rFonts w:hint="eastAsia" w:ascii="宋体" w:hAnsi="宋体" w:cs="宋体"/>
          <w:color w:val="auto"/>
          <w:szCs w:val="21"/>
          <w:highlight w:val="none"/>
        </w:rPr>
        <w:t xml:space="preserve"> 未在投标截止时</w:t>
      </w:r>
      <w:bookmarkEnd w:id="800"/>
      <w:bookmarkEnd w:id="802"/>
      <w:bookmarkEnd w:id="803"/>
      <w:bookmarkEnd w:id="804"/>
      <w:r>
        <w:rPr>
          <w:rFonts w:hint="eastAsia" w:ascii="宋体" w:hAnsi="宋体" w:cs="宋体"/>
          <w:color w:val="auto"/>
          <w:szCs w:val="21"/>
          <w:highlight w:val="none"/>
        </w:rPr>
        <w:t>间前通过网上招标投标系统递交有效电子投标文件的，开标系统不予接收，投标将被拒绝</w:t>
      </w:r>
    </w:p>
    <w:p w14:paraId="2521757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所有投标人应在规定时间里完成投标文件的解密工作【投标企业接到远程解密指令后，须在规定时间内解密（以网上开评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053ECDC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5.2投标人有下列情形的，经评审后其投标作无效投标处理：</w:t>
      </w:r>
    </w:p>
    <w:p w14:paraId="1D5F7F1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5.2.1技术标评审</w:t>
      </w:r>
    </w:p>
    <w:p w14:paraId="26FAD2DB">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（1）评标委员会依据《技术标评审表》进行形式性评审和响应性评审。有一项不符合评审标准的，做无效投标处理；</w:t>
      </w:r>
    </w:p>
    <w:p w14:paraId="375DF2C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依据《技术标评审表》对投标人的技术标进行符合性评审，评审结论采用合格制。其中6-9中有一项不合格的，或其他项中有三项及以上不合格的，技术标即为不合格；对否定的技术标，评标委员会要提出充足的否定理由，并填写在技术标评标记录上。</w:t>
      </w:r>
    </w:p>
    <w:p w14:paraId="16725EE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5.2.2商务标评审</w:t>
      </w:r>
    </w:p>
    <w:p w14:paraId="28AE8FAD">
      <w:pPr>
        <w:adjustRightInd w:val="0"/>
        <w:snapToGrid w:val="0"/>
        <w:spacing w:line="56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310C462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p>
    <w:p w14:paraId="3D61D13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5.3其他无效投标情况：</w:t>
      </w:r>
    </w:p>
    <w:p w14:paraId="24AEE52E">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04632EA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（2）按第四章“评标方法”第4.2.4项修正错误的原则及方法调整或修正投标文件的投标报价，调整或修正的价格经投标人书面确认后具有约束力。投标人不接受修正价格的，其投标将被拒绝。</w:t>
      </w:r>
    </w:p>
    <w:p w14:paraId="71A9F9F1">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（3）第二章“投标人须知”第1.4.3项规定的任何一种情形的。</w:t>
      </w:r>
    </w:p>
    <w:p w14:paraId="0F505FC3">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（4）投标人有串通投标、视为串通投标、弄虚作假、行贿等违法行为。</w:t>
      </w:r>
    </w:p>
    <w:p w14:paraId="570846B7">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（5）投标文件没有对招标文件的实质性要求和条件作出响应。</w:t>
      </w:r>
    </w:p>
    <w:p w14:paraId="031BE03F">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（6）未按规定的格式填写导致实质性内容不全以及实质上不响应，或者关键字迹模糊、无法辨认；经公共资源交易监督部门核准的。</w:t>
      </w:r>
    </w:p>
    <w:p w14:paraId="08793CD8">
      <w:pPr>
        <w:spacing w:line="560" w:lineRule="exact"/>
        <w:ind w:firstLine="420" w:firstLineChars="200"/>
        <w:rPr>
          <w:rFonts w:hint="eastAsia" w:ascii="宋体" w:hAnsi="宋体" w:cs="宋体"/>
          <w:color w:val="auto"/>
          <w:szCs w:val="21"/>
          <w:highlight w:val="none"/>
        </w:rPr>
      </w:pPr>
      <w:r>
        <w:rPr>
          <w:rFonts w:hint="eastAsia"/>
          <w:color w:val="auto"/>
          <w:highlight w:val="none"/>
        </w:rPr>
        <w:t>（7）</w:t>
      </w:r>
      <w:r>
        <w:rPr>
          <w:rFonts w:hint="eastAsia" w:ascii="宋体" w:hAnsi="宋体" w:cs="宋体"/>
          <w:color w:val="auto"/>
          <w:szCs w:val="21"/>
          <w:highlight w:val="none"/>
        </w:rPr>
        <w:t>同一投标人提交两个以上不同的投标文件或者投标报价，但招标文件规定提交备选投标的除外。</w:t>
      </w:r>
    </w:p>
    <w:p w14:paraId="55E8070A">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（8）投标文件中存在招标人不能接受的其他实质性条件。</w:t>
      </w:r>
    </w:p>
    <w:p w14:paraId="07F37DCD">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（9）投标文件中填报的拟任项目经理（建造师）与资格审查通过的项目经理（建造师）前后不一致的。</w:t>
      </w:r>
    </w:p>
    <w:p w14:paraId="0598961F">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（10）投标人拒不按照要求对投标文件进行澄清、说明、补正的，或评标委员会根据招标文件的规定对招标文件的计算错误进行修正后，投标人不接受修正的投标报价的。</w:t>
      </w:r>
    </w:p>
    <w:p w14:paraId="59DE6B8C">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（11）投标人投标MAC地址一致。</w:t>
      </w:r>
    </w:p>
    <w:p w14:paraId="243E6B0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（12）投标人单方面出现其他投标人材料。</w:t>
      </w:r>
    </w:p>
    <w:p w14:paraId="43A888EA">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（13）评标时查询投标文件制作机器码、文件创建标识码及造价软件加密锁号。若存在投标文件制作机器码或创建标识码或造价软件加密锁号信息与其他投标人雷同的，投标无效。</w:t>
      </w:r>
    </w:p>
    <w:p w14:paraId="3C1F3AE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（14）投标人申请开具电子保函MAC地址一致。</w:t>
      </w:r>
    </w:p>
    <w:p w14:paraId="74DE028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（15）投标人联系人或联系电话相同的。</w:t>
      </w:r>
    </w:p>
    <w:p w14:paraId="6D370654">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（16）法律、法规规定的其他情形。</w:t>
      </w:r>
    </w:p>
    <w:p w14:paraId="7D22E82D">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805" w:name="_Toc95223409"/>
      <w:r>
        <w:rPr>
          <w:rFonts w:hint="eastAsia" w:ascii="黑体" w:hAnsi="黑体" w:cs="黑体"/>
          <w:color w:val="auto"/>
          <w:sz w:val="21"/>
          <w:szCs w:val="21"/>
          <w:highlight w:val="none"/>
        </w:rPr>
        <w:t>6.投标文件的澄清和补正</w:t>
      </w:r>
      <w:bookmarkEnd w:id="805"/>
    </w:p>
    <w:p w14:paraId="6877753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6.1在评标过程中，评标委员会可以书面形式要求投标</w:t>
      </w:r>
      <w:bookmarkStart w:id="806" w:name="_Toc15058923"/>
      <w:bookmarkStart w:id="807" w:name="_Toc506107329"/>
      <w:bookmarkStart w:id="808" w:name="_Toc60061506"/>
      <w:bookmarkStart w:id="809" w:name="_Toc324404877"/>
      <w:r>
        <w:rPr>
          <w:rFonts w:hint="eastAsia" w:ascii="宋体" w:hAnsi="宋体" w:cs="宋体"/>
          <w:color w:val="auto"/>
          <w:szCs w:val="21"/>
          <w:highlight w:val="none"/>
        </w:rPr>
        <w:t>人对所提交的投标文件中含</w:t>
      </w:r>
      <w:bookmarkEnd w:id="806"/>
      <w:bookmarkEnd w:id="807"/>
      <w:bookmarkEnd w:id="808"/>
      <w:bookmarkEnd w:id="809"/>
      <w:r>
        <w:rPr>
          <w:rFonts w:hint="eastAsia" w:ascii="宋体" w:hAnsi="宋体" w:cs="宋体"/>
          <w:color w:val="auto"/>
          <w:szCs w:val="21"/>
          <w:highlight w:val="none"/>
        </w:rPr>
        <w:t>义不明确、对同类问题表述不一致或者有明显文字和计算错误的内容进行书面澄清或说明，或者对细微偏差进行补正。评标委员会不接受投标人主动提出的澄清、说明或补正。</w:t>
      </w:r>
    </w:p>
    <w:p w14:paraId="12A88ECF">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655B7F01">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644B404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7AEBFF94">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810" w:name="_Toc95223410"/>
      <w:r>
        <w:rPr>
          <w:rFonts w:hint="eastAsia" w:ascii="黑体" w:hAnsi="黑体" w:cs="黑体"/>
          <w:color w:val="auto"/>
          <w:sz w:val="21"/>
          <w:szCs w:val="21"/>
          <w:highlight w:val="none"/>
        </w:rPr>
        <w:t>7.评分标准</w:t>
      </w:r>
      <w:bookmarkEnd w:id="810"/>
    </w:p>
    <w:p w14:paraId="4E025DE9">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7.1商务标评分标准：见商务标评审表。</w:t>
      </w:r>
    </w:p>
    <w:p w14:paraId="227C38EC">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811" w:name="_Toc95223411"/>
      <w:r>
        <w:rPr>
          <w:rFonts w:hint="eastAsia" w:ascii="黑体" w:hAnsi="黑体" w:cs="黑体"/>
          <w:color w:val="auto"/>
          <w:sz w:val="21"/>
          <w:szCs w:val="21"/>
          <w:highlight w:val="none"/>
        </w:rPr>
        <w:t>8.评审结果</w:t>
      </w:r>
      <w:bookmarkEnd w:id="811"/>
    </w:p>
    <w:p w14:paraId="359C92BE">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8.1除第二章“投标人须知”及其前附表授权直接确定中标人外，评</w:t>
      </w:r>
      <w:bookmarkStart w:id="812" w:name="_Toc506107331"/>
      <w:bookmarkStart w:id="813" w:name="_Toc60061508"/>
      <w:bookmarkStart w:id="814" w:name="_Toc15058925"/>
      <w:bookmarkStart w:id="815" w:name="_Toc324404879"/>
      <w:r>
        <w:rPr>
          <w:rFonts w:hint="eastAsia" w:ascii="宋体" w:hAnsi="宋体" w:cs="宋体"/>
          <w:color w:val="auto"/>
          <w:szCs w:val="21"/>
          <w:highlight w:val="none"/>
        </w:rPr>
        <w:t>标委员会</w:t>
      </w:r>
      <w:bookmarkEnd w:id="812"/>
      <w:bookmarkEnd w:id="813"/>
      <w:bookmarkEnd w:id="814"/>
      <w:bookmarkEnd w:id="815"/>
      <w:r>
        <w:rPr>
          <w:rFonts w:hint="eastAsia" w:ascii="宋体" w:hAnsi="宋体" w:cs="宋体"/>
          <w:color w:val="auto"/>
          <w:szCs w:val="21"/>
          <w:highlight w:val="none"/>
        </w:rPr>
        <w:t>按有效报价由低到高的顺序推荐中标候选人）。</w:t>
      </w:r>
    </w:p>
    <w:p w14:paraId="29195EE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8.2评标委员会完成评标后，应当向招标人提交书面评标报告。评标报告应当如实记载以下内容：</w:t>
      </w:r>
    </w:p>
    <w:p w14:paraId="21B579E5">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（1）基本情况和数据表。</w:t>
      </w:r>
    </w:p>
    <w:p w14:paraId="799D3BB0">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（2）评标委员会成员名单。</w:t>
      </w:r>
    </w:p>
    <w:p w14:paraId="033CA067">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（3）开标记录。</w:t>
      </w:r>
    </w:p>
    <w:p w14:paraId="332F605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（4）符合要求的投标人一览表。</w:t>
      </w:r>
    </w:p>
    <w:p w14:paraId="5548F9F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（5）否决投标情况说明。</w:t>
      </w:r>
    </w:p>
    <w:p w14:paraId="1D87838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137607A3">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（7）经评审的价格比较一览表。</w:t>
      </w:r>
    </w:p>
    <w:p w14:paraId="4FFDBE3D">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（8）经评审的投标人排序。</w:t>
      </w:r>
    </w:p>
    <w:p w14:paraId="3DCA8CE6">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48A08664">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（10）澄清、说明、补正事项纪要。</w:t>
      </w:r>
    </w:p>
    <w:p w14:paraId="5C4883E8">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697347A">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21C617C">
      <w:pPr>
        <w:pStyle w:val="7"/>
        <w:adjustRightInd w:val="0"/>
        <w:snapToGrid w:val="0"/>
        <w:spacing w:before="0" w:after="0" w:line="560" w:lineRule="exact"/>
        <w:ind w:firstLine="422" w:firstLineChars="200"/>
        <w:rPr>
          <w:rFonts w:hint="eastAsia" w:ascii="黑体" w:hAnsi="黑体" w:cs="黑体"/>
          <w:color w:val="auto"/>
          <w:sz w:val="21"/>
          <w:szCs w:val="21"/>
          <w:highlight w:val="none"/>
        </w:rPr>
      </w:pPr>
      <w:bookmarkStart w:id="816" w:name="_Toc95223412"/>
      <w:r>
        <w:rPr>
          <w:rFonts w:hint="eastAsia" w:ascii="黑体" w:hAnsi="黑体" w:cs="黑体"/>
          <w:color w:val="auto"/>
          <w:sz w:val="21"/>
          <w:szCs w:val="21"/>
          <w:highlight w:val="none"/>
        </w:rPr>
        <w:t>9.其他</w:t>
      </w:r>
      <w:bookmarkEnd w:id="816"/>
    </w:p>
    <w:p w14:paraId="01E461C2">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投标人提供的与投标文件有关的各类证书、证明、文件、资料等的真实性、</w:t>
      </w:r>
      <w:bookmarkStart w:id="817" w:name="_Toc15058926"/>
      <w:bookmarkStart w:id="818" w:name="_Toc506107332"/>
      <w:bookmarkStart w:id="819" w:name="_Toc60061509"/>
      <w:bookmarkStart w:id="820" w:name="_Toc324404880"/>
      <w:r>
        <w:rPr>
          <w:rFonts w:hint="eastAsia" w:ascii="宋体" w:hAnsi="宋体" w:cs="宋体"/>
          <w:color w:val="auto"/>
          <w:szCs w:val="21"/>
          <w:highlight w:val="none"/>
        </w:rPr>
        <w:t>合法性由</w:t>
      </w:r>
      <w:bookmarkEnd w:id="817"/>
      <w:bookmarkEnd w:id="818"/>
      <w:bookmarkEnd w:id="819"/>
      <w:bookmarkEnd w:id="820"/>
      <w:r>
        <w:rPr>
          <w:rFonts w:hint="eastAsia" w:ascii="宋体" w:hAnsi="宋体" w:cs="宋体"/>
          <w:color w:val="auto"/>
          <w:szCs w:val="21"/>
          <w:highlight w:val="none"/>
        </w:rPr>
        <w:t>投标人负全责。</w:t>
      </w:r>
    </w:p>
    <w:p w14:paraId="24CEC040">
      <w:pPr>
        <w:adjustRightInd w:val="0"/>
        <w:snapToGrid w:val="0"/>
        <w:spacing w:line="560" w:lineRule="exact"/>
        <w:rPr>
          <w:rFonts w:hint="eastAsia"/>
          <w:color w:val="auto"/>
          <w:highlight w:val="none"/>
        </w:rPr>
      </w:pPr>
    </w:p>
    <w:p w14:paraId="6B032BBD">
      <w:pPr>
        <w:pStyle w:val="2"/>
        <w:rPr>
          <w:rFonts w:hint="eastAsia"/>
          <w:color w:val="auto"/>
          <w:highlight w:val="none"/>
        </w:rPr>
      </w:pPr>
    </w:p>
    <w:p w14:paraId="4EB46B90">
      <w:pPr>
        <w:rPr>
          <w:rFonts w:hint="eastAsia"/>
          <w:color w:val="auto"/>
          <w:highlight w:val="none"/>
        </w:rPr>
      </w:pPr>
    </w:p>
    <w:p w14:paraId="29FAAA64">
      <w:pPr>
        <w:pStyle w:val="2"/>
        <w:rPr>
          <w:rFonts w:hint="eastAsia"/>
          <w:color w:val="auto"/>
          <w:highlight w:val="none"/>
        </w:rPr>
      </w:pPr>
    </w:p>
    <w:p w14:paraId="58BECCB5">
      <w:pPr>
        <w:rPr>
          <w:rFonts w:hint="eastAsia"/>
          <w:color w:val="auto"/>
          <w:highlight w:val="none"/>
        </w:rPr>
      </w:pPr>
    </w:p>
    <w:p w14:paraId="6EC218BC">
      <w:pPr>
        <w:pStyle w:val="2"/>
        <w:rPr>
          <w:rFonts w:hint="eastAsia"/>
          <w:color w:val="auto"/>
          <w:highlight w:val="none"/>
        </w:rPr>
      </w:pPr>
    </w:p>
    <w:p w14:paraId="19511BEC">
      <w:pPr>
        <w:rPr>
          <w:rFonts w:hint="eastAsia"/>
          <w:color w:val="auto"/>
          <w:highlight w:val="none"/>
        </w:rPr>
      </w:pPr>
    </w:p>
    <w:p w14:paraId="2DCA30A9">
      <w:pPr>
        <w:pStyle w:val="2"/>
        <w:rPr>
          <w:rFonts w:hint="eastAsia"/>
          <w:color w:val="auto"/>
          <w:highlight w:val="none"/>
        </w:rPr>
      </w:pPr>
    </w:p>
    <w:p w14:paraId="10E2A479">
      <w:pPr>
        <w:rPr>
          <w:rFonts w:hint="eastAsia"/>
          <w:color w:val="auto"/>
          <w:highlight w:val="none"/>
        </w:rPr>
      </w:pPr>
    </w:p>
    <w:p w14:paraId="74CB2227">
      <w:pPr>
        <w:pStyle w:val="2"/>
        <w:rPr>
          <w:rFonts w:hint="eastAsia"/>
          <w:color w:val="auto"/>
          <w:highlight w:val="none"/>
        </w:rPr>
      </w:pPr>
    </w:p>
    <w:bookmarkEnd w:id="763"/>
    <w:bookmarkEnd w:id="764"/>
    <w:bookmarkEnd w:id="765"/>
    <w:bookmarkEnd w:id="766"/>
    <w:bookmarkEnd w:id="767"/>
    <w:bookmarkEnd w:id="768"/>
    <w:bookmarkEnd w:id="769"/>
    <w:bookmarkEnd w:id="770"/>
    <w:p w14:paraId="217C0F1A">
      <w:pPr>
        <w:rPr>
          <w:rFonts w:hint="eastAsia" w:ascii="Arial" w:hAnsi="Arial"/>
          <w:color w:val="auto"/>
          <w:kern w:val="0"/>
          <w:sz w:val="32"/>
          <w:szCs w:val="32"/>
          <w:highlight w:val="none"/>
        </w:rPr>
      </w:pPr>
      <w:bookmarkStart w:id="821" w:name="_Toc8750"/>
      <w:bookmarkStart w:id="822" w:name="_Toc7231"/>
      <w:bookmarkStart w:id="823" w:name="_Toc27074"/>
      <w:r>
        <w:rPr>
          <w:rFonts w:hint="eastAsia" w:ascii="Arial" w:hAnsi="Arial"/>
          <w:color w:val="auto"/>
          <w:kern w:val="0"/>
          <w:sz w:val="32"/>
          <w:szCs w:val="32"/>
          <w:highlight w:val="none"/>
        </w:rPr>
        <w:br w:type="page"/>
      </w:r>
    </w:p>
    <w:p w14:paraId="743C126E">
      <w:pPr>
        <w:pStyle w:val="6"/>
        <w:rPr>
          <w:color w:val="auto"/>
          <w:highlight w:val="none"/>
        </w:rPr>
      </w:pPr>
      <w:r>
        <w:rPr>
          <w:rFonts w:hint="eastAsia" w:ascii="Arial" w:hAnsi="Arial"/>
          <w:color w:val="auto"/>
          <w:kern w:val="0"/>
          <w:sz w:val="32"/>
          <w:szCs w:val="32"/>
          <w:highlight w:val="none"/>
        </w:rPr>
        <w:t>第</w:t>
      </w:r>
      <w:r>
        <w:rPr>
          <w:rFonts w:hint="eastAsia" w:ascii="Arial" w:hAnsi="Arial"/>
          <w:color w:val="auto"/>
          <w:kern w:val="0"/>
          <w:sz w:val="32"/>
          <w:szCs w:val="32"/>
          <w:highlight w:val="none"/>
          <w:lang w:val="en-US" w:eastAsia="zh-CN"/>
        </w:rPr>
        <w:t>四</w:t>
      </w:r>
      <w:r>
        <w:rPr>
          <w:rFonts w:hint="eastAsia" w:ascii="Arial" w:hAnsi="Arial"/>
          <w:color w:val="auto"/>
          <w:kern w:val="0"/>
          <w:sz w:val="32"/>
          <w:szCs w:val="32"/>
          <w:highlight w:val="none"/>
        </w:rPr>
        <w:t>章  合同条款及格式</w:t>
      </w:r>
      <w:bookmarkEnd w:id="745"/>
      <w:bookmarkEnd w:id="821"/>
      <w:bookmarkEnd w:id="822"/>
      <w:bookmarkEnd w:id="823"/>
    </w:p>
    <w:p w14:paraId="68B08781">
      <w:pPr>
        <w:spacing w:line="360" w:lineRule="auto"/>
        <w:jc w:val="center"/>
        <w:rPr>
          <w:rFonts w:ascii="仿宋_GB2312" w:eastAsia="仿宋_GB2312"/>
          <w:b/>
          <w:color w:val="auto"/>
          <w:sz w:val="28"/>
          <w:szCs w:val="28"/>
          <w:highlight w:val="none"/>
        </w:rPr>
      </w:pPr>
    </w:p>
    <w:bookmarkEnd w:id="746"/>
    <w:bookmarkEnd w:id="747"/>
    <w:bookmarkEnd w:id="748"/>
    <w:bookmarkEnd w:id="749"/>
    <w:p w14:paraId="2A3C459C">
      <w:pPr>
        <w:adjustRightInd w:val="0"/>
        <w:snapToGrid w:val="0"/>
        <w:spacing w:line="560" w:lineRule="exact"/>
        <w:jc w:val="center"/>
        <w:rPr>
          <w:rFonts w:eastAsia="仿宋_GB2312"/>
          <w:bCs/>
          <w:color w:val="auto"/>
          <w:sz w:val="32"/>
          <w:szCs w:val="32"/>
          <w:highlight w:val="none"/>
          <w:u w:val="single"/>
        </w:rPr>
      </w:pPr>
      <w:bookmarkStart w:id="824" w:name="_Toc4767"/>
      <w:bookmarkStart w:id="825" w:name="_Toc95223515"/>
      <w:bookmarkStart w:id="826" w:name="_Toc23990"/>
      <w:bookmarkStart w:id="827" w:name="_Toc78803398"/>
      <w:bookmarkStart w:id="828" w:name="_Toc144974855"/>
      <w:bookmarkStart w:id="829" w:name="_Toc246997097"/>
      <w:bookmarkStart w:id="830" w:name="_Toc179632806"/>
      <w:bookmarkStart w:id="831" w:name="_Toc152042575"/>
      <w:bookmarkStart w:id="832" w:name="_Toc324404888"/>
      <w:bookmarkStart w:id="833" w:name="_Toc246996354"/>
      <w:bookmarkStart w:id="834" w:name="_Toc35424970"/>
      <w:bookmarkStart w:id="835" w:name="_Toc15058934"/>
      <w:bookmarkStart w:id="836" w:name="_Toc152045786"/>
      <w:bookmarkStart w:id="837" w:name="_Toc35425136"/>
      <w:bookmarkStart w:id="838" w:name="_Toc247085872"/>
      <w:bookmarkStart w:id="839" w:name="_Toc506107340"/>
      <w:r>
        <w:rPr>
          <w:rFonts w:hint="eastAsia" w:eastAsia="仿宋_GB2312"/>
          <w:bCs/>
          <w:color w:val="auto"/>
          <w:sz w:val="32"/>
          <w:szCs w:val="32"/>
          <w:highlight w:val="none"/>
        </w:rPr>
        <w:t>合同编号：</w:t>
      </w:r>
      <w:r>
        <w:rPr>
          <w:rFonts w:hint="eastAsia" w:eastAsia="仿宋_GB2312"/>
          <w:bCs/>
          <w:color w:val="auto"/>
          <w:sz w:val="32"/>
          <w:szCs w:val="32"/>
          <w:highlight w:val="none"/>
          <w:u w:val="single"/>
        </w:rPr>
        <w:t>（HT-YL- ）</w:t>
      </w:r>
    </w:p>
    <w:p w14:paraId="554102BE">
      <w:pPr>
        <w:adjustRightInd w:val="0"/>
        <w:snapToGrid w:val="0"/>
        <w:spacing w:line="560" w:lineRule="exact"/>
        <w:jc w:val="center"/>
        <w:rPr>
          <w:rFonts w:eastAsia="华文中宋"/>
          <w:b/>
          <w:color w:val="auto"/>
          <w:sz w:val="52"/>
          <w:szCs w:val="52"/>
          <w:highlight w:val="none"/>
        </w:rPr>
      </w:pPr>
    </w:p>
    <w:p w14:paraId="0F7FA571">
      <w:pPr>
        <w:adjustRightInd w:val="0"/>
        <w:snapToGrid w:val="0"/>
        <w:jc w:val="center"/>
        <w:rPr>
          <w:rFonts w:eastAsia="华文中宋"/>
          <w:b/>
          <w:color w:val="auto"/>
          <w:sz w:val="52"/>
          <w:szCs w:val="52"/>
          <w:highlight w:val="none"/>
        </w:rPr>
      </w:pPr>
      <w:r>
        <w:rPr>
          <w:rFonts w:hint="eastAsia" w:ascii="宋体" w:hAnsi="宋体" w:cs="宋体"/>
          <w:b/>
          <w:color w:val="auto"/>
          <w:sz w:val="72"/>
          <w:szCs w:val="52"/>
          <w:highlight w:val="none"/>
          <w:u w:val="single"/>
          <w:lang w:val="en-US" w:eastAsia="zh-CN"/>
        </w:rPr>
        <w:t xml:space="preserve">            </w:t>
      </w:r>
      <w:r>
        <w:rPr>
          <w:rFonts w:hint="eastAsia" w:ascii="宋体" w:hAnsi="宋体" w:cs="宋体"/>
          <w:b/>
          <w:color w:val="auto"/>
          <w:sz w:val="72"/>
          <w:szCs w:val="52"/>
          <w:highlight w:val="none"/>
        </w:rPr>
        <w:t>施工合同</w:t>
      </w:r>
      <w:r>
        <w:rPr>
          <w:rFonts w:eastAsia="华文中宋"/>
          <w:b/>
          <w:color w:val="auto"/>
          <w:sz w:val="52"/>
          <w:szCs w:val="52"/>
          <w:highlight w:val="none"/>
        </w:rPr>
        <w:br w:type="textWrapping"/>
      </w:r>
      <w:bookmarkStart w:id="840" w:name="_Toc506107333"/>
      <w:bookmarkStart w:id="841" w:name="_Toc15058927"/>
      <w:bookmarkStart w:id="842" w:name="_Toc60061567"/>
    </w:p>
    <w:p w14:paraId="3314ABFF">
      <w:pPr>
        <w:adjustRightInd w:val="0"/>
        <w:snapToGrid w:val="0"/>
        <w:spacing w:line="560" w:lineRule="exact"/>
        <w:jc w:val="center"/>
        <w:rPr>
          <w:rFonts w:eastAsia="华文中宋"/>
          <w:b/>
          <w:color w:val="auto"/>
          <w:sz w:val="52"/>
          <w:szCs w:val="52"/>
          <w:highlight w:val="none"/>
        </w:rPr>
      </w:pPr>
    </w:p>
    <w:p w14:paraId="6EA196AA">
      <w:pPr>
        <w:adjustRightInd w:val="0"/>
        <w:snapToGrid w:val="0"/>
        <w:spacing w:line="560" w:lineRule="exact"/>
        <w:jc w:val="center"/>
        <w:rPr>
          <w:rFonts w:eastAsia="黑体"/>
          <w:b/>
          <w:color w:val="auto"/>
          <w:sz w:val="72"/>
          <w:szCs w:val="72"/>
          <w:highlight w:val="none"/>
        </w:rPr>
      </w:pPr>
    </w:p>
    <w:p w14:paraId="1148949B">
      <w:pPr>
        <w:adjustRightInd w:val="0"/>
        <w:snapToGrid w:val="0"/>
        <w:spacing w:line="560" w:lineRule="exact"/>
        <w:jc w:val="center"/>
        <w:rPr>
          <w:rFonts w:hint="eastAsia" w:ascii="宋体" w:hAnsi="宋体" w:cs="宋体"/>
          <w:b/>
          <w:color w:val="auto"/>
          <w:sz w:val="54"/>
          <w:szCs w:val="72"/>
          <w:highlight w:val="none"/>
        </w:rPr>
      </w:pPr>
    </w:p>
    <w:p w14:paraId="3EF1B741">
      <w:pPr>
        <w:pStyle w:val="2"/>
        <w:rPr>
          <w:color w:val="auto"/>
          <w:highlight w:val="none"/>
        </w:rPr>
      </w:pPr>
    </w:p>
    <w:p w14:paraId="6C746223">
      <w:pPr>
        <w:adjustRightInd w:val="0"/>
        <w:snapToGrid w:val="0"/>
        <w:spacing w:line="560" w:lineRule="exact"/>
        <w:jc w:val="center"/>
        <w:rPr>
          <w:rFonts w:eastAsia="黑体"/>
          <w:b/>
          <w:color w:val="auto"/>
          <w:sz w:val="52"/>
          <w:szCs w:val="52"/>
          <w:highlight w:val="none"/>
        </w:rPr>
      </w:pPr>
    </w:p>
    <w:p w14:paraId="2A071681">
      <w:pPr>
        <w:adjustRightInd w:val="0"/>
        <w:snapToGrid w:val="0"/>
        <w:spacing w:line="560" w:lineRule="exact"/>
        <w:rPr>
          <w:b/>
          <w:color w:val="auto"/>
          <w:sz w:val="28"/>
          <w:szCs w:val="28"/>
          <w:highlight w:val="none"/>
        </w:rPr>
      </w:pPr>
    </w:p>
    <w:p w14:paraId="338C797D">
      <w:pPr>
        <w:adjustRightInd w:val="0"/>
        <w:snapToGrid w:val="0"/>
        <w:spacing w:line="560" w:lineRule="exact"/>
        <w:rPr>
          <w:b/>
          <w:color w:val="auto"/>
          <w:sz w:val="28"/>
          <w:szCs w:val="28"/>
          <w:highlight w:val="none"/>
        </w:rPr>
      </w:pPr>
    </w:p>
    <w:p w14:paraId="419A65C5">
      <w:pPr>
        <w:adjustRightInd w:val="0"/>
        <w:snapToGrid w:val="0"/>
        <w:spacing w:line="560" w:lineRule="exact"/>
        <w:rPr>
          <w:b/>
          <w:color w:val="auto"/>
          <w:sz w:val="28"/>
          <w:szCs w:val="28"/>
          <w:highlight w:val="none"/>
        </w:rPr>
      </w:pPr>
    </w:p>
    <w:p w14:paraId="144EC78B">
      <w:pPr>
        <w:pStyle w:val="2"/>
        <w:rPr>
          <w:b/>
          <w:color w:val="auto"/>
          <w:sz w:val="28"/>
          <w:szCs w:val="28"/>
          <w:highlight w:val="none"/>
        </w:rPr>
      </w:pPr>
    </w:p>
    <w:p w14:paraId="7F73E761">
      <w:pPr>
        <w:rPr>
          <w:b/>
          <w:color w:val="auto"/>
          <w:sz w:val="28"/>
          <w:szCs w:val="28"/>
          <w:highlight w:val="none"/>
        </w:rPr>
      </w:pPr>
    </w:p>
    <w:p w14:paraId="43C67E94">
      <w:pPr>
        <w:pStyle w:val="2"/>
        <w:rPr>
          <w:color w:val="auto"/>
          <w:highlight w:val="none"/>
        </w:rPr>
      </w:pPr>
    </w:p>
    <w:p w14:paraId="72FF4D7A">
      <w:pPr>
        <w:adjustRightInd w:val="0"/>
        <w:snapToGrid w:val="0"/>
        <w:spacing w:line="560" w:lineRule="exact"/>
        <w:rPr>
          <w:b/>
          <w:color w:val="auto"/>
          <w:sz w:val="28"/>
          <w:szCs w:val="28"/>
          <w:highlight w:val="none"/>
        </w:rPr>
      </w:pPr>
    </w:p>
    <w:p w14:paraId="308C0F4A">
      <w:pPr>
        <w:adjustRightInd w:val="0"/>
        <w:snapToGrid w:val="0"/>
        <w:spacing w:line="560" w:lineRule="exact"/>
        <w:jc w:val="center"/>
        <w:rPr>
          <w:b/>
          <w:color w:val="auto"/>
          <w:sz w:val="28"/>
          <w:szCs w:val="28"/>
          <w:highlight w:val="none"/>
        </w:rPr>
      </w:pPr>
    </w:p>
    <w:p w14:paraId="6660BDF9">
      <w:pPr>
        <w:adjustRightInd w:val="0"/>
        <w:snapToGrid w:val="0"/>
        <w:spacing w:line="560" w:lineRule="exact"/>
        <w:jc w:val="center"/>
        <w:rPr>
          <w:b/>
          <w:color w:val="auto"/>
          <w:sz w:val="32"/>
          <w:szCs w:val="28"/>
          <w:highlight w:val="none"/>
        </w:rPr>
      </w:pPr>
      <w:r>
        <w:rPr>
          <w:color w:val="auto"/>
          <w:szCs w:val="22"/>
          <w:highlight w:val="none"/>
        </w:rPr>
        <mc:AlternateContent>
          <mc:Choice Requires="wps">
            <w:drawing>
              <wp:anchor distT="0" distB="0" distL="114300" distR="114300" simplePos="0" relativeHeight="251660288" behindDoc="0" locked="0" layoutInCell="1" allowOverlap="1">
                <wp:simplePos x="0" y="0"/>
                <wp:positionH relativeFrom="column">
                  <wp:posOffset>4495800</wp:posOffset>
                </wp:positionH>
                <wp:positionV relativeFrom="paragraph">
                  <wp:posOffset>213360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F56A481"/>
                        </w:txbxContent>
                      </wps:txbx>
                      <wps:bodyPr upright="1"/>
                    </wps:wsp>
                  </a:graphicData>
                </a:graphic>
              </wp:anchor>
            </w:drawing>
          </mc:Choice>
          <mc:Fallback>
            <w:pict>
              <v:shape id="_x0000_s1026" o:spid="_x0000_s1026" o:spt="202" type="#_x0000_t202" style="position:absolute;left:0pt;margin-left:354pt;margin-top:16.8pt;height:36pt;width:57pt;z-index:251660288;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tzKmrZAAAACg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14:paraId="7F56A481"/>
                  </w:txbxContent>
                </v:textbox>
              </v:shape>
            </w:pict>
          </mc:Fallback>
        </mc:AlternateContent>
      </w:r>
      <w:bookmarkEnd w:id="840"/>
      <w:bookmarkEnd w:id="841"/>
      <w:bookmarkEnd w:id="842"/>
      <w:r>
        <w:rPr>
          <w:rFonts w:hint="eastAsia"/>
          <w:b/>
          <w:color w:val="auto"/>
          <w:sz w:val="32"/>
          <w:szCs w:val="28"/>
          <w:highlight w:val="none"/>
        </w:rPr>
        <w:t>住房和城乡建设部</w:t>
      </w:r>
    </w:p>
    <w:p w14:paraId="7DC9593B">
      <w:pPr>
        <w:adjustRightInd w:val="0"/>
        <w:snapToGrid w:val="0"/>
        <w:spacing w:line="560" w:lineRule="exact"/>
        <w:jc w:val="center"/>
        <w:rPr>
          <w:b/>
          <w:color w:val="auto"/>
          <w:sz w:val="32"/>
          <w:szCs w:val="28"/>
          <w:highlight w:val="none"/>
        </w:rPr>
      </w:pPr>
      <w:r>
        <w:rPr>
          <w:rFonts w:hint="eastAsia"/>
          <w:b/>
          <w:color w:val="auto"/>
          <w:sz w:val="32"/>
          <w:szCs w:val="28"/>
          <w:highlight w:val="none"/>
        </w:rPr>
        <w:t>国家工商行政管理总局</w:t>
      </w:r>
    </w:p>
    <w:p w14:paraId="5F93A6AF">
      <w:pPr>
        <w:adjustRightInd w:val="0"/>
        <w:snapToGrid w:val="0"/>
        <w:spacing w:line="560" w:lineRule="exact"/>
        <w:rPr>
          <w:rFonts w:hint="eastAsia" w:ascii="仿宋_GB2312" w:eastAsia="仿宋_GB2312"/>
          <w:color w:val="auto"/>
          <w:szCs w:val="21"/>
          <w:highlight w:val="none"/>
          <w:u w:val="single"/>
        </w:rPr>
      </w:pPr>
    </w:p>
    <w:p w14:paraId="15AF178B">
      <w:pPr>
        <w:adjustRightInd w:val="0"/>
        <w:snapToGrid w:val="0"/>
        <w:spacing w:line="560" w:lineRule="exact"/>
        <w:rPr>
          <w:rFonts w:hint="eastAsia"/>
          <w:color w:val="auto"/>
          <w:highlight w:val="none"/>
        </w:rPr>
      </w:pPr>
    </w:p>
    <w:p w14:paraId="151C3C8F">
      <w:pPr>
        <w:adjustRightInd w:val="0"/>
        <w:snapToGrid w:val="0"/>
        <w:spacing w:line="560" w:lineRule="exact"/>
        <w:rPr>
          <w:rFonts w:hint="eastAsia"/>
          <w:color w:val="auto"/>
          <w:highlight w:val="none"/>
        </w:rPr>
      </w:pPr>
    </w:p>
    <w:p w14:paraId="73B3A172">
      <w:pPr>
        <w:keepNext/>
        <w:keepLines/>
        <w:spacing w:line="360" w:lineRule="auto"/>
        <w:jc w:val="center"/>
        <w:outlineLvl w:val="1"/>
        <w:rPr>
          <w:rFonts w:hint="eastAsia" w:ascii="宋体" w:hAnsi="宋体" w:cs="宋体"/>
          <w:b/>
          <w:bCs/>
          <w:color w:val="auto"/>
          <w:sz w:val="32"/>
          <w:szCs w:val="32"/>
          <w:highlight w:val="none"/>
        </w:rPr>
      </w:pPr>
      <w:bookmarkStart w:id="843" w:name="_Toc28799376"/>
      <w:bookmarkStart w:id="844" w:name="_Toc95223459"/>
      <w:bookmarkStart w:id="845" w:name="_Toc3977"/>
      <w:r>
        <w:rPr>
          <w:rFonts w:hint="eastAsia" w:ascii="宋体" w:hAnsi="宋体" w:cs="宋体"/>
          <w:b/>
          <w:bCs/>
          <w:color w:val="auto"/>
          <w:sz w:val="32"/>
          <w:szCs w:val="32"/>
          <w:highlight w:val="none"/>
        </w:rPr>
        <w:t>第一节  合同协议书</w:t>
      </w:r>
      <w:bookmarkEnd w:id="843"/>
      <w:bookmarkEnd w:id="844"/>
      <w:bookmarkEnd w:id="845"/>
    </w:p>
    <w:p w14:paraId="7C0C3662">
      <w:pPr>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发包人（全</w:t>
      </w:r>
      <w:r>
        <w:rPr>
          <w:rFonts w:hint="eastAsia" w:ascii="宋体" w:hAnsi="宋体" w:cs="宋体"/>
          <w:b/>
          <w:color w:val="auto"/>
          <w:sz w:val="24"/>
          <w:highlight w:val="none"/>
          <w:u w:val="single"/>
        </w:rPr>
        <w:t>称）：</w:t>
      </w:r>
      <w:r>
        <w:rPr>
          <w:rFonts w:hint="eastAsia" w:ascii="宋体" w:hAnsi="宋体" w:eastAsia="宋体" w:cs="宋体"/>
          <w:b/>
          <w:color w:val="auto"/>
          <w:sz w:val="24"/>
          <w:highlight w:val="none"/>
          <w:u w:val="single"/>
          <w:lang w:eastAsia="zh-CN"/>
        </w:rPr>
        <w:t>滁州工投新能源开发有限公司</w:t>
      </w:r>
    </w:p>
    <w:p w14:paraId="4E711CB6">
      <w:pPr>
        <w:spacing w:line="360" w:lineRule="auto"/>
        <w:rPr>
          <w:rFonts w:hint="eastAsia" w:ascii="宋体" w:hAnsi="宋体" w:cs="宋体"/>
          <w:color w:val="auto"/>
          <w:szCs w:val="21"/>
          <w:highlight w:val="none"/>
          <w:u w:val="single"/>
        </w:rPr>
      </w:pPr>
      <w:r>
        <w:rPr>
          <w:rFonts w:hint="eastAsia" w:ascii="宋体" w:hAnsi="宋体" w:cs="宋体"/>
          <w:b/>
          <w:color w:val="auto"/>
          <w:sz w:val="24"/>
          <w:highlight w:val="none"/>
          <w:u w:val="single"/>
        </w:rPr>
        <w:t>承包人（全称）：                       </w:t>
      </w:r>
    </w:p>
    <w:p w14:paraId="06F0FDE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根据《中华人民共和国民法典》《中华人民共和国建筑法》及有关法律规定，遵循平等、自愿、公平和诚实信用的原则，双方就 </w:t>
      </w:r>
      <w:r>
        <w:rPr>
          <w:rFonts w:hint="eastAsia" w:ascii="宋体" w:hAnsi="宋体" w:cs="宋体"/>
          <w:color w:val="auto"/>
          <w:sz w:val="21"/>
          <w:szCs w:val="21"/>
          <w:highlight w:val="none"/>
          <w:u w:val="single"/>
          <w:shd w:val="clear" w:color="auto" w:fill="auto"/>
          <w:lang w:val="en-US" w:eastAsia="zh-CN"/>
        </w:rPr>
        <w:t xml:space="preserve">                 </w:t>
      </w:r>
      <w:r>
        <w:rPr>
          <w:rFonts w:hint="eastAsia" w:ascii="宋体" w:hAnsi="宋体" w:cs="宋体"/>
          <w:color w:val="auto"/>
          <w:szCs w:val="21"/>
          <w:highlight w:val="none"/>
          <w:u w:val="single"/>
        </w:rPr>
        <w:t xml:space="preserve"> 工程施工及有关事项协商一致，共同达成如下协议：</w:t>
      </w:r>
      <w:bookmarkStart w:id="846" w:name="_Toc351203481"/>
    </w:p>
    <w:p w14:paraId="0E48BC54">
      <w:pP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u w:val="single"/>
        </w:rPr>
        <w:t>一、工程概况</w:t>
      </w:r>
      <w:bookmarkEnd w:id="846"/>
    </w:p>
    <w:p w14:paraId="71502907">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u w:val="single"/>
        </w:rPr>
        <w:t>1. 工程名称</w:t>
      </w:r>
      <w:r>
        <w:rPr>
          <w:rFonts w:hint="eastAsia" w:ascii="宋体" w:hAnsi="宋体" w:cs="宋体"/>
          <w:color w:val="auto"/>
          <w:szCs w:val="21"/>
          <w:highlight w:val="none"/>
          <w:u w:val="single"/>
        </w:rPr>
        <w:t xml:space="preserve">：  </w:t>
      </w:r>
      <w:r>
        <w:rPr>
          <w:rFonts w:hint="eastAsia" w:ascii="宋体" w:hAnsi="宋体" w:cs="宋体"/>
          <w:color w:val="auto"/>
          <w:sz w:val="21"/>
          <w:szCs w:val="21"/>
          <w:highlight w:val="none"/>
          <w:u w:val="single"/>
          <w:shd w:val="clear" w:color="auto" w:fill="auto"/>
          <w:lang w:val="en-US" w:eastAsia="zh-CN"/>
        </w:rPr>
        <w:t xml:space="preserve">                      </w:t>
      </w:r>
      <w:r>
        <w:rPr>
          <w:rFonts w:hint="eastAsia" w:ascii="宋体" w:hAnsi="宋体" w:cs="宋体"/>
          <w:color w:val="auto"/>
          <w:szCs w:val="21"/>
          <w:highlight w:val="none"/>
          <w:u w:val="single"/>
        </w:rPr>
        <w:t xml:space="preserve">  。</w:t>
      </w:r>
    </w:p>
    <w:p w14:paraId="216F10E2">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2. 工程地点：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w:t>
      </w:r>
    </w:p>
    <w:p w14:paraId="72EF421F">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3. 工程立项批准文号：    </w:t>
      </w:r>
      <w:r>
        <w:rPr>
          <w:rFonts w:hint="eastAsia" w:ascii="宋体" w:hAnsi="宋体" w:cs="宋体"/>
          <w:color w:val="auto"/>
          <w:spacing w:val="-3"/>
          <w:kern w:val="2"/>
          <w:sz w:val="21"/>
          <w:szCs w:val="21"/>
          <w:highlight w:val="none"/>
          <w:u w:val="single"/>
          <w:lang w:val="en-US" w:eastAsia="zh-CN" w:bidi="ar-SA"/>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w:t>
      </w:r>
    </w:p>
    <w:p w14:paraId="1B649E9A">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4. 资金来源：      </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u w:val="single"/>
        </w:rPr>
        <w:t>。</w:t>
      </w:r>
    </w:p>
    <w:p w14:paraId="3BA466AD">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5. 工程内容：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w:t>
      </w:r>
    </w:p>
    <w:p w14:paraId="3411E56F">
      <w:pPr>
        <w:spacing w:line="360" w:lineRule="auto"/>
        <w:ind w:firstLine="411" w:firstLineChars="196"/>
        <w:rPr>
          <w:rFonts w:hint="eastAsia" w:ascii="宋体" w:hAnsi="宋体" w:cs="宋体"/>
          <w:bCs/>
          <w:color w:val="auto"/>
          <w:szCs w:val="21"/>
          <w:highlight w:val="none"/>
          <w:u w:val="single"/>
        </w:rPr>
      </w:pPr>
      <w:r>
        <w:rPr>
          <w:rFonts w:hint="eastAsia" w:ascii="宋体" w:hAnsi="宋体" w:cs="宋体"/>
          <w:color w:val="auto"/>
          <w:szCs w:val="21"/>
          <w:highlight w:val="none"/>
          <w:u w:val="single"/>
        </w:rPr>
        <w:t>群体工程应附《承包人承揽工程项目一览表》（附件1）。</w:t>
      </w:r>
    </w:p>
    <w:p w14:paraId="39B816D2">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u w:val="single"/>
        </w:rPr>
        <w:t>6. 工程承包范围：</w:t>
      </w:r>
      <w:r>
        <w:rPr>
          <w:rFonts w:hint="eastAsia" w:ascii="宋体" w:hAnsi="宋体" w:cs="宋体"/>
          <w:color w:val="auto"/>
          <w:szCs w:val="21"/>
          <w:highlight w:val="none"/>
          <w:u w:val="single"/>
        </w:rPr>
        <w:t xml:space="preserve">   </w:t>
      </w:r>
      <w:r>
        <w:rPr>
          <w:rFonts w:hint="eastAsia" w:ascii="宋体" w:hAnsi="宋体" w:cs="宋体"/>
          <w:b/>
          <w:bCs/>
          <w:color w:val="auto"/>
          <w:sz w:val="21"/>
          <w:szCs w:val="21"/>
          <w:highlight w:val="none"/>
          <w:u w:val="single"/>
          <w:shd w:val="clear" w:color="auto" w:fill="auto"/>
          <w:lang w:val="en-US" w:eastAsia="zh-CN"/>
        </w:rPr>
        <w:t xml:space="preserve">                         </w:t>
      </w:r>
      <w:r>
        <w:rPr>
          <w:rFonts w:hint="eastAsia" w:ascii="宋体" w:hAnsi="宋体" w:cs="宋体"/>
          <w:color w:val="auto"/>
          <w:szCs w:val="21"/>
          <w:highlight w:val="none"/>
          <w:u w:val="single"/>
        </w:rPr>
        <w:t xml:space="preserve">    。</w:t>
      </w:r>
    </w:p>
    <w:p w14:paraId="79406B8C">
      <w:pPr>
        <w:spacing w:line="360" w:lineRule="auto"/>
        <w:ind w:firstLine="422" w:firstLineChars="200"/>
        <w:rPr>
          <w:rFonts w:hint="eastAsia" w:ascii="宋体" w:hAnsi="宋体" w:cs="宋体"/>
          <w:b/>
          <w:color w:val="auto"/>
          <w:szCs w:val="21"/>
          <w:highlight w:val="none"/>
          <w:u w:val="single"/>
        </w:rPr>
      </w:pPr>
      <w:bookmarkStart w:id="847" w:name="_Toc351203482"/>
      <w:r>
        <w:rPr>
          <w:rFonts w:hint="eastAsia" w:ascii="宋体" w:hAnsi="宋体" w:cs="宋体"/>
          <w:b/>
          <w:color w:val="auto"/>
          <w:szCs w:val="21"/>
          <w:highlight w:val="none"/>
          <w:u w:val="single"/>
        </w:rPr>
        <w:t>二、合同工期</w:t>
      </w:r>
      <w:bookmarkEnd w:id="847"/>
    </w:p>
    <w:p w14:paraId="7F01D9AE">
      <w:pPr>
        <w:spacing w:line="360" w:lineRule="auto"/>
        <w:ind w:firstLine="459"/>
        <w:rPr>
          <w:rFonts w:hint="eastAsia" w:ascii="宋体" w:hAnsi="宋体" w:cs="宋体"/>
          <w:color w:val="auto"/>
          <w:szCs w:val="21"/>
          <w:highlight w:val="none"/>
          <w:u w:val="single"/>
        </w:rPr>
      </w:pPr>
      <w:r>
        <w:rPr>
          <w:rFonts w:hint="eastAsia" w:ascii="宋体" w:hAnsi="宋体" w:cs="宋体"/>
          <w:color w:val="auto"/>
          <w:szCs w:val="21"/>
          <w:highlight w:val="none"/>
          <w:u w:val="single"/>
        </w:rPr>
        <w:t>计划开工日期：          年      月      日。</w:t>
      </w:r>
      <w:r>
        <w:rPr>
          <w:rFonts w:hint="eastAsia"/>
          <w:color w:val="auto"/>
          <w:highlight w:val="none"/>
          <w:lang w:eastAsia="zh-CN"/>
        </w:rPr>
        <w:t>（</w:t>
      </w:r>
      <w:r>
        <w:rPr>
          <w:rFonts w:hint="eastAsia"/>
          <w:color w:val="auto"/>
          <w:highlight w:val="none"/>
          <w:lang w:val="en-US" w:eastAsia="zh-CN"/>
        </w:rPr>
        <w:t>具体</w:t>
      </w:r>
      <w:r>
        <w:rPr>
          <w:rFonts w:hint="eastAsia"/>
          <w:color w:val="auto"/>
          <w:highlight w:val="none"/>
          <w:lang w:eastAsia="zh-CN"/>
        </w:rPr>
        <w:t>以开工令时间为准）</w:t>
      </w:r>
    </w:p>
    <w:p w14:paraId="3D929BB3">
      <w:pPr>
        <w:widowControl/>
        <w:adjustRightInd/>
        <w:snapToGrid/>
        <w:spacing w:line="360" w:lineRule="auto"/>
        <w:ind w:firstLine="459"/>
        <w:rPr>
          <w:rFonts w:hint="eastAsia" w:ascii="宋体" w:hAnsi="宋体" w:cs="宋体"/>
          <w:color w:val="auto"/>
          <w:szCs w:val="21"/>
          <w:highlight w:val="none"/>
          <w:u w:val="single"/>
        </w:rPr>
      </w:pPr>
      <w:r>
        <w:rPr>
          <w:rFonts w:hint="eastAsia" w:ascii="宋体" w:hAnsi="宋体" w:cs="宋体"/>
          <w:color w:val="auto"/>
          <w:szCs w:val="21"/>
          <w:highlight w:val="none"/>
          <w:u w:val="single"/>
        </w:rPr>
        <w:t>计划竣工日期：          年      月      日。</w:t>
      </w:r>
    </w:p>
    <w:p w14:paraId="420C0DD8">
      <w:pPr>
        <w:widowControl/>
        <w:adjustRightInd/>
        <w:snapToGrid/>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u w:val="single"/>
        </w:rPr>
        <w:t>工期总日历天数：       天。</w:t>
      </w:r>
      <w:r>
        <w:rPr>
          <w:rFonts w:hint="eastAsia" w:ascii="宋体" w:hAnsi="宋体" w:cs="宋体"/>
          <w:color w:val="auto"/>
          <w:sz w:val="21"/>
          <w:szCs w:val="21"/>
          <w:highlight w:val="none"/>
        </w:rPr>
        <w:t xml:space="preserve"> </w:t>
      </w:r>
      <w:r>
        <w:rPr>
          <w:rFonts w:hint="eastAsia" w:ascii="宋体" w:hAnsi="宋体" w:cs="宋体"/>
          <w:color w:val="auto"/>
          <w:szCs w:val="21"/>
          <w:highlight w:val="none"/>
        </w:rPr>
        <w:t>每推迟一天，按1000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元/天处以违约金。</w:t>
      </w:r>
    </w:p>
    <w:p w14:paraId="2CAD29B1">
      <w:pPr>
        <w:spacing w:line="360" w:lineRule="auto"/>
        <w:ind w:firstLine="422" w:firstLineChars="200"/>
        <w:rPr>
          <w:rFonts w:hint="eastAsia" w:ascii="宋体" w:hAnsi="宋体" w:cs="宋体"/>
          <w:b/>
          <w:color w:val="auto"/>
          <w:szCs w:val="21"/>
          <w:highlight w:val="none"/>
          <w:u w:val="single"/>
        </w:rPr>
      </w:pPr>
      <w:bookmarkStart w:id="848" w:name="_Toc351203483"/>
      <w:r>
        <w:rPr>
          <w:rFonts w:hint="eastAsia" w:ascii="宋体" w:hAnsi="宋体" w:cs="宋体"/>
          <w:b/>
          <w:color w:val="auto"/>
          <w:szCs w:val="21"/>
          <w:highlight w:val="none"/>
          <w:u w:val="single"/>
        </w:rPr>
        <w:t>三、质量标准</w:t>
      </w:r>
      <w:bookmarkEnd w:id="848"/>
    </w:p>
    <w:p w14:paraId="2E1DA518">
      <w:pPr>
        <w:widowControl/>
        <w:adjustRightInd/>
        <w:snapToGrid/>
        <w:spacing w:line="360" w:lineRule="auto"/>
        <w:ind w:firstLine="459"/>
        <w:rPr>
          <w:rFonts w:hint="eastAsia" w:ascii="宋体" w:hAnsi="宋体" w:eastAsia="宋体" w:cs="宋体"/>
          <w:color w:val="auto"/>
          <w:szCs w:val="21"/>
          <w:highlight w:val="none"/>
          <w:u w:val="none"/>
          <w:lang w:val="en-US" w:eastAsia="zh-CN"/>
        </w:rPr>
      </w:pPr>
      <w:bookmarkStart w:id="849" w:name="_Toc351203484"/>
      <w:r>
        <w:rPr>
          <w:rFonts w:hint="eastAsia" w:ascii="宋体" w:hAnsi="宋体" w:eastAsia="宋体" w:cs="宋体"/>
          <w:color w:val="auto"/>
          <w:szCs w:val="21"/>
          <w:highlight w:val="none"/>
          <w:u w:val="none"/>
          <w:lang w:val="en-US" w:eastAsia="zh-CN"/>
        </w:rPr>
        <w:t>1、施工及设备材料：合格，质量符合GB/T 50796-2012《光伏发电工程验收规范》等相关国家、省、市相关法律、法规、规范要求，确保通过国网公司验收、并网。</w:t>
      </w:r>
    </w:p>
    <w:p w14:paraId="39EC1344">
      <w:pPr>
        <w:widowControl/>
        <w:adjustRightInd/>
        <w:snapToGrid/>
        <w:spacing w:line="360" w:lineRule="auto"/>
        <w:ind w:firstLine="459"/>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2、质量保证期及缺陷责任期：严格按照本项目招标文件相关规定（招标文件未提到的，执行国家、省、市相关标准）。</w:t>
      </w:r>
    </w:p>
    <w:p w14:paraId="505DE11E">
      <w:pPr>
        <w:widowControl/>
        <w:adjustRightInd/>
        <w:snapToGrid/>
        <w:spacing w:line="360" w:lineRule="auto"/>
        <w:ind w:firstLine="459"/>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lang w:val="en-US" w:eastAsia="zh-CN"/>
        </w:rPr>
        <w:t>、相关规范、标准以及《建设标准强制性条文》要求的相关强制性标准。</w:t>
      </w:r>
    </w:p>
    <w:p w14:paraId="4370FEDB">
      <w:pPr>
        <w:widowControl/>
        <w:adjustRightInd/>
        <w:snapToGrid/>
        <w:spacing w:line="360" w:lineRule="auto"/>
        <w:ind w:firstLine="459"/>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lang w:val="en-US" w:eastAsia="zh-CN"/>
        </w:rPr>
        <w:t>、运维质量要求：合格，符合招标人的日常考核，并达到每年度的保底发电量。</w:t>
      </w:r>
    </w:p>
    <w:p w14:paraId="520F8D6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四、签约合同价与合同价格形式</w:t>
      </w:r>
      <w:bookmarkEnd w:id="849"/>
    </w:p>
    <w:p w14:paraId="0CD62E9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 签约合同价为：</w:t>
      </w:r>
    </w:p>
    <w:p w14:paraId="780C9757">
      <w:pP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人民币（大写）                 (¥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02E474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合同价格形式：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固定单价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4A3876A">
      <w:pPr>
        <w:spacing w:line="360" w:lineRule="auto"/>
        <w:ind w:firstLine="422" w:firstLineChars="200"/>
        <w:rPr>
          <w:rFonts w:hint="eastAsia" w:ascii="宋体" w:hAnsi="宋体" w:cs="宋体"/>
          <w:b/>
          <w:color w:val="auto"/>
          <w:szCs w:val="21"/>
          <w:highlight w:val="none"/>
        </w:rPr>
      </w:pPr>
      <w:bookmarkStart w:id="850" w:name="_Toc351203485"/>
      <w:r>
        <w:rPr>
          <w:rFonts w:hint="eastAsia" w:ascii="宋体" w:hAnsi="宋体" w:cs="宋体"/>
          <w:b/>
          <w:color w:val="auto"/>
          <w:szCs w:val="21"/>
          <w:highlight w:val="none"/>
        </w:rPr>
        <w:t>五、</w:t>
      </w:r>
      <w:bookmarkEnd w:id="850"/>
      <w:r>
        <w:rPr>
          <w:rFonts w:hint="eastAsia" w:ascii="宋体" w:hAnsi="宋体" w:cs="宋体"/>
          <w:b/>
          <w:color w:val="auto"/>
          <w:szCs w:val="21"/>
          <w:highlight w:val="none"/>
        </w:rPr>
        <w:t>项目经理</w:t>
      </w:r>
    </w:p>
    <w:p w14:paraId="7883DF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承包人项目经理：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D3AFD73">
      <w:pPr>
        <w:spacing w:line="360" w:lineRule="auto"/>
        <w:ind w:firstLine="422" w:firstLineChars="200"/>
        <w:rPr>
          <w:rFonts w:hint="eastAsia" w:ascii="宋体" w:hAnsi="宋体" w:cs="宋体"/>
          <w:b/>
          <w:color w:val="auto"/>
          <w:szCs w:val="21"/>
          <w:highlight w:val="none"/>
        </w:rPr>
      </w:pPr>
      <w:bookmarkStart w:id="851" w:name="_Toc351203486"/>
      <w:r>
        <w:rPr>
          <w:rFonts w:hint="eastAsia" w:ascii="宋体" w:hAnsi="宋体" w:cs="宋体"/>
          <w:b/>
          <w:color w:val="auto"/>
          <w:szCs w:val="21"/>
          <w:highlight w:val="none"/>
        </w:rPr>
        <w:t>六、合同文件构成</w:t>
      </w:r>
      <w:bookmarkEnd w:id="851"/>
    </w:p>
    <w:p w14:paraId="23D77D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7F133EF4">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（1）中标通知书（如果有）；</w:t>
      </w:r>
    </w:p>
    <w:p w14:paraId="71538638">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21372071">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1C8EA8C8">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0450B1AC">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7CB2B6E5">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（6）图纸；</w:t>
      </w:r>
    </w:p>
    <w:p w14:paraId="2D106E2F">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（7）已标价工程量清单或预算书；</w:t>
      </w:r>
    </w:p>
    <w:p w14:paraId="2BF90A39">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13D5143A">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4760023C">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5FB9DA0D">
      <w:pPr>
        <w:spacing w:line="360" w:lineRule="auto"/>
        <w:ind w:firstLine="422" w:firstLineChars="200"/>
        <w:rPr>
          <w:rFonts w:hint="eastAsia" w:ascii="宋体" w:hAnsi="宋体" w:cs="宋体"/>
          <w:b/>
          <w:color w:val="auto"/>
          <w:szCs w:val="21"/>
          <w:highlight w:val="none"/>
        </w:rPr>
      </w:pPr>
      <w:bookmarkStart w:id="852" w:name="_Toc351203487"/>
      <w:r>
        <w:rPr>
          <w:rFonts w:hint="eastAsia" w:ascii="宋体" w:hAnsi="宋体" w:cs="宋体"/>
          <w:b/>
          <w:color w:val="auto"/>
          <w:szCs w:val="21"/>
          <w:highlight w:val="none"/>
        </w:rPr>
        <w:t>七、承诺</w:t>
      </w:r>
      <w:bookmarkEnd w:id="852"/>
    </w:p>
    <w:p w14:paraId="6B6C3EA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 发包人承诺按照法律规定履行项目审批手续、筹集工程建设资金并按照合同约定的期限和方式支付合同价款。</w:t>
      </w:r>
    </w:p>
    <w:p w14:paraId="7C42411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34CFD21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 发包人和承包人通过招投标形式签订合同的，双方理解并承诺不再就本项目通过资信、技术评审且商务标初步评审合格另行签订与合同实质性内容相背离的协议。</w:t>
      </w:r>
    </w:p>
    <w:p w14:paraId="7D8A3D19">
      <w:pPr>
        <w:spacing w:line="360" w:lineRule="auto"/>
        <w:ind w:firstLine="422" w:firstLineChars="200"/>
        <w:rPr>
          <w:rFonts w:hint="eastAsia" w:ascii="宋体" w:hAnsi="宋体" w:cs="宋体"/>
          <w:b/>
          <w:color w:val="auto"/>
          <w:szCs w:val="21"/>
          <w:highlight w:val="none"/>
        </w:rPr>
      </w:pPr>
      <w:bookmarkStart w:id="853" w:name="_Toc351203488"/>
      <w:r>
        <w:rPr>
          <w:rFonts w:hint="eastAsia" w:ascii="宋体" w:hAnsi="宋体" w:cs="宋体"/>
          <w:b/>
          <w:color w:val="auto"/>
          <w:szCs w:val="21"/>
          <w:highlight w:val="none"/>
        </w:rPr>
        <w:t>八、词语含义</w:t>
      </w:r>
      <w:bookmarkEnd w:id="853"/>
    </w:p>
    <w:p w14:paraId="5F2089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52B0A84A">
      <w:pPr>
        <w:spacing w:line="360" w:lineRule="auto"/>
        <w:ind w:firstLine="422" w:firstLineChars="200"/>
        <w:rPr>
          <w:rFonts w:hint="eastAsia" w:ascii="宋体" w:hAnsi="宋体" w:cs="宋体"/>
          <w:b/>
          <w:color w:val="auto"/>
          <w:szCs w:val="21"/>
          <w:highlight w:val="none"/>
        </w:rPr>
      </w:pPr>
      <w:bookmarkStart w:id="854" w:name="_Toc351203489"/>
      <w:r>
        <w:rPr>
          <w:rFonts w:hint="eastAsia" w:ascii="宋体" w:hAnsi="宋体" w:cs="宋体"/>
          <w:b/>
          <w:color w:val="auto"/>
          <w:szCs w:val="21"/>
          <w:highlight w:val="none"/>
        </w:rPr>
        <w:t>九、签订时间</w:t>
      </w:r>
      <w:bookmarkEnd w:id="854"/>
    </w:p>
    <w:p w14:paraId="4B3CAD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24A17668">
      <w:pPr>
        <w:spacing w:line="360" w:lineRule="auto"/>
        <w:ind w:firstLine="422" w:firstLineChars="200"/>
        <w:rPr>
          <w:rFonts w:hint="eastAsia" w:ascii="宋体" w:hAnsi="宋体" w:cs="宋体"/>
          <w:b/>
          <w:color w:val="auto"/>
          <w:szCs w:val="21"/>
          <w:highlight w:val="none"/>
        </w:rPr>
      </w:pPr>
      <w:bookmarkStart w:id="855" w:name="_Toc351203490"/>
      <w:r>
        <w:rPr>
          <w:rFonts w:hint="eastAsia" w:ascii="宋体" w:hAnsi="宋体" w:cs="宋体"/>
          <w:b/>
          <w:color w:val="auto"/>
          <w:szCs w:val="21"/>
          <w:highlight w:val="none"/>
        </w:rPr>
        <w:t>十、签订地点</w:t>
      </w:r>
      <w:bookmarkEnd w:id="855"/>
    </w:p>
    <w:p w14:paraId="1671E62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eastAsia="宋体" w:cs="宋体"/>
          <w:bCs/>
          <w:color w:val="auto"/>
          <w:sz w:val="21"/>
          <w:szCs w:val="21"/>
          <w:highlight w:val="none"/>
          <w:u w:val="single"/>
          <w:shd w:val="clear" w:color="auto" w:fill="auto"/>
          <w:lang w:eastAsia="zh-CN"/>
        </w:rPr>
        <w:t>滁州工投新能源开发有限公司</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0F1607EB">
      <w:pPr>
        <w:spacing w:line="360" w:lineRule="auto"/>
        <w:ind w:firstLine="422" w:firstLineChars="200"/>
        <w:rPr>
          <w:rFonts w:hint="eastAsia" w:ascii="宋体" w:hAnsi="宋体" w:cs="宋体"/>
          <w:b/>
          <w:color w:val="auto"/>
          <w:szCs w:val="21"/>
          <w:highlight w:val="none"/>
        </w:rPr>
      </w:pPr>
      <w:bookmarkStart w:id="856" w:name="_Toc351203491"/>
      <w:r>
        <w:rPr>
          <w:rFonts w:hint="eastAsia" w:ascii="宋体" w:hAnsi="宋体" w:cs="宋体"/>
          <w:b/>
          <w:color w:val="auto"/>
          <w:szCs w:val="21"/>
          <w:highlight w:val="none"/>
        </w:rPr>
        <w:t>十一、补充协议</w:t>
      </w:r>
      <w:bookmarkEnd w:id="856"/>
    </w:p>
    <w:p w14:paraId="774C199D">
      <w:pPr>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523C7E3A">
      <w:pPr>
        <w:spacing w:line="360" w:lineRule="auto"/>
        <w:ind w:firstLine="422" w:firstLineChars="200"/>
        <w:rPr>
          <w:rFonts w:hint="eastAsia" w:ascii="宋体" w:hAnsi="宋体" w:cs="宋体"/>
          <w:b/>
          <w:color w:val="auto"/>
          <w:szCs w:val="21"/>
          <w:highlight w:val="none"/>
        </w:rPr>
      </w:pPr>
      <w:bookmarkStart w:id="857" w:name="_Toc351203492"/>
      <w:r>
        <w:rPr>
          <w:rFonts w:hint="eastAsia" w:ascii="宋体" w:hAnsi="宋体" w:cs="宋体"/>
          <w:b/>
          <w:color w:val="auto"/>
          <w:szCs w:val="21"/>
          <w:highlight w:val="none"/>
        </w:rPr>
        <w:t>十二、合同生效</w:t>
      </w:r>
      <w:bookmarkEnd w:id="857"/>
    </w:p>
    <w:p w14:paraId="0EFA8C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eastAsia="宋体" w:cs="宋体"/>
          <w:color w:val="auto"/>
          <w:sz w:val="21"/>
          <w:szCs w:val="21"/>
          <w:highlight w:val="none"/>
          <w:u w:val="single"/>
          <w:shd w:val="clear" w:color="auto" w:fill="auto"/>
        </w:rPr>
        <w:t>双方签字盖章后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59BA0A79">
      <w:pPr>
        <w:spacing w:line="360" w:lineRule="auto"/>
        <w:ind w:firstLine="422" w:firstLineChars="200"/>
        <w:rPr>
          <w:rFonts w:hint="eastAsia" w:ascii="宋体" w:hAnsi="宋体" w:cs="宋体"/>
          <w:b/>
          <w:color w:val="auto"/>
          <w:szCs w:val="21"/>
          <w:highlight w:val="none"/>
        </w:rPr>
      </w:pPr>
      <w:bookmarkStart w:id="858" w:name="_Toc351203493"/>
      <w:r>
        <w:rPr>
          <w:rFonts w:hint="eastAsia" w:ascii="宋体" w:hAnsi="宋体" w:cs="宋体"/>
          <w:b/>
          <w:color w:val="auto"/>
          <w:szCs w:val="21"/>
          <w:highlight w:val="none"/>
        </w:rPr>
        <w:t>十三、合同份数</w:t>
      </w:r>
      <w:bookmarkEnd w:id="858"/>
    </w:p>
    <w:p w14:paraId="5D8474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捌</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肆</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肆</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26EDD364">
      <w:pPr>
        <w:spacing w:line="360" w:lineRule="auto"/>
        <w:rPr>
          <w:rFonts w:hint="eastAsia" w:ascii="宋体" w:hAnsi="宋体" w:cs="宋体"/>
          <w:bCs/>
          <w:color w:val="auto"/>
          <w:szCs w:val="21"/>
          <w:highlight w:val="none"/>
        </w:rPr>
      </w:pPr>
    </w:p>
    <w:p w14:paraId="4C5FF9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(公章)          承包人：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(公章)</w:t>
      </w:r>
    </w:p>
    <w:p w14:paraId="4E45018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554D24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0AD13F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r>
        <w:rPr>
          <w:rFonts w:hint="eastAsia" w:ascii="宋体" w:hAnsi="宋体" w:cs="宋体"/>
          <w:color w:val="auto"/>
          <w:szCs w:val="21"/>
          <w:highlight w:val="none"/>
          <w:u w:val="single"/>
        </w:rPr>
        <w:t xml:space="preserve">                  </w:t>
      </w:r>
    </w:p>
    <w:p w14:paraId="0770B960">
      <w:pPr>
        <w:spacing w:line="360" w:lineRule="auto"/>
        <w:rPr>
          <w:rFonts w:hint="eastAsia" w:ascii="宋体" w:hAnsi="宋体" w:cs="宋体"/>
          <w:color w:val="auto"/>
          <w:szCs w:val="21"/>
          <w:highlight w:val="none"/>
          <w:u w:val="single"/>
        </w:rPr>
      </w:pPr>
    </w:p>
    <w:p w14:paraId="74A60893">
      <w:pPr>
        <w:tabs>
          <w:tab w:val="left" w:pos="441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p>
    <w:p w14:paraId="00C04C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08090D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12B214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14:paraId="35C3C0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7F1497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5BD9DB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2453BA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4253CF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0BA18D2B">
      <w:pPr>
        <w:ind w:firstLine="420" w:firstLineChars="200"/>
        <w:rPr>
          <w:rFonts w:hint="eastAsia" w:ascii="宋体" w:hAnsi="宋体" w:cs="宋体"/>
          <w:color w:val="auto"/>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48FA468F">
      <w:pPr>
        <w:pStyle w:val="2"/>
        <w:rPr>
          <w:rFonts w:hint="eastAsia"/>
          <w:color w:val="auto"/>
          <w:highlight w:val="none"/>
        </w:rPr>
      </w:pPr>
      <w:bookmarkStart w:id="859" w:name="_Toc28799377"/>
    </w:p>
    <w:p w14:paraId="071202DC">
      <w:pPr>
        <w:rPr>
          <w:rFonts w:hint="eastAsia"/>
          <w:color w:val="auto"/>
          <w:highlight w:val="none"/>
        </w:rPr>
      </w:pPr>
    </w:p>
    <w:p w14:paraId="7C28DCB2">
      <w:pPr>
        <w:pStyle w:val="2"/>
        <w:rPr>
          <w:rFonts w:hint="eastAsia"/>
          <w:color w:val="auto"/>
          <w:highlight w:val="none"/>
        </w:rPr>
      </w:pPr>
    </w:p>
    <w:p w14:paraId="79D741BD">
      <w:pPr>
        <w:rPr>
          <w:rFonts w:hint="eastAsia"/>
          <w:color w:val="auto"/>
          <w:highlight w:val="none"/>
        </w:rPr>
      </w:pPr>
    </w:p>
    <w:p w14:paraId="2F4D4642">
      <w:pPr>
        <w:pStyle w:val="2"/>
        <w:rPr>
          <w:rFonts w:hint="eastAsia"/>
          <w:color w:val="auto"/>
          <w:highlight w:val="none"/>
        </w:rPr>
      </w:pPr>
    </w:p>
    <w:p w14:paraId="64BC58F2">
      <w:pPr>
        <w:rPr>
          <w:rFonts w:hint="eastAsia"/>
          <w:color w:val="auto"/>
          <w:highlight w:val="none"/>
        </w:rPr>
      </w:pPr>
    </w:p>
    <w:p w14:paraId="103A93E8">
      <w:pPr>
        <w:pStyle w:val="2"/>
        <w:rPr>
          <w:rFonts w:hint="eastAsia"/>
          <w:color w:val="auto"/>
          <w:highlight w:val="none"/>
        </w:rPr>
      </w:pPr>
    </w:p>
    <w:p w14:paraId="65F7B71D">
      <w:pPr>
        <w:rPr>
          <w:rFonts w:hint="eastAsia"/>
          <w:color w:val="auto"/>
          <w:highlight w:val="none"/>
        </w:rPr>
      </w:pPr>
    </w:p>
    <w:p w14:paraId="5848BB49">
      <w:pPr>
        <w:pStyle w:val="2"/>
        <w:rPr>
          <w:rFonts w:hint="eastAsia"/>
          <w:color w:val="auto"/>
          <w:highlight w:val="none"/>
        </w:rPr>
      </w:pPr>
    </w:p>
    <w:p w14:paraId="494EEBBA">
      <w:pPr>
        <w:rPr>
          <w:rFonts w:hint="eastAsia"/>
          <w:color w:val="auto"/>
          <w:highlight w:val="none"/>
        </w:rPr>
      </w:pPr>
    </w:p>
    <w:p w14:paraId="000CDF63">
      <w:pPr>
        <w:pStyle w:val="2"/>
        <w:rPr>
          <w:rFonts w:hint="eastAsia"/>
          <w:color w:val="auto"/>
          <w:highlight w:val="none"/>
        </w:rPr>
      </w:pPr>
    </w:p>
    <w:p w14:paraId="7E60F7C6">
      <w:pPr>
        <w:rPr>
          <w:rFonts w:hint="eastAsia"/>
          <w:color w:val="auto"/>
          <w:highlight w:val="none"/>
        </w:rPr>
      </w:pPr>
    </w:p>
    <w:p w14:paraId="001CBE4F">
      <w:pPr>
        <w:pStyle w:val="2"/>
        <w:rPr>
          <w:rFonts w:hint="eastAsia"/>
          <w:color w:val="auto"/>
          <w:highlight w:val="none"/>
        </w:rPr>
      </w:pPr>
    </w:p>
    <w:p w14:paraId="253282E4">
      <w:pPr>
        <w:pStyle w:val="2"/>
        <w:rPr>
          <w:rFonts w:hint="eastAsia"/>
          <w:color w:val="auto"/>
          <w:highlight w:val="none"/>
        </w:rPr>
      </w:pPr>
    </w:p>
    <w:p w14:paraId="330A07AD">
      <w:pPr>
        <w:rPr>
          <w:rFonts w:hint="eastAsia"/>
          <w:color w:val="auto"/>
          <w:highlight w:val="none"/>
        </w:rPr>
      </w:pPr>
    </w:p>
    <w:p w14:paraId="7CFDC7DC">
      <w:pPr>
        <w:pStyle w:val="2"/>
        <w:rPr>
          <w:rFonts w:hint="eastAsia"/>
          <w:color w:val="auto"/>
          <w:highlight w:val="none"/>
        </w:rPr>
      </w:pPr>
    </w:p>
    <w:p w14:paraId="2309358D">
      <w:pPr>
        <w:rPr>
          <w:rFonts w:hint="eastAsia"/>
          <w:color w:val="auto"/>
          <w:highlight w:val="none"/>
        </w:rPr>
      </w:pPr>
    </w:p>
    <w:p w14:paraId="58BF50A5">
      <w:pPr>
        <w:pStyle w:val="2"/>
        <w:rPr>
          <w:rFonts w:hint="eastAsia"/>
          <w:color w:val="auto"/>
          <w:highlight w:val="none"/>
        </w:rPr>
      </w:pPr>
    </w:p>
    <w:p w14:paraId="6FA8A4D4">
      <w:pPr>
        <w:rPr>
          <w:rFonts w:hint="eastAsia"/>
          <w:color w:val="auto"/>
          <w:highlight w:val="none"/>
        </w:rPr>
      </w:pPr>
    </w:p>
    <w:p w14:paraId="2FE0F235">
      <w:pPr>
        <w:pStyle w:val="2"/>
        <w:rPr>
          <w:rFonts w:hint="eastAsia"/>
          <w:color w:val="auto"/>
          <w:highlight w:val="none"/>
        </w:rPr>
      </w:pPr>
    </w:p>
    <w:p w14:paraId="6452A34A">
      <w:pPr>
        <w:keepNext/>
        <w:keepLines/>
        <w:spacing w:line="360" w:lineRule="auto"/>
        <w:jc w:val="center"/>
        <w:outlineLvl w:val="1"/>
        <w:rPr>
          <w:rFonts w:ascii="宋体" w:hAnsi="宋体" w:cs="宋体"/>
          <w:b/>
          <w:bCs/>
          <w:color w:val="auto"/>
          <w:sz w:val="32"/>
          <w:szCs w:val="32"/>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860" w:name="_Toc95223460"/>
      <w:bookmarkStart w:id="861" w:name="_Toc15494"/>
    </w:p>
    <w:p w14:paraId="61FD23F5">
      <w:pPr>
        <w:keepNext/>
        <w:keepLines/>
        <w:spacing w:line="360" w:lineRule="auto"/>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第二节  通用合同条款</w:t>
      </w:r>
      <w:bookmarkEnd w:id="859"/>
      <w:bookmarkEnd w:id="860"/>
      <w:bookmarkEnd w:id="861"/>
    </w:p>
    <w:p w14:paraId="3BE4B08C">
      <w:pPr>
        <w:ind w:firstLine="560" w:firstLineChars="200"/>
        <w:rPr>
          <w:rFonts w:hint="eastAsia" w:ascii="宋体" w:hAnsi="宋体" w:cs="宋体"/>
          <w:snapToGrid w:val="0"/>
          <w:color w:val="auto"/>
          <w:kern w:val="0"/>
          <w:sz w:val="28"/>
          <w:highlight w:val="none"/>
        </w:rPr>
      </w:pPr>
    </w:p>
    <w:p w14:paraId="6F999925">
      <w:pPr>
        <w:adjustRightInd w:val="0"/>
        <w:snapToGrid w:val="0"/>
        <w:spacing w:line="480" w:lineRule="auto"/>
        <w:ind w:firstLine="562" w:firstLineChars="200"/>
        <w:rPr>
          <w:rFonts w:hint="eastAsia" w:ascii="宋体" w:hAnsi="宋体" w:cs="宋体"/>
          <w:b/>
          <w:bCs/>
          <w:snapToGrid w:val="0"/>
          <w:color w:val="auto"/>
          <w:kern w:val="0"/>
          <w:sz w:val="28"/>
          <w:highlight w:val="none"/>
        </w:rPr>
      </w:pPr>
      <w:r>
        <w:rPr>
          <w:rFonts w:hint="eastAsia" w:ascii="宋体" w:hAnsi="宋体" w:cs="宋体"/>
          <w:b/>
          <w:bCs/>
          <w:snapToGrid w:val="0"/>
          <w:color w:val="auto"/>
          <w:kern w:val="0"/>
          <w:sz w:val="28"/>
          <w:highlight w:val="none"/>
        </w:rPr>
        <w:t>采用《建设工程施工合同(示范文本)》（GF-2017-0201）中通用合同条款。上述资料由投标人自行准备。</w:t>
      </w:r>
    </w:p>
    <w:p w14:paraId="50B0C1A5">
      <w:pPr>
        <w:keepNext/>
        <w:keepLines/>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24"/>
          <w:szCs w:val="32"/>
          <w:highlight w:val="none"/>
        </w:rPr>
        <w:br w:type="page"/>
      </w:r>
      <w:bookmarkStart w:id="862" w:name="_Toc26784"/>
      <w:bookmarkStart w:id="863" w:name="_Toc12751"/>
      <w:r>
        <w:rPr>
          <w:rFonts w:hint="eastAsia" w:ascii="宋体" w:hAnsi="宋体" w:cs="宋体"/>
          <w:b/>
          <w:bCs/>
          <w:color w:val="auto"/>
          <w:sz w:val="32"/>
          <w:szCs w:val="32"/>
          <w:highlight w:val="none"/>
        </w:rPr>
        <w:t>第三节  专用合同条款</w:t>
      </w:r>
      <w:bookmarkEnd w:id="862"/>
      <w:bookmarkEnd w:id="863"/>
    </w:p>
    <w:p w14:paraId="45D90228">
      <w:pPr>
        <w:keepNext/>
        <w:keepLines/>
        <w:adjustRightInd w:val="0"/>
        <w:snapToGrid w:val="0"/>
        <w:spacing w:line="460" w:lineRule="exact"/>
        <w:jc w:val="left"/>
        <w:outlineLvl w:val="2"/>
        <w:rPr>
          <w:rFonts w:ascii="宋体" w:hAnsi="宋体" w:cs="宋体"/>
          <w:bCs/>
          <w:color w:val="auto"/>
          <w:sz w:val="24"/>
          <w:highlight w:val="none"/>
        </w:rPr>
      </w:pPr>
      <w:bookmarkStart w:id="864" w:name="_Toc15683"/>
      <w:bookmarkStart w:id="865" w:name="_Toc14744"/>
      <w:r>
        <w:rPr>
          <w:rFonts w:hint="eastAsia" w:ascii="宋体" w:hAnsi="宋体" w:cs="宋体"/>
          <w:bCs/>
          <w:color w:val="auto"/>
          <w:sz w:val="24"/>
          <w:highlight w:val="none"/>
        </w:rPr>
        <w:t>1. 一般约定</w:t>
      </w:r>
      <w:bookmarkEnd w:id="864"/>
      <w:bookmarkEnd w:id="865"/>
    </w:p>
    <w:p w14:paraId="2DBA7718">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1.1 词语定义与解释</w:t>
      </w:r>
    </w:p>
    <w:p w14:paraId="4CE54233">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1.1.1 合同</w:t>
      </w:r>
    </w:p>
    <w:p w14:paraId="22E511A3">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1.1.1.10 其他合同文件包括：</w:t>
      </w:r>
      <w:r>
        <w:rPr>
          <w:rFonts w:hint="eastAsia" w:ascii="宋体" w:hAnsi="宋体" w:cs="宋体"/>
          <w:color w:val="auto"/>
          <w:szCs w:val="21"/>
          <w:highlight w:val="none"/>
          <w:u w:val="single"/>
        </w:rPr>
        <w:t>本项目招标文件、在合同订立及履行过程中形成的与合同有关的文件均构成合同文件组成部分</w:t>
      </w:r>
      <w:r>
        <w:rPr>
          <w:rFonts w:hint="eastAsia" w:ascii="宋体" w:hAnsi="宋体" w:cs="宋体"/>
          <w:color w:val="auto"/>
          <w:kern w:val="0"/>
          <w:highlight w:val="none"/>
        </w:rPr>
        <w:t>；</w:t>
      </w:r>
    </w:p>
    <w:p w14:paraId="4D41531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1.1.2 合同当事人及其他相关方</w:t>
      </w:r>
    </w:p>
    <w:p w14:paraId="15890556">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1.1.2.4 监理人：</w:t>
      </w:r>
    </w:p>
    <w:p w14:paraId="5FEE3EC3">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详见监理合同          </w:t>
      </w:r>
      <w:r>
        <w:rPr>
          <w:rFonts w:hint="eastAsia" w:ascii="宋体" w:hAnsi="宋体" w:cs="宋体"/>
          <w:color w:val="auto"/>
          <w:highlight w:val="none"/>
        </w:rPr>
        <w:t>；</w:t>
      </w:r>
    </w:p>
    <w:p w14:paraId="60D5EFD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    </w:t>
      </w:r>
      <w:r>
        <w:rPr>
          <w:rFonts w:hint="eastAsia" w:ascii="宋体" w:hAnsi="宋体" w:cs="宋体"/>
          <w:color w:val="auto"/>
          <w:highlight w:val="none"/>
        </w:rPr>
        <w:t>；</w:t>
      </w:r>
    </w:p>
    <w:p w14:paraId="0524731A">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54ECDF1A">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24F9DB92">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536BB36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1.1.2.5 设计人：</w:t>
      </w:r>
    </w:p>
    <w:p w14:paraId="6859475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6121D596">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D1D737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w:t>
      </w:r>
    </w:p>
    <w:p w14:paraId="51838BE2">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7CC97B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8066A8D">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1.1.3 工程和设备</w:t>
      </w:r>
    </w:p>
    <w:p w14:paraId="1BE78236">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见施工图纸并现场确定</w:t>
      </w:r>
      <w:r>
        <w:rPr>
          <w:rFonts w:hint="eastAsia" w:ascii="宋体" w:hAnsi="宋体" w:cs="宋体"/>
          <w:color w:val="auto"/>
          <w:highlight w:val="none"/>
        </w:rPr>
        <w:t>。</w:t>
      </w:r>
    </w:p>
    <w:p w14:paraId="50AB70BD">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highlight w:val="none"/>
          <w:u w:val="single"/>
        </w:rPr>
        <w:t>见施工图纸</w:t>
      </w:r>
      <w:r>
        <w:rPr>
          <w:rFonts w:hint="eastAsia" w:ascii="宋体" w:hAnsi="宋体" w:cs="宋体"/>
          <w:color w:val="auto"/>
          <w:kern w:val="0"/>
          <w:highlight w:val="none"/>
        </w:rPr>
        <w:t>。</w:t>
      </w:r>
    </w:p>
    <w:p w14:paraId="01B3AA66">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szCs w:val="21"/>
          <w:highlight w:val="none"/>
          <w:u w:val="single"/>
        </w:rPr>
        <w:t>现场确定</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3BC361BC">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 xml:space="preserve">1.3 法律 </w:t>
      </w:r>
    </w:p>
    <w:p w14:paraId="26977A71">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适用于合同的其他规范性文件：</w:t>
      </w:r>
      <w:r>
        <w:rPr>
          <w:rFonts w:hint="eastAsia" w:ascii="宋体" w:hAnsi="宋体" w:cs="宋体"/>
          <w:color w:val="auto"/>
          <w:szCs w:val="21"/>
          <w:highlight w:val="none"/>
          <w:u w:val="single"/>
        </w:rPr>
        <w:t xml:space="preserve">《中华人民共和国民法典》、《中华人民共和国建筑法》、《中华人民共和国招标投标法》、《建设工程质量管理条例》、《建设工程安全生产管理条例》等国家及工程所在地现行有效的法律法规和规章 </w:t>
      </w:r>
      <w:r>
        <w:rPr>
          <w:rFonts w:hint="eastAsia" w:ascii="宋体" w:hAnsi="宋体" w:cs="宋体"/>
          <w:color w:val="auto"/>
          <w:szCs w:val="21"/>
          <w:highlight w:val="none"/>
        </w:rPr>
        <w:t>。</w:t>
      </w:r>
    </w:p>
    <w:p w14:paraId="4AA7A219">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1.4 标准和规范</w:t>
      </w:r>
    </w:p>
    <w:p w14:paraId="34271E3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1.4.1 适用于工程的标准规范包括：</w:t>
      </w:r>
      <w:r>
        <w:rPr>
          <w:rFonts w:hint="eastAsia" w:ascii="宋体" w:hAnsi="宋体" w:cs="宋体"/>
          <w:color w:val="auto"/>
          <w:szCs w:val="21"/>
          <w:highlight w:val="none"/>
          <w:u w:val="single"/>
        </w:rPr>
        <w:t>中华人民共和国住房和城乡建设部等部门及省、市发布的有关文件</w:t>
      </w:r>
      <w:r>
        <w:rPr>
          <w:rFonts w:hint="eastAsia" w:ascii="宋体" w:hAnsi="宋体" w:cs="宋体"/>
          <w:color w:val="auto"/>
          <w:szCs w:val="21"/>
          <w:highlight w:val="none"/>
        </w:rPr>
        <w:t>。</w:t>
      </w:r>
    </w:p>
    <w:p w14:paraId="2DD85A0F">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1.4.2 发包人提供国外标准、规范的名称：</w:t>
      </w:r>
      <w:r>
        <w:rPr>
          <w:rFonts w:hint="eastAsia" w:ascii="宋体" w:hAnsi="宋体" w:cs="宋体"/>
          <w:color w:val="auto"/>
          <w:szCs w:val="21"/>
          <w:highlight w:val="none"/>
          <w:u w:val="single"/>
        </w:rPr>
        <w:t>承包人自备国内现行适用的标准、规范</w:t>
      </w:r>
      <w:r>
        <w:rPr>
          <w:rFonts w:hint="eastAsia" w:ascii="宋体" w:hAnsi="宋体" w:cs="宋体"/>
          <w:color w:val="auto"/>
          <w:kern w:val="0"/>
          <w:highlight w:val="none"/>
        </w:rPr>
        <w:t>；</w:t>
      </w:r>
    </w:p>
    <w:p w14:paraId="673A031C">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06BE4D7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kern w:val="0"/>
          <w:highlight w:val="none"/>
        </w:rPr>
        <w:t>发包人提供国外标准、规范的时间：</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73B457BA">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1.4.3 发包人对工程的技术标准和功能要求的特殊要求：</w:t>
      </w:r>
      <w:r>
        <w:rPr>
          <w:rFonts w:hint="eastAsia" w:ascii="宋体" w:hAnsi="宋体" w:cs="宋体"/>
          <w:color w:val="auto"/>
          <w:szCs w:val="21"/>
          <w:highlight w:val="none"/>
          <w:u w:val="single"/>
        </w:rPr>
        <w:t>按现行规范执行</w:t>
      </w:r>
      <w:r>
        <w:rPr>
          <w:rFonts w:hint="eastAsia" w:ascii="宋体" w:hAnsi="宋体" w:cs="宋体"/>
          <w:color w:val="auto"/>
          <w:highlight w:val="none"/>
        </w:rPr>
        <w:t>。</w:t>
      </w:r>
    </w:p>
    <w:p w14:paraId="7C134D33">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1.5 合同文件的优先顺序</w:t>
      </w:r>
    </w:p>
    <w:p w14:paraId="0ABA9092">
      <w:pPr>
        <w:adjustRightInd w:val="0"/>
        <w:snapToGrid w:val="0"/>
        <w:spacing w:line="460" w:lineRule="exact"/>
        <w:ind w:firstLine="420" w:firstLineChars="200"/>
        <w:rPr>
          <w:rFonts w:ascii="宋体" w:hAnsi="宋体" w:cs="宋体"/>
          <w:b/>
          <w:color w:val="auto"/>
          <w:highlight w:val="none"/>
          <w:u w:val="single"/>
        </w:rPr>
      </w:pPr>
      <w:r>
        <w:rPr>
          <w:rFonts w:hint="eastAsia" w:ascii="宋体" w:hAnsi="宋体" w:cs="宋体"/>
          <w:color w:val="auto"/>
          <w:kern w:val="0"/>
          <w:highlight w:val="none"/>
        </w:rPr>
        <w:t>合同文件组成及优先顺序为：</w:t>
      </w:r>
      <w:r>
        <w:rPr>
          <w:rFonts w:hint="eastAsia" w:ascii="宋体" w:hAnsi="宋体" w:cs="宋体"/>
          <w:color w:val="auto"/>
          <w:szCs w:val="21"/>
          <w:highlight w:val="none"/>
          <w:u w:val="single"/>
        </w:rPr>
        <w:t>（1）合同协议书；（2）中标通知书；（3）投标函及其附录；（4）招标文件；（5）专用合同条款及其附件；（6）通用合同条款；（7）技术标准和要求；（8）图纸；（9）已标价工程量清单或预算书；（10）其他合同文件</w:t>
      </w:r>
      <w:r>
        <w:rPr>
          <w:rFonts w:hint="eastAsia" w:ascii="宋体" w:hAnsi="宋体" w:cs="宋体"/>
          <w:color w:val="auto"/>
          <w:highlight w:val="none"/>
        </w:rPr>
        <w:t>。</w:t>
      </w:r>
    </w:p>
    <w:p w14:paraId="512A5A4C">
      <w:pPr>
        <w:pStyle w:val="2"/>
        <w:spacing w:line="500" w:lineRule="exact"/>
        <w:ind w:left="0" w:leftChars="0"/>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14:paraId="4F0C3287">
      <w:pPr>
        <w:pStyle w:val="2"/>
        <w:spacing w:line="500" w:lineRule="exact"/>
        <w:ind w:left="0" w:leftChars="0"/>
        <w:rPr>
          <w:rFonts w:ascii="宋体" w:hAnsi="宋体" w:cs="宋体"/>
          <w:bCs/>
          <w:color w:val="auto"/>
          <w:szCs w:val="28"/>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14:paraId="1FB055E5">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1.6 图纸和承包人文件</w:t>
      </w:r>
      <w:r>
        <w:rPr>
          <w:rFonts w:hint="eastAsia" w:ascii="宋体" w:hAnsi="宋体" w:cs="宋体"/>
          <w:bCs/>
          <w:color w:val="auto"/>
          <w:szCs w:val="28"/>
          <w:highlight w:val="none"/>
        </w:rPr>
        <w:tab/>
      </w:r>
    </w:p>
    <w:p w14:paraId="27D61D48">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1.6.1 图纸的提供和交底</w:t>
      </w:r>
    </w:p>
    <w:p w14:paraId="2C0EC38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开工前10个日历日向承包人提供图纸</w:t>
      </w:r>
      <w:r>
        <w:rPr>
          <w:rFonts w:hint="eastAsia" w:ascii="宋体" w:hAnsi="宋体" w:cs="宋体"/>
          <w:color w:val="auto"/>
          <w:highlight w:val="none"/>
        </w:rPr>
        <w:t>；</w:t>
      </w:r>
    </w:p>
    <w:p w14:paraId="0DB6EA8A">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szCs w:val="21"/>
          <w:highlight w:val="none"/>
          <w:u w:val="single"/>
        </w:rPr>
        <w:t>提供1套，不足的由承包人自行复制，费用自理；</w:t>
      </w:r>
    </w:p>
    <w:p w14:paraId="05D849B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全套施工图</w:t>
      </w:r>
      <w:r>
        <w:rPr>
          <w:rFonts w:hint="eastAsia" w:ascii="宋体" w:hAnsi="宋体" w:cs="宋体"/>
          <w:color w:val="auto"/>
          <w:highlight w:val="none"/>
        </w:rPr>
        <w:t>。</w:t>
      </w:r>
    </w:p>
    <w:p w14:paraId="60F82798">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1.6.4 承包人文件</w:t>
      </w:r>
    </w:p>
    <w:p w14:paraId="1E9B8472">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color w:val="auto"/>
          <w:szCs w:val="21"/>
          <w:highlight w:val="none"/>
          <w:u w:val="single"/>
        </w:rPr>
        <w:t>包括但不限于施工组织设计、总进度计划、阶段性进度计划、月度进度计划、工程计量报告、竣工资料、归档资料电子档、影像资料及工程结算送审资料及发包人、监理人要求提供的等其他文件</w:t>
      </w:r>
      <w:r>
        <w:rPr>
          <w:rFonts w:hint="eastAsia" w:ascii="宋体" w:hAnsi="宋体" w:cs="宋体"/>
          <w:color w:val="auto"/>
          <w:highlight w:val="none"/>
        </w:rPr>
        <w:t>；</w:t>
      </w:r>
    </w:p>
    <w:p w14:paraId="79B6E55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color w:val="auto"/>
          <w:szCs w:val="21"/>
          <w:highlight w:val="none"/>
          <w:u w:val="single"/>
        </w:rPr>
        <w:t>按照合同相关约定或发包人、监理人书面要求执行</w:t>
      </w:r>
      <w:r>
        <w:rPr>
          <w:rFonts w:hint="eastAsia" w:ascii="宋体" w:hAnsi="宋体" w:cs="宋体"/>
          <w:color w:val="auto"/>
          <w:highlight w:val="none"/>
        </w:rPr>
        <w:t>；</w:t>
      </w:r>
    </w:p>
    <w:p w14:paraId="5C4CA49D">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szCs w:val="21"/>
          <w:highlight w:val="none"/>
          <w:u w:val="single"/>
        </w:rPr>
        <w:t>按照合同相关约定或发包人、监理人书面要求执行</w:t>
      </w:r>
      <w:r>
        <w:rPr>
          <w:rFonts w:hint="eastAsia" w:ascii="宋体" w:hAnsi="宋体" w:cs="宋体"/>
          <w:color w:val="auto"/>
          <w:highlight w:val="none"/>
        </w:rPr>
        <w:t>；</w:t>
      </w:r>
    </w:p>
    <w:p w14:paraId="728E9533">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szCs w:val="21"/>
          <w:highlight w:val="none"/>
          <w:u w:val="single"/>
        </w:rPr>
        <w:t>按照合同相关约定或发包人、监理人书面要求执行</w:t>
      </w:r>
      <w:r>
        <w:rPr>
          <w:rFonts w:hint="eastAsia" w:ascii="宋体" w:hAnsi="宋体" w:cs="宋体"/>
          <w:color w:val="auto"/>
          <w:highlight w:val="none"/>
        </w:rPr>
        <w:t>；</w:t>
      </w:r>
    </w:p>
    <w:p w14:paraId="3BF16A9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szCs w:val="21"/>
          <w:highlight w:val="none"/>
          <w:u w:val="single"/>
        </w:rPr>
        <w:t>按照合同相关约定或发包人、监理人书面要求执行</w:t>
      </w:r>
      <w:r>
        <w:rPr>
          <w:rFonts w:hint="eastAsia" w:ascii="宋体" w:hAnsi="宋体" w:cs="宋体"/>
          <w:color w:val="auto"/>
          <w:highlight w:val="none"/>
        </w:rPr>
        <w:t>。</w:t>
      </w:r>
    </w:p>
    <w:p w14:paraId="54D06A00">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1.6.5 图纸和承包人文件的保管</w:t>
      </w:r>
    </w:p>
    <w:p w14:paraId="32C40B84">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关于图纸和承包人文件保管的约定：</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4DC5ACA2">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1.7 联络</w:t>
      </w:r>
    </w:p>
    <w:p w14:paraId="569C3373">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1.7.1 发包人和承包人应当在</w:t>
      </w:r>
      <w:r>
        <w:rPr>
          <w:rFonts w:hint="eastAsia" w:ascii="宋体" w:hAnsi="宋体" w:cs="宋体"/>
          <w:color w:val="auto"/>
          <w:highlight w:val="none"/>
          <w:u w:val="single"/>
        </w:rPr>
        <w:t>7</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4173237F">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color w:val="auto"/>
          <w:highlight w:val="none"/>
          <w:u w:val="single"/>
        </w:rPr>
        <w:t>发包人办公室  </w:t>
      </w:r>
      <w:r>
        <w:rPr>
          <w:rFonts w:hint="eastAsia" w:ascii="宋体" w:hAnsi="宋体" w:cs="宋体"/>
          <w:color w:val="auto"/>
          <w:kern w:val="0"/>
          <w:highlight w:val="none"/>
        </w:rPr>
        <w:t>；</w:t>
      </w:r>
    </w:p>
    <w:p w14:paraId="68B83EF0">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发包人指派的项目负责人 </w:t>
      </w:r>
      <w:r>
        <w:rPr>
          <w:rFonts w:hint="eastAsia" w:ascii="宋体" w:hAnsi="宋体" w:cs="宋体"/>
          <w:color w:val="auto"/>
          <w:kern w:val="0"/>
          <w:highlight w:val="none"/>
        </w:rPr>
        <w:t>。</w:t>
      </w:r>
    </w:p>
    <w:p w14:paraId="5A9FFC4C">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color w:val="auto"/>
          <w:szCs w:val="21"/>
          <w:highlight w:val="none"/>
          <w:u w:val="single"/>
        </w:rPr>
        <w:t>项目部</w:t>
      </w:r>
      <w:r>
        <w:rPr>
          <w:rFonts w:hint="eastAsia" w:ascii="宋体" w:hAnsi="宋体" w:cs="宋体"/>
          <w:color w:val="auto"/>
          <w:kern w:val="0"/>
          <w:highlight w:val="none"/>
        </w:rPr>
        <w:t>；</w:t>
      </w:r>
    </w:p>
    <w:p w14:paraId="7D39FC5A">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项目负责人</w:t>
      </w:r>
      <w:r>
        <w:rPr>
          <w:rFonts w:hint="eastAsia" w:ascii="宋体" w:hAnsi="宋体" w:cs="宋体"/>
          <w:color w:val="auto"/>
          <w:kern w:val="0"/>
          <w:highlight w:val="none"/>
        </w:rPr>
        <w:t>。</w:t>
      </w:r>
    </w:p>
    <w:p w14:paraId="45D37A0B">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szCs w:val="21"/>
          <w:highlight w:val="none"/>
          <w:u w:val="single"/>
        </w:rPr>
        <w:t>监理部</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58B8F43A">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color w:val="auto"/>
          <w:szCs w:val="21"/>
          <w:highlight w:val="none"/>
          <w:u w:val="single"/>
        </w:rPr>
        <w:t>总监理工程师</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16C04052">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1.10 交通运输</w:t>
      </w:r>
    </w:p>
    <w:p w14:paraId="0A3B472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1.10.1 出入现场的权利</w:t>
      </w:r>
    </w:p>
    <w:p w14:paraId="7EBF041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szCs w:val="21"/>
          <w:highlight w:val="none"/>
          <w:u w:val="single"/>
        </w:rPr>
        <w:t>费用由</w:t>
      </w:r>
      <w:r>
        <w:rPr>
          <w:rFonts w:hint="eastAsia" w:ascii="宋体" w:hAnsi="宋体" w:cs="宋体"/>
          <w:color w:val="auto"/>
          <w:szCs w:val="21"/>
          <w:highlight w:val="none"/>
          <w:u w:val="single"/>
          <w:lang w:val="en-US" w:eastAsia="zh-CN"/>
        </w:rPr>
        <w:t>承包人</w:t>
      </w:r>
      <w:r>
        <w:rPr>
          <w:rFonts w:hint="eastAsia" w:ascii="宋体" w:hAnsi="宋体" w:cs="宋体"/>
          <w:color w:val="auto"/>
          <w:szCs w:val="21"/>
          <w:highlight w:val="none"/>
          <w:u w:val="single"/>
        </w:rPr>
        <w:t>承担，按有关规定办理有关施工场地交通、环卫和施工噪音管理等手续，费用由承包人负责。施工中建筑垃圾需运出施工现场外时，承包人需到城管部门办理相关手续并按城管部门指定地点放置。承包人违反城管、环卫等有关管理的规定，被处以违约金的，由承包人承担</w:t>
      </w:r>
      <w:r>
        <w:rPr>
          <w:rFonts w:hint="eastAsia" w:ascii="宋体" w:hAnsi="宋体" w:cs="宋体"/>
          <w:color w:val="auto"/>
          <w:highlight w:val="none"/>
        </w:rPr>
        <w:t>。</w:t>
      </w:r>
    </w:p>
    <w:p w14:paraId="159E0667">
      <w:pPr>
        <w:widowControl/>
        <w:snapToGrid w:val="0"/>
        <w:spacing w:line="5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施工前应开设1-2个固定施工通道，通道位置由发包人和承包人现场共同确认，确定后不得移动并采取有效硬化措施。不得损坏道路路面路侧石、人行道板、雨水井、雨水篦、绿化带、通信光缆、燃气管道、供电等公共设施，如因工程需要，确需损坏少量公共设施的，施工方应办理相关手续，在完工后必须恢复原状或按照有关部门核定的价格赔偿。恢复费用及赔偿价格均由施工方承担。以上均为工程验收内容，若施工方有损毁不及时修复，发包人有权委托其他施工方进行维修，发生的费用从承包人工程款中直接扣除，并在每阶段付款节点顺延一个月支付。施工过程中，应办理渣土运输证件，保持道路清洁，如有抛撒滴漏，应及时清扫。否则发包人将向承包人收取违约金 1000 元/次。施工方应确保施工安全,若施工过程中出现工伤事故及由此产生的所有经济赔偿由施工方负责,与发包人无关。 </w:t>
      </w:r>
    </w:p>
    <w:p w14:paraId="2540066C">
      <w:pPr>
        <w:widowControl/>
        <w:snapToGrid w:val="0"/>
        <w:spacing w:line="500" w:lineRule="exact"/>
        <w:ind w:firstLine="420" w:firstLineChars="200"/>
        <w:rPr>
          <w:color w:val="auto"/>
          <w:highlight w:val="none"/>
        </w:rPr>
      </w:pPr>
      <w:r>
        <w:rPr>
          <w:rFonts w:hint="eastAsia" w:ascii="宋体" w:hAnsi="宋体" w:cs="宋体"/>
          <w:color w:val="auto"/>
          <w:szCs w:val="21"/>
          <w:highlight w:val="none"/>
          <w:u w:val="single"/>
        </w:rPr>
        <w:t>在本工程施工期间，施工单位使用的运输车辆须满足公安、市容城管、交通管理部门等的规定并按要求依法遵照有关规定办理运输许可证，严禁使用无牌无证车辆进行施工，若因以上原因造成的各种行政违约金等费用，由施工单位自行承担，发包人不具有协调等责任义务。如由此造成影响导致业主声誉受损，发包人将向承包人收取违约金5000元/次。</w:t>
      </w:r>
    </w:p>
    <w:p w14:paraId="4569D8B2">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1.10.3 场内交通</w:t>
      </w:r>
    </w:p>
    <w:p w14:paraId="7BF3F2B6">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关于场外交通和场内交通的边界的约定：</w:t>
      </w:r>
      <w:r>
        <w:rPr>
          <w:rFonts w:hint="eastAsia" w:ascii="宋体" w:hAnsi="宋体" w:cs="宋体"/>
          <w:color w:val="auto"/>
          <w:szCs w:val="21"/>
          <w:highlight w:val="none"/>
          <w:u w:val="single"/>
        </w:rPr>
        <w:t>场内交通设施和道路由承包人负责建设，发包人不另支付费用，场内交通边界现场确定</w:t>
      </w:r>
      <w:r>
        <w:rPr>
          <w:rFonts w:hint="eastAsia" w:ascii="宋体" w:hAnsi="宋体" w:cs="宋体"/>
          <w:color w:val="auto"/>
          <w:highlight w:val="none"/>
        </w:rPr>
        <w:t>。</w:t>
      </w:r>
    </w:p>
    <w:p w14:paraId="50B7F6A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szCs w:val="21"/>
          <w:highlight w:val="none"/>
          <w:u w:val="single"/>
        </w:rPr>
        <w:t>自行踏勘，自行解决</w:t>
      </w:r>
      <w:r>
        <w:rPr>
          <w:rFonts w:hint="eastAsia" w:ascii="宋体" w:hAnsi="宋体" w:cs="宋体"/>
          <w:color w:val="auto"/>
          <w:highlight w:val="none"/>
        </w:rPr>
        <w:t>。</w:t>
      </w:r>
    </w:p>
    <w:p w14:paraId="04F3A6D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1.10.4 超大件和超重件的运输</w:t>
      </w:r>
    </w:p>
    <w:p w14:paraId="7EEEF915">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szCs w:val="21"/>
          <w:highlight w:val="none"/>
          <w:u w:val="single"/>
        </w:rPr>
        <w:t>承包方</w:t>
      </w:r>
      <w:r>
        <w:rPr>
          <w:rFonts w:hint="eastAsia" w:ascii="宋体" w:hAnsi="宋体" w:cs="宋体"/>
          <w:color w:val="auto"/>
          <w:highlight w:val="none"/>
        </w:rPr>
        <w:t>承担。</w:t>
      </w:r>
    </w:p>
    <w:p w14:paraId="1CD68E6E">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1.11 知识产权</w:t>
      </w:r>
    </w:p>
    <w:p w14:paraId="6A5FFAC0">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发包人</w:t>
      </w:r>
      <w:r>
        <w:rPr>
          <w:rFonts w:hint="eastAsia" w:ascii="宋体" w:hAnsi="宋体" w:cs="宋体"/>
          <w:color w:val="auto"/>
          <w:highlight w:val="none"/>
        </w:rPr>
        <w:t>。</w:t>
      </w:r>
    </w:p>
    <w:p w14:paraId="56096BD6">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szCs w:val="21"/>
          <w:highlight w:val="none"/>
          <w:u w:val="single"/>
        </w:rPr>
        <w:t>未经发包人同意不得复制，不得向承包人以外的人员泄漏有关图纸内容，工程竣工后，原图全部收回</w:t>
      </w:r>
      <w:r>
        <w:rPr>
          <w:rFonts w:hint="eastAsia" w:ascii="宋体" w:hAnsi="宋体" w:cs="宋体"/>
          <w:color w:val="auto"/>
          <w:highlight w:val="none"/>
        </w:rPr>
        <w:t>。</w:t>
      </w:r>
    </w:p>
    <w:p w14:paraId="01D671D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4D7C2833">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720D8D28">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2CC4741E">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1.13 工程量清单错误的修正</w:t>
      </w:r>
    </w:p>
    <w:p w14:paraId="6F0D2DD5">
      <w:pPr>
        <w:adjustRightInd w:val="0"/>
        <w:snapToGrid w:val="0"/>
        <w:spacing w:line="460" w:lineRule="exact"/>
        <w:ind w:firstLine="420" w:firstLineChars="200"/>
        <w:rPr>
          <w:rFonts w:ascii="宋体" w:hAnsi="宋体" w:cs="宋体"/>
          <w:b/>
          <w:color w:val="auto"/>
          <w:highlight w:val="none"/>
          <w:u w:val="single"/>
        </w:rPr>
      </w:pPr>
      <w:r>
        <w:rPr>
          <w:rFonts w:hint="eastAsia" w:ascii="宋体" w:hAnsi="宋体" w:cs="宋体"/>
          <w:color w:val="auto"/>
          <w:highlight w:val="none"/>
        </w:rPr>
        <w:t>出现工程量清单错误时，是否调整合同价格：</w:t>
      </w:r>
      <w:r>
        <w:rPr>
          <w:rFonts w:hint="eastAsia" w:ascii="宋体" w:hAnsi="宋体" w:cs="宋体"/>
          <w:color w:val="auto"/>
          <w:szCs w:val="21"/>
          <w:highlight w:val="none"/>
          <w:u w:val="single"/>
          <w:lang w:val="en-US" w:eastAsia="zh-CN"/>
        </w:rPr>
        <w:t>否</w:t>
      </w:r>
      <w:r>
        <w:rPr>
          <w:rFonts w:hint="eastAsia" w:ascii="宋体" w:hAnsi="宋体" w:cs="宋体"/>
          <w:bCs/>
          <w:color w:val="auto"/>
          <w:highlight w:val="none"/>
        </w:rPr>
        <w:t xml:space="preserve"> 。</w:t>
      </w:r>
    </w:p>
    <w:p w14:paraId="48CBB41F">
      <w:pPr>
        <w:keepNext/>
        <w:keepLines/>
        <w:adjustRightInd w:val="0"/>
        <w:snapToGrid w:val="0"/>
        <w:spacing w:line="460" w:lineRule="exact"/>
        <w:jc w:val="left"/>
        <w:outlineLvl w:val="2"/>
        <w:rPr>
          <w:rFonts w:ascii="宋体" w:hAnsi="宋体" w:cs="宋体"/>
          <w:bCs/>
          <w:color w:val="auto"/>
          <w:sz w:val="24"/>
          <w:highlight w:val="none"/>
        </w:rPr>
      </w:pPr>
      <w:bookmarkStart w:id="866" w:name="_Toc13984"/>
      <w:bookmarkStart w:id="867" w:name="_Toc1174"/>
      <w:r>
        <w:rPr>
          <w:rFonts w:hint="eastAsia" w:ascii="宋体" w:hAnsi="宋体" w:cs="宋体"/>
          <w:bCs/>
          <w:color w:val="auto"/>
          <w:sz w:val="24"/>
          <w:highlight w:val="none"/>
        </w:rPr>
        <w:t>2. 发包人</w:t>
      </w:r>
      <w:bookmarkEnd w:id="866"/>
      <w:bookmarkEnd w:id="867"/>
    </w:p>
    <w:p w14:paraId="670C1598">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2.2 发包人代表</w:t>
      </w:r>
    </w:p>
    <w:p w14:paraId="5F36F25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发包人代表：</w:t>
      </w:r>
    </w:p>
    <w:p w14:paraId="2701B48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C65A84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3E01C75">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13EF2B0">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联系电话：；</w:t>
      </w:r>
    </w:p>
    <w:p w14:paraId="6E029E8A">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6081E6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F407F0F">
      <w:pPr>
        <w:adjustRightInd w:val="0"/>
        <w:snapToGrid w:val="0"/>
        <w:spacing w:line="460" w:lineRule="exact"/>
        <w:ind w:firstLine="420" w:firstLineChars="200"/>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施工组织设计和总进度计划的审核、工程变更、签证的审核、工程款的审核等</w:t>
      </w:r>
      <w:r>
        <w:rPr>
          <w:rFonts w:hint="eastAsia" w:ascii="宋体" w:hAnsi="宋体" w:cs="宋体"/>
          <w:color w:val="auto"/>
          <w:highlight w:val="none"/>
        </w:rPr>
        <w:t>。</w:t>
      </w:r>
    </w:p>
    <w:p w14:paraId="67DA387B">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2.4 施工现场、施工条件和基础资料的提供</w:t>
      </w:r>
    </w:p>
    <w:p w14:paraId="7116B596">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2.4.1 提供施工现场</w:t>
      </w:r>
    </w:p>
    <w:p w14:paraId="72A2EF15">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szCs w:val="21"/>
          <w:highlight w:val="none"/>
          <w:u w:val="single"/>
        </w:rPr>
        <w:t>开工前</w:t>
      </w:r>
      <w:r>
        <w:rPr>
          <w:rFonts w:hint="eastAsia" w:ascii="宋体" w:hAnsi="宋体" w:cs="宋体"/>
          <w:color w:val="auto"/>
          <w:highlight w:val="none"/>
        </w:rPr>
        <w:t>。</w:t>
      </w:r>
    </w:p>
    <w:p w14:paraId="1BB5298D">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2.4.2 提供施工条件</w:t>
      </w:r>
    </w:p>
    <w:p w14:paraId="1ED99AB9">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szCs w:val="21"/>
          <w:highlight w:val="none"/>
          <w:u w:val="single"/>
        </w:rPr>
        <w:t>发包人负责提供施工用的水电接入点，承包人自行搭接，所发生的费用由承包方支付</w:t>
      </w:r>
      <w:r>
        <w:rPr>
          <w:rFonts w:hint="eastAsia" w:ascii="宋体" w:hAnsi="宋体" w:cs="宋体"/>
          <w:bCs/>
          <w:color w:val="auto"/>
          <w:highlight w:val="none"/>
        </w:rPr>
        <w:t>。</w:t>
      </w:r>
    </w:p>
    <w:p w14:paraId="66FC912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2.5 资金来源证明及支付担保</w:t>
      </w:r>
    </w:p>
    <w:p w14:paraId="07C4ECC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发包人提供资金来源证明及资金安排的期限要求：在取得施工许可证的 3 个月内办结工程款支付担保。施工单位在收到工程款支付担保后 3 日内将相关资料上传至项目所在地农民工工资支付监管平台，未按时按承诺提交工程款支付担保的工程建设项目，将视作建设资金未落实。</w:t>
      </w:r>
    </w:p>
    <w:p w14:paraId="75DFD677">
      <w:pPr>
        <w:adjustRightInd w:val="0"/>
        <w:snapToGrid w:val="0"/>
        <w:spacing w:line="460" w:lineRule="exact"/>
        <w:ind w:firstLine="420" w:firstLineChars="200"/>
        <w:rPr>
          <w:rFonts w:ascii="宋体" w:hAnsi="宋体" w:cs="宋体"/>
          <w:bCs/>
          <w:color w:val="auto"/>
          <w:highlight w:val="none"/>
        </w:rPr>
      </w:pPr>
      <w:r>
        <w:rPr>
          <w:rFonts w:hint="eastAsia" w:ascii="宋体" w:hAnsi="宋体" w:cs="宋体"/>
          <w:color w:val="auto"/>
          <w:highlight w:val="none"/>
        </w:rPr>
        <w:t>发包人是否提供支付担保：</w:t>
      </w:r>
      <w:r>
        <w:rPr>
          <w:rFonts w:hint="eastAsia" w:ascii="宋体" w:hAnsi="宋体" w:cs="宋体"/>
          <w:b w:val="0"/>
          <w:bCs/>
          <w:color w:val="auto"/>
          <w:highlight w:val="none"/>
        </w:rPr>
        <w:t>提供支付担保</w:t>
      </w:r>
      <w:r>
        <w:rPr>
          <w:rFonts w:hint="eastAsia" w:ascii="宋体" w:hAnsi="宋体" w:cs="宋体"/>
          <w:bCs/>
          <w:color w:val="auto"/>
          <w:highlight w:val="none"/>
        </w:rPr>
        <w:t>。</w:t>
      </w:r>
    </w:p>
    <w:p w14:paraId="333B73C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提供支付担保的形式：工程款支付担保可以采用银行保函、保证保险、工程担保公司担保等方式。银行保函、保证保险和工程担保保单应当为不可撤销的保证。发包人应当向承包人提供签约合同价8%的工程款支付担保。</w:t>
      </w:r>
    </w:p>
    <w:p w14:paraId="0271BDBF">
      <w:pPr>
        <w:adjustRightInd w:val="0"/>
        <w:snapToGrid w:val="0"/>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对于政府投资的工程建设项目，发包人可以提供财政等政府有权部门出具的落实项目建设资金保障证明作为工程款支付担保凭证。工程款支付担保保证期限原则上应与施工合同约定的期限保持一致（采用分阶段担保的，建设单位支付相应的工程款后，当期工程款支付担保解除，进入下一阶段工程款支付担保）。施工工期延期的，建设单位应在保证期限到期前 30 天，办理保函、保单延期手续。</w:t>
      </w:r>
    </w:p>
    <w:p w14:paraId="5A17235D">
      <w:pPr>
        <w:adjustRightInd w:val="0"/>
        <w:snapToGrid w:val="0"/>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工程款支付担保保证有效期内，建设单位未按照规定向农民工工资专用账户拨付工资性工程款或者未按照合同约定支付施工进度款的，施工总承包企业（包括专业承包企业，下同）可以要求保证人履行保证责任，同时将拖欠信息报送工程所在地住房城乡建设主管部门和人力资源社会保障主管部门。</w:t>
      </w:r>
    </w:p>
    <w:p w14:paraId="0A3F91CF">
      <w:pPr>
        <w:adjustRightInd w:val="0"/>
        <w:snapToGrid w:val="0"/>
        <w:spacing w:line="460" w:lineRule="exact"/>
        <w:ind w:firstLine="420" w:firstLineChars="200"/>
        <w:rPr>
          <w:color w:val="auto"/>
          <w:highlight w:val="none"/>
        </w:rPr>
      </w:pPr>
      <w:r>
        <w:rPr>
          <w:rFonts w:hint="eastAsia" w:ascii="宋体" w:hAnsi="宋体" w:cs="宋体"/>
          <w:color w:val="auto"/>
          <w:highlight w:val="none"/>
        </w:rPr>
        <w:t>在我省开展工程款支付担保业务的保证人应向有关主管部门提供担保凭证网络验证途径。</w:t>
      </w:r>
    </w:p>
    <w:p w14:paraId="287B6958">
      <w:pPr>
        <w:keepNext/>
        <w:keepLines/>
        <w:adjustRightInd w:val="0"/>
        <w:snapToGrid w:val="0"/>
        <w:spacing w:line="460" w:lineRule="exact"/>
        <w:jc w:val="left"/>
        <w:outlineLvl w:val="2"/>
        <w:rPr>
          <w:rFonts w:ascii="宋体" w:hAnsi="宋体" w:cs="宋体"/>
          <w:bCs/>
          <w:color w:val="auto"/>
          <w:sz w:val="24"/>
          <w:highlight w:val="none"/>
        </w:rPr>
      </w:pPr>
      <w:bookmarkStart w:id="868" w:name="_Toc8479"/>
      <w:bookmarkStart w:id="869" w:name="_Toc974"/>
      <w:r>
        <w:rPr>
          <w:rFonts w:hint="eastAsia" w:ascii="宋体" w:hAnsi="宋体" w:cs="宋体"/>
          <w:bCs/>
          <w:color w:val="auto"/>
          <w:sz w:val="24"/>
          <w:highlight w:val="none"/>
        </w:rPr>
        <w:t>3. 承包人</w:t>
      </w:r>
      <w:bookmarkEnd w:id="868"/>
      <w:bookmarkEnd w:id="869"/>
    </w:p>
    <w:p w14:paraId="12609453">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3.1 承包人的一般义务</w:t>
      </w:r>
    </w:p>
    <w:p w14:paraId="01BEE44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kern w:val="0"/>
          <w:highlight w:val="none"/>
        </w:rPr>
        <w:t>（9）</w:t>
      </w:r>
      <w:r>
        <w:rPr>
          <w:rFonts w:hint="eastAsia" w:ascii="宋体" w:hAnsi="宋体" w:cs="宋体"/>
          <w:color w:val="auto"/>
          <w:highlight w:val="none"/>
        </w:rPr>
        <w:t>承包人提交的竣工资料的内容：</w:t>
      </w:r>
      <w:r>
        <w:rPr>
          <w:rFonts w:hint="eastAsia" w:ascii="宋体" w:hAnsi="宋体" w:cs="宋体"/>
          <w:color w:val="auto"/>
          <w:szCs w:val="21"/>
          <w:highlight w:val="none"/>
          <w:u w:val="single"/>
        </w:rPr>
        <w:t>承包人提供全套竣工图，所有竣工图应为新图纸,包括但不限于竣工图纸、影像资料、过程资料、隐蔽资料等并且满足档案馆归档要求，及发包人、监理人要求提供的其他资料。</w:t>
      </w:r>
    </w:p>
    <w:p w14:paraId="22A2DBAD">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szCs w:val="21"/>
          <w:highlight w:val="none"/>
          <w:u w:val="single"/>
        </w:rPr>
        <w:t>满足招标人要求</w:t>
      </w:r>
      <w:r>
        <w:rPr>
          <w:rFonts w:hint="eastAsia" w:ascii="宋体" w:hAnsi="宋体" w:cs="宋体"/>
          <w:color w:val="auto"/>
          <w:highlight w:val="none"/>
        </w:rPr>
        <w:t>。</w:t>
      </w:r>
    </w:p>
    <w:p w14:paraId="268226BD">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szCs w:val="21"/>
          <w:highlight w:val="none"/>
          <w:u w:val="single"/>
        </w:rPr>
        <w:t xml:space="preserve">承包人承担           </w:t>
      </w:r>
      <w:r>
        <w:rPr>
          <w:rFonts w:hint="eastAsia" w:ascii="宋体" w:hAnsi="宋体" w:cs="宋体"/>
          <w:color w:val="auto"/>
          <w:highlight w:val="none"/>
        </w:rPr>
        <w:t>。</w:t>
      </w:r>
    </w:p>
    <w:p w14:paraId="38EA4976">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工程竣工验收合格后</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个月内</w:t>
      </w:r>
      <w:r>
        <w:rPr>
          <w:rFonts w:hint="eastAsia" w:ascii="宋体" w:hAnsi="宋体" w:cs="宋体"/>
          <w:color w:val="auto"/>
          <w:highlight w:val="none"/>
        </w:rPr>
        <w:t>。</w:t>
      </w:r>
    </w:p>
    <w:p w14:paraId="061D525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szCs w:val="21"/>
          <w:highlight w:val="none"/>
          <w:u w:val="single"/>
        </w:rPr>
        <w:t>满足招标人要求</w:t>
      </w:r>
      <w:r>
        <w:rPr>
          <w:rFonts w:hint="eastAsia" w:ascii="宋体" w:hAnsi="宋体" w:cs="宋体"/>
          <w:color w:val="auto"/>
          <w:highlight w:val="none"/>
        </w:rPr>
        <w:t>。</w:t>
      </w:r>
    </w:p>
    <w:p w14:paraId="0F9AD21B">
      <w:pPr>
        <w:numPr>
          <w:ilvl w:val="0"/>
          <w:numId w:val="4"/>
        </w:num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承包人应履行的其他义务：</w:t>
      </w:r>
    </w:p>
    <w:p w14:paraId="52BC1A60">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a、按合同约定工期竣工。实际开工日期将以开工令为准，总工期    个日历天完成竣工验收 。</w:t>
      </w:r>
    </w:p>
    <w:p w14:paraId="5AB51B2D">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b、若施工过程中根据发包人需要调整施工供水管线走向，承包人须按发包人指令更改供水管线走向，由此产生的费用已包含在合同价款中，发包人不另行支付。</w:t>
      </w:r>
    </w:p>
    <w:p w14:paraId="58117F8A">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c、发包人代表有权就其他未尽事宜或临时发生的计划发出指令，承包人须积极配合执行，除有设计变更增加费用外，其他费用不予增加。</w:t>
      </w:r>
    </w:p>
    <w:p w14:paraId="07B4996D">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3.2 项目经理</w:t>
      </w:r>
    </w:p>
    <w:p w14:paraId="7A4DA354">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180A0D5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w:t>
      </w:r>
      <w:r>
        <w:rPr>
          <w:rFonts w:hint="eastAsia" w:ascii="宋体" w:hAnsi="宋体" w:cs="宋体"/>
          <w:color w:val="auto"/>
          <w:highlight w:val="none"/>
        </w:rPr>
        <w:t>；</w:t>
      </w:r>
    </w:p>
    <w:p w14:paraId="324640C3">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5C4777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501B52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FA5D8FA">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8422983">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CC0C19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1973815">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BAD4CF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461F2C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按承包人书面授权书约定</w:t>
      </w:r>
      <w:r>
        <w:rPr>
          <w:rFonts w:hint="eastAsia" w:ascii="宋体" w:hAnsi="宋体" w:cs="宋体"/>
          <w:color w:val="auto"/>
          <w:highlight w:val="none"/>
        </w:rPr>
        <w:t>。</w:t>
      </w:r>
    </w:p>
    <w:p w14:paraId="476CC485">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关于项目经理每月在施工现场的时间要求：</w:t>
      </w:r>
      <w:r>
        <w:rPr>
          <w:rFonts w:hint="eastAsia" w:ascii="宋体" w:hAnsi="宋体" w:cs="宋体"/>
          <w:color w:val="auto"/>
          <w:szCs w:val="21"/>
          <w:highlight w:val="none"/>
          <w:u w:val="single"/>
        </w:rPr>
        <w:t>驻场时间每月不少于2</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天，每天在岗工作时间不得少于8小时，</w:t>
      </w:r>
      <w:r>
        <w:rPr>
          <w:rFonts w:hint="eastAsia"/>
          <w:color w:val="auto"/>
          <w:highlight w:val="none"/>
          <w:u w:val="single"/>
        </w:rPr>
        <w:t>每缺席一天支付</w:t>
      </w:r>
      <w:r>
        <w:rPr>
          <w:rFonts w:hint="eastAsia"/>
          <w:color w:val="auto"/>
          <w:highlight w:val="none"/>
          <w:u w:val="single"/>
          <w:lang w:val="en-US" w:eastAsia="zh-CN"/>
        </w:rPr>
        <w:t>2</w:t>
      </w:r>
      <w:r>
        <w:rPr>
          <w:rFonts w:hint="eastAsia"/>
          <w:color w:val="auto"/>
          <w:highlight w:val="none"/>
          <w:u w:val="single"/>
        </w:rPr>
        <w:t>000元/天的违约金。</w:t>
      </w:r>
    </w:p>
    <w:p w14:paraId="0B3687BC">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kern w:val="0"/>
          <w:szCs w:val="21"/>
          <w:highlight w:val="none"/>
          <w:u w:val="single"/>
        </w:rPr>
        <w:t>承包人未按要求递交项目经理劳动合同及提供社保证明，视同为允许他人以承包人名义承揽工程。发包人将依法上报有关部门追究承包人法律责任，发包人有权处以承包人违约金5万元。承包人需一次性向发包人现金转账支付违约金，否则发包人有权在进度款支付中扣除。</w:t>
      </w:r>
    </w:p>
    <w:p w14:paraId="49A7EF1C">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项目经理未经批准，擅自离开施工现场的违约责任：</w:t>
      </w:r>
      <w:r>
        <w:rPr>
          <w:rFonts w:hint="eastAsia" w:ascii="宋体" w:hAnsi="宋体" w:cs="宋体"/>
          <w:color w:val="auto"/>
          <w:szCs w:val="21"/>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2C39F968">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3.2.3 承包人擅自更换项目经理的违约责任：</w:t>
      </w:r>
      <w:r>
        <w:rPr>
          <w:rFonts w:hint="eastAsia" w:ascii="宋体" w:hAnsi="宋体" w:cs="宋体"/>
          <w:color w:val="auto"/>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并支付</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万元的违约金，更换后的人员不得低于承包人投标时所报人员资质和技术水平。</w:t>
      </w:r>
    </w:p>
    <w:p w14:paraId="0907B64F">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当发包人认为项目经理不能满足工程要求时，书面告知承包人后，承包人应当在七个工作日内更换项目经理，并支付5万元的违约金。若未按要求及时更换项目经理，发包人有权处以承包人违约金5万元。承包人需一次性向发包人现金转账支付违约金，否则发包人有权在进度款支付中扣除。如承包人拒不更换项目经理，发包人有权要求承包人退场并解除合同。更换后的项目经理资质、业绩经验不得低于变更前项目负责人资质、业绩经验。且由此增加的费用和（或）延误的工期由承包人承担。</w:t>
      </w:r>
    </w:p>
    <w:p w14:paraId="3D9D95CE">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3.5 分包</w:t>
      </w:r>
    </w:p>
    <w:p w14:paraId="43AE398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3.5.1 分包的一般约定</w:t>
      </w:r>
    </w:p>
    <w:p w14:paraId="22AE8A0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szCs w:val="21"/>
          <w:highlight w:val="none"/>
          <w:u w:val="single"/>
        </w:rPr>
        <w:t>按照发包人及相关国家规范要求</w:t>
      </w:r>
      <w:r>
        <w:rPr>
          <w:rFonts w:hint="eastAsia" w:ascii="宋体" w:hAnsi="宋体" w:cs="宋体"/>
          <w:color w:val="auto"/>
          <w:highlight w:val="none"/>
        </w:rPr>
        <w:t>。</w:t>
      </w:r>
    </w:p>
    <w:p w14:paraId="0AF2740C">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szCs w:val="21"/>
          <w:highlight w:val="none"/>
          <w:u w:val="single"/>
        </w:rPr>
        <w:t>按照发包人及相关国家规范要求</w:t>
      </w:r>
      <w:r>
        <w:rPr>
          <w:rFonts w:hint="eastAsia" w:ascii="宋体" w:hAnsi="宋体" w:cs="宋体"/>
          <w:color w:val="auto"/>
          <w:highlight w:val="none"/>
        </w:rPr>
        <w:t>。</w:t>
      </w:r>
    </w:p>
    <w:p w14:paraId="38D1570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3.5.2 分包的确定</w:t>
      </w:r>
    </w:p>
    <w:p w14:paraId="6F315039">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szCs w:val="21"/>
          <w:highlight w:val="none"/>
          <w:u w:val="single"/>
        </w:rPr>
        <w:t>按国家规定</w:t>
      </w:r>
      <w:r>
        <w:rPr>
          <w:rFonts w:hint="eastAsia" w:ascii="宋体" w:hAnsi="宋体" w:cs="宋体"/>
          <w:color w:val="auto"/>
          <w:highlight w:val="none"/>
        </w:rPr>
        <w:t>。</w:t>
      </w:r>
    </w:p>
    <w:p w14:paraId="684B619E">
      <w:pPr>
        <w:snapToGrid w:val="0"/>
        <w:spacing w:line="500" w:lineRule="exact"/>
        <w:ind w:firstLine="420" w:firstLineChars="200"/>
        <w:rPr>
          <w:rFonts w:ascii="宋体" w:hAnsi="宋体" w:cs="宋体"/>
          <w:color w:val="auto"/>
          <w:highlight w:val="none"/>
          <w:u w:val="single"/>
        </w:rPr>
      </w:pPr>
      <w:r>
        <w:rPr>
          <w:rFonts w:hint="eastAsia" w:ascii="宋体" w:hAnsi="宋体" w:cs="宋体"/>
          <w:color w:val="auto"/>
          <w:highlight w:val="none"/>
        </w:rPr>
        <w:t>其他关于分包的约定：</w:t>
      </w:r>
      <w:r>
        <w:rPr>
          <w:rFonts w:hint="eastAsia" w:ascii="宋体" w:hAnsi="宋体" w:cs="宋体"/>
          <w:color w:val="auto"/>
          <w:szCs w:val="21"/>
          <w:highlight w:val="none"/>
          <w:u w:val="single"/>
        </w:rPr>
        <w:t>承包人不得以劳务分包的名义转包或分包工程，劳务分包人或专业分包人完成的工作经发包人或监理人检查屡次（3次及以上）发生同类缺陷或错误，发包人有权指令承包人更换此专业承包人，承包人必须在接到指令后立刻执行，不能以发包人同意该分包行为为由推阻，相关一切工期延误和费用损失等均由承包人承担</w:t>
      </w:r>
      <w:r>
        <w:rPr>
          <w:rFonts w:hint="eastAsia" w:ascii="宋体" w:hAnsi="宋体" w:cs="宋体"/>
          <w:color w:val="auto"/>
          <w:highlight w:val="none"/>
        </w:rPr>
        <w:t>。</w:t>
      </w:r>
    </w:p>
    <w:p w14:paraId="76EE858D">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3.5.4 分包合同价款</w:t>
      </w:r>
    </w:p>
    <w:p w14:paraId="4FBA9E6E">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15E2EF00">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3.6 工程照管与成品、半成品保护</w:t>
      </w:r>
    </w:p>
    <w:p w14:paraId="328E2FF5">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color w:val="auto"/>
          <w:szCs w:val="21"/>
          <w:highlight w:val="none"/>
          <w:u w:val="single"/>
        </w:rPr>
        <w:t>自发包人向承包人移交施工现场之日起，承包人应负责照管工程及工程相关的材料、工程设备，直到颁发工程接收证书之日止。</w:t>
      </w:r>
    </w:p>
    <w:p w14:paraId="18ED2452">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3.7 履约保证金</w:t>
      </w:r>
    </w:p>
    <w:p w14:paraId="14B5F798">
      <w:pPr>
        <w:adjustRightInd w:val="0"/>
        <w:snapToGrid w:val="0"/>
        <w:spacing w:line="46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承包人是否提供履约保证金：</w:t>
      </w:r>
      <w:r>
        <w:rPr>
          <w:rFonts w:hint="eastAsia" w:ascii="宋体" w:hAnsi="宋体" w:cs="宋体"/>
          <w:color w:val="auto"/>
          <w:szCs w:val="21"/>
          <w:highlight w:val="none"/>
          <w:u w:val="single"/>
        </w:rPr>
        <w:t>提供</w:t>
      </w:r>
      <w:r>
        <w:rPr>
          <w:rFonts w:hint="eastAsia" w:ascii="宋体" w:hAnsi="宋体" w:cs="宋体"/>
          <w:color w:val="auto"/>
          <w:highlight w:val="none"/>
        </w:rPr>
        <w:t>。</w:t>
      </w:r>
      <w:bookmarkStart w:id="870" w:name="_Toc28010"/>
      <w:bookmarkStart w:id="871" w:name="_Toc2849"/>
      <w:r>
        <w:rPr>
          <w:rFonts w:hint="eastAsia" w:ascii="宋体" w:hAnsi="宋体" w:cs="宋体"/>
          <w:color w:val="auto"/>
          <w:highlight w:val="none"/>
          <w:lang w:val="en-US" w:eastAsia="zh-CN"/>
        </w:rPr>
        <w:t>详见投标人须知前附表</w:t>
      </w:r>
    </w:p>
    <w:p w14:paraId="371229A1">
      <w:pPr>
        <w:keepNext/>
        <w:keepLines/>
        <w:adjustRightInd w:val="0"/>
        <w:snapToGrid w:val="0"/>
        <w:spacing w:line="460" w:lineRule="exact"/>
        <w:ind w:firstLine="480" w:firstLineChars="200"/>
        <w:jc w:val="left"/>
        <w:outlineLvl w:val="2"/>
        <w:rPr>
          <w:rFonts w:ascii="宋体" w:hAnsi="宋体" w:cs="宋体"/>
          <w:bCs/>
          <w:color w:val="auto"/>
          <w:sz w:val="24"/>
          <w:highlight w:val="none"/>
        </w:rPr>
      </w:pPr>
      <w:r>
        <w:rPr>
          <w:rFonts w:hint="eastAsia" w:ascii="宋体" w:hAnsi="宋体" w:cs="宋体"/>
          <w:bCs/>
          <w:color w:val="auto"/>
          <w:sz w:val="24"/>
          <w:highlight w:val="none"/>
        </w:rPr>
        <w:t>4. 监理人</w:t>
      </w:r>
      <w:bookmarkEnd w:id="870"/>
      <w:bookmarkEnd w:id="871"/>
    </w:p>
    <w:p w14:paraId="7DC08E2B">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4.1 监理人的一般规定</w:t>
      </w:r>
    </w:p>
    <w:p w14:paraId="5E259386">
      <w:pPr>
        <w:adjustRightInd w:val="0"/>
        <w:snapToGrid w:val="0"/>
        <w:spacing w:line="460" w:lineRule="exact"/>
        <w:ind w:firstLine="420" w:firstLineChars="200"/>
        <w:rPr>
          <w:rFonts w:ascii="宋体" w:hAnsi="宋体" w:cs="宋体"/>
          <w:b/>
          <w:color w:val="auto"/>
          <w:highlight w:val="none"/>
          <w:u w:val="single"/>
        </w:rPr>
      </w:pPr>
      <w:r>
        <w:rPr>
          <w:rFonts w:hint="eastAsia" w:ascii="宋体" w:hAnsi="宋体" w:cs="宋体"/>
          <w:color w:val="auto"/>
          <w:highlight w:val="none"/>
        </w:rPr>
        <w:t>关于监理人的监理内容：</w:t>
      </w:r>
      <w:r>
        <w:rPr>
          <w:rFonts w:hint="eastAsia" w:ascii="宋体" w:hAnsi="宋体" w:cs="宋体"/>
          <w:color w:val="auto"/>
          <w:szCs w:val="21"/>
          <w:highlight w:val="none"/>
          <w:u w:val="single"/>
        </w:rPr>
        <w:t>详见监理合同</w:t>
      </w:r>
      <w:r>
        <w:rPr>
          <w:rFonts w:hint="eastAsia" w:ascii="宋体" w:hAnsi="宋体" w:cs="宋体"/>
          <w:color w:val="auto"/>
          <w:szCs w:val="21"/>
          <w:highlight w:val="none"/>
        </w:rPr>
        <w:t>。</w:t>
      </w:r>
    </w:p>
    <w:p w14:paraId="658343A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szCs w:val="21"/>
          <w:highlight w:val="none"/>
          <w:u w:val="single"/>
        </w:rPr>
        <w:t>工程质量的监督权；工程上使用的材料和施工质量检验权、确认权；工程施工进度、安全的检查、监督权；工程款支付的审核权；向承包人提出施工组织设计和技术方案的建议权；发包人和承包人间的组织协调的主持权；撤换不合格的工程建设分包单位和注册建造师及有关人员的建议权；分包单位资质及能力的审查权及《建设工程监理规范》规定的法定职权等</w:t>
      </w:r>
      <w:r>
        <w:rPr>
          <w:rFonts w:hint="eastAsia" w:ascii="宋体" w:hAnsi="宋体" w:cs="宋体"/>
          <w:color w:val="auto"/>
          <w:szCs w:val="21"/>
          <w:highlight w:val="none"/>
        </w:rPr>
        <w:t>。</w:t>
      </w:r>
    </w:p>
    <w:p w14:paraId="697AA2CF">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4.2 监理人员</w:t>
      </w:r>
    </w:p>
    <w:p w14:paraId="7B40B025">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总监理工程师：</w:t>
      </w:r>
    </w:p>
    <w:p w14:paraId="67A5F85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018406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F98AF3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A6F5375">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w:t>
      </w:r>
      <w:r>
        <w:rPr>
          <w:rFonts w:hint="eastAsia" w:ascii="宋体" w:hAnsi="宋体" w:cs="宋体"/>
          <w:color w:val="auto"/>
          <w:highlight w:val="none"/>
        </w:rPr>
        <w:t>；</w:t>
      </w:r>
    </w:p>
    <w:p w14:paraId="0C0AE8FE">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F303620">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D39173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F627AC5">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4.4 商定或确定</w:t>
      </w:r>
    </w:p>
    <w:p w14:paraId="58AE16B0">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14:paraId="05ABB52C">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施工方案</w:t>
      </w:r>
      <w:r>
        <w:rPr>
          <w:rFonts w:hint="eastAsia" w:ascii="宋体" w:hAnsi="宋体" w:cs="宋体"/>
          <w:color w:val="auto"/>
          <w:highlight w:val="none"/>
        </w:rPr>
        <w:t>；</w:t>
      </w:r>
    </w:p>
    <w:p w14:paraId="739D3EE9">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szCs w:val="21"/>
          <w:highlight w:val="none"/>
          <w:u w:val="single"/>
        </w:rPr>
        <w:t>索赔事项等</w:t>
      </w:r>
      <w:r>
        <w:rPr>
          <w:rFonts w:hint="eastAsia" w:ascii="宋体" w:hAnsi="宋体" w:cs="宋体"/>
          <w:color w:val="auto"/>
          <w:highlight w:val="none"/>
        </w:rPr>
        <w:t>；</w:t>
      </w:r>
    </w:p>
    <w:p w14:paraId="06667B8D">
      <w:pPr>
        <w:keepNext/>
        <w:keepLines/>
        <w:adjustRightInd w:val="0"/>
        <w:snapToGrid w:val="0"/>
        <w:spacing w:line="460" w:lineRule="exact"/>
        <w:jc w:val="left"/>
        <w:outlineLvl w:val="2"/>
        <w:rPr>
          <w:rFonts w:ascii="宋体" w:hAnsi="宋体" w:cs="宋体"/>
          <w:bCs/>
          <w:color w:val="auto"/>
          <w:sz w:val="24"/>
          <w:highlight w:val="none"/>
        </w:rPr>
      </w:pPr>
      <w:bookmarkStart w:id="872" w:name="_Toc6276"/>
      <w:bookmarkStart w:id="873" w:name="_Toc5003"/>
      <w:r>
        <w:rPr>
          <w:rFonts w:hint="eastAsia" w:ascii="宋体" w:hAnsi="宋体" w:cs="宋体"/>
          <w:bCs/>
          <w:color w:val="auto"/>
          <w:sz w:val="24"/>
          <w:highlight w:val="none"/>
        </w:rPr>
        <w:t>5. 工程质量</w:t>
      </w:r>
      <w:bookmarkEnd w:id="872"/>
      <w:bookmarkEnd w:id="873"/>
    </w:p>
    <w:p w14:paraId="6079FEF2">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5.1 质量要求</w:t>
      </w:r>
    </w:p>
    <w:p w14:paraId="3470E866">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5.1.1 特殊质量标准和要求：</w:t>
      </w:r>
      <w:r>
        <w:rPr>
          <w:rFonts w:hint="eastAsia" w:ascii="宋体" w:hAnsi="宋体" w:cs="宋体"/>
          <w:color w:val="auto"/>
          <w:szCs w:val="21"/>
          <w:highlight w:val="none"/>
          <w:u w:val="single"/>
        </w:rPr>
        <w:t>工程质量必须达到国家工程施工质量验收合格标准</w:t>
      </w:r>
      <w:r>
        <w:rPr>
          <w:rFonts w:hint="eastAsia" w:ascii="宋体" w:hAnsi="宋体" w:cs="宋体"/>
          <w:color w:val="auto"/>
          <w:szCs w:val="21"/>
          <w:highlight w:val="none"/>
          <w:u w:val="single"/>
          <w:lang w:val="en-US" w:eastAsia="zh-CN"/>
        </w:rPr>
        <w:t>及电力行业相关验收合格标准</w:t>
      </w:r>
      <w:r>
        <w:rPr>
          <w:rFonts w:hint="eastAsia" w:ascii="宋体" w:hAnsi="宋体" w:cs="宋体"/>
          <w:color w:val="auto"/>
          <w:szCs w:val="21"/>
          <w:highlight w:val="none"/>
          <w:u w:val="single"/>
        </w:rPr>
        <w:t>。</w:t>
      </w:r>
    </w:p>
    <w:p w14:paraId="670C9F9B">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关于工程奖项的约定：</w:t>
      </w:r>
      <w:r>
        <w:rPr>
          <w:rFonts w:hint="eastAsia" w:ascii="宋体" w:hAnsi="宋体" w:cs="宋体"/>
          <w:color w:val="auto"/>
          <w:highlight w:val="none"/>
          <w:u w:val="single"/>
        </w:rPr>
        <w:t>无</w:t>
      </w:r>
      <w:r>
        <w:rPr>
          <w:rFonts w:hint="eastAsia" w:ascii="宋体" w:hAnsi="宋体" w:cs="宋体"/>
          <w:color w:val="auto"/>
          <w:highlight w:val="none"/>
        </w:rPr>
        <w:t>。</w:t>
      </w:r>
    </w:p>
    <w:p w14:paraId="2BDB13DA">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5.3 隐蔽工程检查</w:t>
      </w:r>
    </w:p>
    <w:p w14:paraId="2135C8A1">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5.3.2 承包人提前通知监理人隐蔽工程检查的期限的约定：</w:t>
      </w:r>
      <w:r>
        <w:rPr>
          <w:rFonts w:hint="eastAsia" w:ascii="宋体" w:hAnsi="宋体" w:cs="宋体"/>
          <w:color w:val="auto"/>
          <w:szCs w:val="21"/>
          <w:highlight w:val="none"/>
          <w:u w:val="single"/>
        </w:rPr>
        <w:t>工程具备隐蔽条件或达到中间验收部位时，承包人自检合格后，在隐蔽和中间验收48小时前书面通知甲方代表和监理工程师参加。通知应包含承包人自检记录、隐蔽和中间验收的内容、时间和地点。承包人准备验收记录，验收合格，甲方代表及监理工程师在验收记录上签字后，方可进行隐蔽和继续施工。验收不合格，承包人在限定时间内重新验收。承包人不服从质量管理的，发包人有权解除本合同并责令承包人清退其出场，承包人给发包人造成损失的，还应赔偿因此而造成的一切损失。</w:t>
      </w:r>
    </w:p>
    <w:p w14:paraId="1F7A30E4">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szCs w:val="21"/>
          <w:highlight w:val="none"/>
          <w:u w:val="single"/>
        </w:rPr>
        <w:t>24</w:t>
      </w:r>
      <w:r>
        <w:rPr>
          <w:rFonts w:hint="eastAsia" w:ascii="宋体" w:hAnsi="宋体" w:cs="宋体"/>
          <w:color w:val="auto"/>
          <w:highlight w:val="none"/>
        </w:rPr>
        <w:t>小时提交书面延期要求。</w:t>
      </w:r>
    </w:p>
    <w:p w14:paraId="6830DBC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szCs w:val="21"/>
          <w:highlight w:val="none"/>
          <w:u w:val="single"/>
        </w:rPr>
        <w:t>48</w:t>
      </w:r>
      <w:r>
        <w:rPr>
          <w:rFonts w:hint="eastAsia" w:ascii="宋体" w:hAnsi="宋体" w:cs="宋体"/>
          <w:color w:val="auto"/>
          <w:highlight w:val="none"/>
        </w:rPr>
        <w:t>小时。</w:t>
      </w:r>
    </w:p>
    <w:p w14:paraId="048F1F09">
      <w:pPr>
        <w:keepNext/>
        <w:keepLines/>
        <w:adjustRightInd w:val="0"/>
        <w:snapToGrid w:val="0"/>
        <w:spacing w:line="460" w:lineRule="exact"/>
        <w:jc w:val="left"/>
        <w:outlineLvl w:val="2"/>
        <w:rPr>
          <w:rFonts w:ascii="宋体" w:hAnsi="宋体" w:cs="宋体"/>
          <w:bCs/>
          <w:color w:val="auto"/>
          <w:sz w:val="24"/>
          <w:highlight w:val="none"/>
        </w:rPr>
      </w:pPr>
      <w:bookmarkStart w:id="874" w:name="_Toc30321"/>
      <w:bookmarkStart w:id="875" w:name="_Toc28174"/>
      <w:r>
        <w:rPr>
          <w:rFonts w:hint="eastAsia" w:ascii="宋体" w:hAnsi="宋体" w:cs="宋体"/>
          <w:bCs/>
          <w:color w:val="auto"/>
          <w:sz w:val="24"/>
          <w:highlight w:val="none"/>
        </w:rPr>
        <w:t>6. 安全文明施工与环境保护</w:t>
      </w:r>
      <w:bookmarkEnd w:id="874"/>
      <w:bookmarkEnd w:id="875"/>
    </w:p>
    <w:p w14:paraId="0B31CFEF">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6.1 安全文明施工</w:t>
      </w:r>
    </w:p>
    <w:p w14:paraId="6AFB3A2F">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highlight w:val="none"/>
        </w:rPr>
        <w:t>6.1.1 项目安全生产的达标目标及相应事项的约定：</w:t>
      </w:r>
      <w:r>
        <w:rPr>
          <w:rFonts w:hint="eastAsia" w:ascii="宋体" w:hAnsi="宋体" w:cs="宋体"/>
          <w:color w:val="auto"/>
          <w:szCs w:val="21"/>
          <w:highlight w:val="none"/>
          <w:u w:val="single"/>
        </w:rPr>
        <w:t xml:space="preserve">承包人应按《建筑施工企业安全生产管理机构设置及专职安全生产管理人员配备办法》（建质【2008】91 号）设置专职安全生产管理人员，并按照工程建设安全生产有关管理规定及技术标准和要求采取有效的安全措施，确保自身和第三人及周边环境的安全。达到安全生产无事故的目标。由于承包人安全措施不力造成事故的责任和因此发生的费用，由承包人承担 。 </w:t>
      </w:r>
    </w:p>
    <w:p w14:paraId="7EDEBAC5">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承包人在履行合同前应制订安全稳定事故应急处理预案并报发包人备案，在合同履行过程中如发生安全稳定事故（指造成人身伤害、财产损失或影响生产经营活动正常进行的一切意外事件或群体事件等），承包人应立即通知发包人并按事先制订的预案进行处理。 </w:t>
      </w:r>
    </w:p>
    <w:p w14:paraId="12A9DB7C">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遵守工程建设安全生产有关管理规定，严格按安全标准组织施工，并随时接受行业安全检查人员依法实施的监督检查，采取必要的安全防护措施，消除事故隐患。一旦发生任何事故，承包人应尽快向监理工程师和发包人报告事故的详情。此外，在发生任何死亡或重大事故时，承包人应立即用最快的可行方法通知监理工程师、发包人。承包人处理安全事故方案应事先征求发包人的意见。除非法律另有规定，未经发包人书面同意，承包人不得就所发生的安全事故向任何第三方予以披露。如安全生产事故系因承包人（包含其员工、代理人及其他一切关联方）的原因所引起的，则承包人应承担由此引起的一切法律责任及经济损失，发包人有权在承包人工程款中直接等额扣除相应损失金额，同时承包人还应按每个事故向发包人支付人民币3-50万元的违约金（具体金额由发包人按以下标准在相应幅度内确定后一并在工程款中予以扣除，事故被公司层面通报的为3－10万；事故被招标人职能部门通报的为10－20万；事故被市级职能部门通报的为20－30万；事故被市级以上职能部门通报的为40－50万）以作为给发包人带来不便和增加工作的补偿，这不包括有关当局由于上述事故而规定的任何罚金或采取措施的费用。如发包人因此产生对第三方赔偿、补偿等负担义务的，由承包人最终承担。</w:t>
      </w:r>
    </w:p>
    <w:p w14:paraId="1E9E87E2">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如发生的安全生产事故导致人员伤亡或经济损失在10万元以上的，则发包人有权解除与承包人的合同，承包人应承担由此引起的一切法律责任及经济损失。 </w:t>
      </w:r>
    </w:p>
    <w:p w14:paraId="199AD983">
      <w:pPr>
        <w:snapToGrid w:val="0"/>
        <w:spacing w:line="500" w:lineRule="exact"/>
        <w:ind w:firstLine="420" w:firstLineChars="200"/>
        <w:jc w:val="left"/>
        <w:rPr>
          <w:rFonts w:ascii="宋体" w:hAnsi="宋体" w:cs="宋体"/>
          <w:color w:val="auto"/>
          <w:highlight w:val="none"/>
          <w:u w:val="single"/>
        </w:rPr>
      </w:pPr>
      <w:r>
        <w:rPr>
          <w:rFonts w:hint="eastAsia" w:ascii="宋体" w:hAnsi="宋体" w:cs="宋体"/>
          <w:color w:val="auto"/>
          <w:szCs w:val="21"/>
          <w:highlight w:val="none"/>
          <w:u w:val="single"/>
        </w:rPr>
        <w:t>安全防护文明施工措施费已包含在合同价款中，承包人应自行承担该费用。</w:t>
      </w:r>
    </w:p>
    <w:p w14:paraId="7DF59743">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6.1.4 关于治安保卫的特别约定：</w:t>
      </w:r>
      <w:r>
        <w:rPr>
          <w:rFonts w:hint="eastAsia" w:ascii="宋体" w:hAnsi="宋体" w:cs="宋体"/>
          <w:color w:val="auto"/>
          <w:szCs w:val="21"/>
          <w:highlight w:val="none"/>
          <w:u w:val="single"/>
        </w:rPr>
        <w:t>承包人应与当地公安部门协商，在现场建立治安管理机构或联防组织，统一管理施工场地的治安保卫事项，履行合同工程的治安保卫职责。承包人除应协助现场治安管理机构或联防组织维护施工场地的社会治安外，还应做好包括生活区在内的承包人管辖区的治安保卫工作 。</w:t>
      </w:r>
    </w:p>
    <w:p w14:paraId="419EA80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szCs w:val="21"/>
          <w:highlight w:val="none"/>
          <w:u w:val="single"/>
        </w:rPr>
        <w:t>承包人编制，监理人审核，其它按照通用合同条款约定执行。</w:t>
      </w:r>
    </w:p>
    <w:p w14:paraId="0D4C9EB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6.1.5 文明施工</w:t>
      </w:r>
    </w:p>
    <w:p w14:paraId="658780E6">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highlight w:val="none"/>
        </w:rPr>
        <w:t>合同当事人对文明施工的要求：</w:t>
      </w:r>
      <w:r>
        <w:rPr>
          <w:rFonts w:hint="eastAsia" w:ascii="宋体" w:hAnsi="宋体" w:cs="宋体"/>
          <w:color w:val="auto"/>
          <w:szCs w:val="21"/>
          <w:highlight w:val="none"/>
          <w:u w:val="single"/>
        </w:rPr>
        <w:t>（1）符合项目建设地文明施工要求；（2）承包人应按照《安徽省建筑施工安全质量标准化示范工地申报考核办法》的通知要求申报省级“安全质量标准化示范工地”，费用自理。（3）发生安全事故，承包人应按照有关规定立即上报有关部门并通知工程师，同时按照政府有关要求处理，由事故责任方承担发生的费用。发包人根据事故的分类对承包人进行处以违约，事故分类：《生产安全事故报告和调查处理条例》（国务院令第493号）中第三条指出根据生产安全事故（以下简称事故）造成的人员伤亡或者直接经济损失，事故一般分为以下等级：</w:t>
      </w:r>
    </w:p>
    <w:p w14:paraId="75775D90">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（一）特别重大事故，是指造成30人以上死亡，或者100人以上重伤（包括急性工业中毒，下同），或者1亿元以上直接经济损失的事故；</w:t>
      </w:r>
    </w:p>
    <w:p w14:paraId="71A7F3FB">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（二）重大事故，是指造成10人以上30人以下死亡，或者50人以上100人以下重伤，或者5000万元以上1亿元以下直接经济损失的事故；</w:t>
      </w:r>
    </w:p>
    <w:p w14:paraId="002979DB">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（三）较大事故，是指造成3人以上10人以下死亡，或者10人以上50人以下重伤，或者1000万元以上5000万元以下直接经济损失的事故；</w:t>
      </w:r>
    </w:p>
    <w:p w14:paraId="4606E0E7">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（四）一般事故，是指造成3人以下死亡，或者10人以下重伤，或者1000万元以下直接经济损失的事故。</w:t>
      </w:r>
    </w:p>
    <w:p w14:paraId="4BB491AA">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（以上包括本数，以下不包括本数。）</w:t>
      </w:r>
    </w:p>
    <w:p w14:paraId="39C644F2">
      <w:pPr>
        <w:snapToGrid w:val="0"/>
        <w:spacing w:line="500" w:lineRule="exact"/>
        <w:ind w:firstLine="420" w:firstLineChars="200"/>
        <w:jc w:val="left"/>
        <w:rPr>
          <w:rFonts w:ascii="宋体" w:hAnsi="宋体" w:cs="宋体"/>
          <w:color w:val="auto"/>
          <w:highlight w:val="none"/>
          <w:u w:val="single"/>
        </w:rPr>
      </w:pPr>
      <w:r>
        <w:rPr>
          <w:rFonts w:hint="eastAsia" w:ascii="宋体" w:hAnsi="宋体" w:cs="宋体"/>
          <w:color w:val="auto"/>
          <w:szCs w:val="21"/>
          <w:highlight w:val="none"/>
          <w:u w:val="single"/>
        </w:rPr>
        <w:t>如国家颁布新标准规定，以新划分标准执行。</w:t>
      </w:r>
    </w:p>
    <w:p w14:paraId="3A296F2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6.1.6 关于安全文明施工费支付比例和支付期限的约定：</w:t>
      </w:r>
      <w:r>
        <w:rPr>
          <w:rFonts w:hint="eastAsia" w:ascii="宋体" w:hAnsi="宋体" w:cs="宋体"/>
          <w:color w:val="auto"/>
          <w:highlight w:val="none"/>
          <w:u w:val="single"/>
        </w:rPr>
        <w:t>与工程款同期同比例支付。施工单位须按滁州市相关规定及监理单位、建设单位、安监站要求做好现场安全文明措施</w:t>
      </w:r>
      <w:r>
        <w:rPr>
          <w:rFonts w:hint="eastAsia" w:ascii="宋体" w:hAnsi="宋体" w:cs="宋体"/>
          <w:color w:val="auto"/>
          <w:highlight w:val="none"/>
        </w:rPr>
        <w:t>。。</w:t>
      </w:r>
    </w:p>
    <w:p w14:paraId="00273C55">
      <w:pPr>
        <w:keepNext/>
        <w:keepLines/>
        <w:adjustRightInd w:val="0"/>
        <w:snapToGrid w:val="0"/>
        <w:spacing w:line="460" w:lineRule="exact"/>
        <w:jc w:val="left"/>
        <w:outlineLvl w:val="2"/>
        <w:rPr>
          <w:rFonts w:ascii="宋体" w:hAnsi="宋体" w:cs="宋体"/>
          <w:bCs/>
          <w:color w:val="auto"/>
          <w:sz w:val="24"/>
          <w:highlight w:val="none"/>
        </w:rPr>
      </w:pPr>
      <w:bookmarkStart w:id="876" w:name="_Toc14812"/>
      <w:bookmarkStart w:id="877" w:name="_Toc28158"/>
      <w:r>
        <w:rPr>
          <w:rFonts w:hint="eastAsia" w:ascii="宋体" w:hAnsi="宋体" w:cs="宋体"/>
          <w:bCs/>
          <w:color w:val="auto"/>
          <w:sz w:val="24"/>
          <w:highlight w:val="none"/>
        </w:rPr>
        <w:t>7. 工期和进度</w:t>
      </w:r>
      <w:bookmarkEnd w:id="876"/>
      <w:bookmarkEnd w:id="877"/>
    </w:p>
    <w:p w14:paraId="495656EE">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7.1 施工组织设计</w:t>
      </w:r>
    </w:p>
    <w:p w14:paraId="546E243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7.1.1 合</w:t>
      </w:r>
      <w:r>
        <w:rPr>
          <w:rFonts w:hint="eastAsia" w:ascii="宋体" w:hAnsi="宋体" w:cs="宋体"/>
          <w:color w:val="auto"/>
          <w:kern w:val="0"/>
          <w:highlight w:val="none"/>
        </w:rPr>
        <w:t>同当事人约定的施工组织设计应包括的其他内容：</w:t>
      </w:r>
      <w:r>
        <w:rPr>
          <w:rFonts w:hint="eastAsia" w:ascii="宋体" w:hAnsi="宋体" w:cs="宋体"/>
          <w:color w:val="auto"/>
          <w:szCs w:val="21"/>
          <w:highlight w:val="none"/>
          <w:u w:val="single"/>
        </w:rPr>
        <w:t xml:space="preserve">总进度计划须含网络图、横道图  </w:t>
      </w:r>
      <w:r>
        <w:rPr>
          <w:rFonts w:hint="eastAsia" w:ascii="宋体" w:hAnsi="宋体" w:cs="宋体"/>
          <w:color w:val="auto"/>
          <w:szCs w:val="21"/>
          <w:highlight w:val="none"/>
        </w:rPr>
        <w:t xml:space="preserve"> 。</w:t>
      </w:r>
    </w:p>
    <w:p w14:paraId="18F4D0E3">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62A86177">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承包人提交详细施工组织设计的期限的约定：</w:t>
      </w:r>
      <w:r>
        <w:rPr>
          <w:rFonts w:hint="eastAsia" w:ascii="宋体" w:hAnsi="宋体" w:cs="宋体"/>
          <w:color w:val="auto"/>
          <w:kern w:val="0"/>
          <w:szCs w:val="21"/>
          <w:highlight w:val="none"/>
          <w:u w:val="single"/>
        </w:rPr>
        <w:t>图纸会审及设计交底后一周内提供标后施工组织设计和进度计划、机械设备进场计划、物资计划、劳动力计划。</w:t>
      </w:r>
    </w:p>
    <w:p w14:paraId="6F8A3251">
      <w:pPr>
        <w:snapToGrid w:val="0"/>
        <w:spacing w:line="500" w:lineRule="exact"/>
        <w:ind w:firstLine="420" w:firstLineChars="200"/>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监理工程师应于收到承包人资料一周内予以确认，逾期不批复，可视为该施工组织设计（施工方案）已经批准。乙方必须按照批准的进度计划组织施工，接受甲方和监理对进度的检查、监督。工程实际进展与进度计划不符时，承包人应立即修改进度计划和采取赶工措施，调整后的进度计划及相应的措施报告上报监理、甲方批准后执行。 </w:t>
      </w:r>
    </w:p>
    <w:p w14:paraId="5ACE2105">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7.2 施工进度计划</w:t>
      </w:r>
    </w:p>
    <w:p w14:paraId="60B3878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7.2.2 施工进度计划的修订</w:t>
      </w:r>
    </w:p>
    <w:p w14:paraId="30035298">
      <w:pPr>
        <w:snapToGrid w:val="0"/>
        <w:spacing w:line="500" w:lineRule="exact"/>
        <w:ind w:firstLine="420" w:firstLineChars="200"/>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szCs w:val="21"/>
          <w:highlight w:val="none"/>
          <w:u w:val="single"/>
        </w:rPr>
        <w:t>监理工程师应于收到承包人资料一周内予以确认，逾期不批复，可视为该施工组织设计（施工方案）已经批准。乙方必须按照批准的进度计划组织施工，接受甲方和监理对进度的检查、监督。工程实际进展与进度计划不符时，承包人应立即修改进度计划和采取赶工措施，调整后的进度计划及相应的措施报告上报监理、甲方批准后执行</w:t>
      </w:r>
      <w:r>
        <w:rPr>
          <w:rFonts w:hint="eastAsia" w:ascii="宋体" w:hAnsi="宋体" w:cs="宋体"/>
          <w:color w:val="auto"/>
          <w:highlight w:val="none"/>
        </w:rPr>
        <w:t>。</w:t>
      </w:r>
    </w:p>
    <w:p w14:paraId="08CE93AF">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7.3 开工</w:t>
      </w:r>
    </w:p>
    <w:p w14:paraId="23325EBD">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7.3.1 开工准备</w:t>
      </w:r>
    </w:p>
    <w:p w14:paraId="5E54EB89">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关于承包人提交</w:t>
      </w:r>
      <w:r>
        <w:rPr>
          <w:rFonts w:hint="eastAsia" w:ascii="宋体" w:hAnsi="宋体" w:cs="宋体"/>
          <w:color w:val="auto"/>
          <w:kern w:val="0"/>
          <w:highlight w:val="none"/>
        </w:rPr>
        <w:t>工程开工报审表的期限：</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761EDA03">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关于发包人应完成的其他开工准备工作及期限：</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6579F3EA">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关于承包人应完成的其他开工准备工作及期限：</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6D91A2E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7.3.2 开工通知</w:t>
      </w:r>
    </w:p>
    <w:p w14:paraId="6CF108B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szCs w:val="21"/>
          <w:highlight w:val="none"/>
          <w:u w:val="single"/>
        </w:rPr>
        <w:t>/</w:t>
      </w:r>
      <w:r>
        <w:rPr>
          <w:rFonts w:hint="eastAsia" w:ascii="宋体" w:hAnsi="宋体" w:cs="宋体"/>
          <w:color w:val="auto"/>
          <w:highlight w:val="none"/>
        </w:rPr>
        <w:t>天内发出开工通知的，承包人有权提出价格调整要求，或者解除合同。</w:t>
      </w:r>
    </w:p>
    <w:p w14:paraId="56D7A7E6">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7.4 测量放线</w:t>
      </w:r>
    </w:p>
    <w:p w14:paraId="7486251C">
      <w:pPr>
        <w:snapToGrid w:val="0"/>
        <w:spacing w:line="500" w:lineRule="exact"/>
        <w:ind w:firstLine="420" w:firstLineChars="200"/>
        <w:rPr>
          <w:rFonts w:ascii="宋体" w:hAnsi="宋体" w:cs="宋体"/>
          <w:color w:val="auto"/>
          <w:highlight w:val="none"/>
          <w:u w:val="single"/>
        </w:rPr>
      </w:pPr>
      <w:r>
        <w:rPr>
          <w:rFonts w:hint="eastAsia" w:ascii="宋体" w:hAnsi="宋体" w:cs="宋体"/>
          <w:color w:val="auto"/>
          <w:highlight w:val="none"/>
        </w:rPr>
        <w:t>7.4.1 发包人通过监理人向承包人提供测量基准点、基准线和水准点及其书面资料的期限：</w:t>
      </w:r>
      <w:r>
        <w:rPr>
          <w:rFonts w:hint="eastAsia" w:ascii="宋体" w:hAnsi="宋体" w:cs="宋体"/>
          <w:color w:val="auto"/>
          <w:szCs w:val="21"/>
          <w:highlight w:val="none"/>
          <w:u w:val="single"/>
        </w:rPr>
        <w:t>开工前提供水准点与坐标控制点，按施工图由发包人、承包人、监理现场交验，交验后，承包人应妥善保护场内水准点与控制点，任意破坏或遗失应由承包人负责恢复的费用 。</w:t>
      </w:r>
    </w:p>
    <w:p w14:paraId="41B0D46E">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7.5 工期延误</w:t>
      </w:r>
    </w:p>
    <w:p w14:paraId="04769632">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7.5.1 因发包人原因导致工期延误</w:t>
      </w:r>
    </w:p>
    <w:p w14:paraId="71EFE95C">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由于发包人的原因和非承包人的责任停工的，工期顺延</w:t>
      </w:r>
      <w:r>
        <w:rPr>
          <w:rFonts w:hint="eastAsia" w:ascii="宋体" w:hAnsi="宋体" w:cs="宋体"/>
          <w:color w:val="auto"/>
          <w:highlight w:val="none"/>
        </w:rPr>
        <w:t>。</w:t>
      </w:r>
    </w:p>
    <w:p w14:paraId="5B01558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7.5.2 因承包人原因导致工期延误</w:t>
      </w:r>
    </w:p>
    <w:p w14:paraId="7003192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因承包人原因造成工期延误，逾期竣工违约金的计算方法为：</w:t>
      </w:r>
      <w:r>
        <w:rPr>
          <w:rFonts w:hint="eastAsia" w:ascii="宋体" w:hAnsi="宋体" w:cs="宋体"/>
          <w:color w:val="auto"/>
          <w:szCs w:val="21"/>
          <w:highlight w:val="none"/>
          <w:u w:val="single"/>
        </w:rPr>
        <w:t>投标人自报的承诺工期为考核标准。工期每延误一天，处以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000元违约金</w:t>
      </w:r>
      <w:r>
        <w:rPr>
          <w:rFonts w:hint="eastAsia" w:ascii="宋体" w:hAnsi="宋体" w:cs="宋体"/>
          <w:color w:val="auto"/>
          <w:highlight w:val="none"/>
        </w:rPr>
        <w:t>。</w:t>
      </w:r>
    </w:p>
    <w:p w14:paraId="6B2A0CB9">
      <w:pPr>
        <w:adjustRightInd w:val="0"/>
        <w:snapToGrid w:val="0"/>
        <w:spacing w:line="460" w:lineRule="exact"/>
        <w:ind w:firstLine="420" w:firstLineChars="200"/>
        <w:rPr>
          <w:rFonts w:ascii="宋体" w:hAnsi="宋体" w:cs="宋体"/>
          <w:b/>
          <w:color w:val="auto"/>
          <w:highlight w:val="none"/>
          <w:u w:val="single"/>
        </w:rPr>
      </w:pPr>
      <w:r>
        <w:rPr>
          <w:rFonts w:hint="eastAsia" w:ascii="宋体" w:hAnsi="宋体" w:cs="宋体"/>
          <w:color w:val="auto"/>
          <w:highlight w:val="none"/>
        </w:rPr>
        <w:t>因承包人原因造成工期延误，逾期竣工违约金的上限：</w:t>
      </w:r>
      <w:r>
        <w:rPr>
          <w:rFonts w:hint="eastAsia" w:ascii="宋体" w:hAnsi="宋体" w:cs="宋体"/>
          <w:color w:val="auto"/>
          <w:szCs w:val="21"/>
          <w:highlight w:val="none"/>
          <w:u w:val="single"/>
        </w:rPr>
        <w:t>/</w:t>
      </w:r>
      <w:r>
        <w:rPr>
          <w:rFonts w:hint="eastAsia" w:ascii="宋体" w:hAnsi="宋体" w:cs="宋体"/>
          <w:color w:val="auto"/>
          <w:highlight w:val="none"/>
        </w:rPr>
        <w:t>。</w:t>
      </w:r>
    </w:p>
    <w:p w14:paraId="420D4BCB">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7.6 不利物质条件</w:t>
      </w:r>
    </w:p>
    <w:p w14:paraId="386ECDA2">
      <w:pPr>
        <w:adjustRightInd w:val="0"/>
        <w:snapToGrid w:val="0"/>
        <w:spacing w:line="460" w:lineRule="exact"/>
        <w:ind w:firstLine="420" w:firstLineChars="200"/>
        <w:rPr>
          <w:rFonts w:ascii="宋体" w:hAnsi="宋体" w:cs="宋体"/>
          <w:b/>
          <w:color w:val="auto"/>
          <w:highlight w:val="none"/>
          <w:u w:val="single"/>
        </w:rPr>
      </w:pPr>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承包人应了解当地地质、水文等情况并对照地勘报告了解当地情况，现场进行踏勘，中标后不得以不利物质条件为由提出索赔</w:t>
      </w:r>
      <w:r>
        <w:rPr>
          <w:rFonts w:hint="eastAsia" w:ascii="宋体" w:hAnsi="宋体" w:cs="宋体"/>
          <w:color w:val="auto"/>
          <w:szCs w:val="21"/>
          <w:highlight w:val="none"/>
          <w:u w:val="single"/>
        </w:rPr>
        <w:t>。</w:t>
      </w:r>
    </w:p>
    <w:p w14:paraId="119A8563">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7.7 异常恶劣的气候条件</w:t>
      </w:r>
    </w:p>
    <w:p w14:paraId="307BB6D2">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152EC6F0">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（1） 七级以上（含七级）大风连续 8 小时 ； </w:t>
      </w:r>
    </w:p>
    <w:p w14:paraId="029FEB4F">
      <w:pPr>
        <w:snapToGrid w:val="0"/>
        <w:spacing w:line="5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（2） 日最高温度大于 40 摄氏度，日最低温度小于-4 摄氏度 ； </w:t>
      </w:r>
    </w:p>
    <w:p w14:paraId="795AE3D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szCs w:val="21"/>
          <w:highlight w:val="none"/>
          <w:u w:val="single"/>
        </w:rPr>
        <w:t>（3） 日（昼夜）平均积雪量超过 200mm 的恶劣天气影响 。</w:t>
      </w:r>
    </w:p>
    <w:p w14:paraId="6B090B82">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7.9 提前竣工</w:t>
      </w:r>
    </w:p>
    <w:p w14:paraId="7B71C08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7.9.2 提前竣工的奖励：</w:t>
      </w:r>
      <w:r>
        <w:rPr>
          <w:rFonts w:hint="eastAsia" w:ascii="宋体" w:hAnsi="宋体" w:cs="宋体"/>
          <w:color w:val="auto"/>
          <w:highlight w:val="none"/>
          <w:u w:val="single"/>
        </w:rPr>
        <w:t>无</w:t>
      </w:r>
      <w:r>
        <w:rPr>
          <w:rFonts w:hint="eastAsia" w:ascii="宋体" w:hAnsi="宋体" w:cs="宋体"/>
          <w:color w:val="auto"/>
          <w:highlight w:val="none"/>
        </w:rPr>
        <w:t>。</w:t>
      </w:r>
    </w:p>
    <w:p w14:paraId="2C4AD617">
      <w:pPr>
        <w:keepNext/>
        <w:keepLines/>
        <w:adjustRightInd w:val="0"/>
        <w:snapToGrid w:val="0"/>
        <w:spacing w:line="460" w:lineRule="exact"/>
        <w:jc w:val="left"/>
        <w:outlineLvl w:val="2"/>
        <w:rPr>
          <w:rFonts w:ascii="宋体" w:hAnsi="宋体" w:cs="宋体"/>
          <w:bCs/>
          <w:color w:val="auto"/>
          <w:sz w:val="24"/>
          <w:highlight w:val="none"/>
        </w:rPr>
      </w:pPr>
      <w:bookmarkStart w:id="878" w:name="_Toc7477"/>
      <w:bookmarkStart w:id="879" w:name="_Toc18871"/>
      <w:r>
        <w:rPr>
          <w:rFonts w:hint="eastAsia" w:ascii="宋体" w:hAnsi="宋体" w:cs="宋体"/>
          <w:bCs/>
          <w:color w:val="auto"/>
          <w:sz w:val="24"/>
          <w:highlight w:val="none"/>
        </w:rPr>
        <w:t>8. 材料与设备</w:t>
      </w:r>
      <w:bookmarkEnd w:id="878"/>
      <w:bookmarkEnd w:id="879"/>
    </w:p>
    <w:p w14:paraId="7665E1C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8.4 材料与工程设备的保管与使用</w:t>
      </w:r>
    </w:p>
    <w:p w14:paraId="5CCAD419">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8.4.1 发包人供应的材料设备的保管费用的承担：</w:t>
      </w:r>
      <w:r>
        <w:rPr>
          <w:rFonts w:hint="eastAsia" w:ascii="宋体" w:hAnsi="宋体" w:cs="宋体"/>
          <w:color w:val="auto"/>
          <w:highlight w:val="none"/>
          <w:u w:val="single"/>
        </w:rPr>
        <w:t>承包人</w:t>
      </w:r>
      <w:r>
        <w:rPr>
          <w:rFonts w:hint="eastAsia" w:ascii="宋体" w:hAnsi="宋体" w:cs="宋体"/>
          <w:color w:val="auto"/>
          <w:highlight w:val="none"/>
        </w:rPr>
        <w:t>。</w:t>
      </w:r>
    </w:p>
    <w:p w14:paraId="0F67E326">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8.6 样品</w:t>
      </w:r>
    </w:p>
    <w:p w14:paraId="65F559A3">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8.6.1 样品的报送与封存</w:t>
      </w:r>
    </w:p>
    <w:p w14:paraId="744383E5">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b/>
          <w:bCs/>
          <w:color w:val="auto"/>
          <w:szCs w:val="21"/>
          <w:highlight w:val="none"/>
          <w:u w:val="single"/>
        </w:rPr>
        <w:t xml:space="preserve">       </w:t>
      </w:r>
      <w:r>
        <w:rPr>
          <w:rFonts w:hint="eastAsia" w:ascii="宋体" w:hAnsi="宋体" w:cs="宋体"/>
          <w:color w:val="auto"/>
          <w:highlight w:val="none"/>
        </w:rPr>
        <w:t>。</w:t>
      </w:r>
    </w:p>
    <w:p w14:paraId="2B6E16A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8.8 施工设备和临时设施</w:t>
      </w:r>
    </w:p>
    <w:p w14:paraId="183E7EF4">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8.8.1 承包人提供的施工设备和临时设施</w:t>
      </w:r>
    </w:p>
    <w:p w14:paraId="28D6FB29">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关于修建临时设施费用承担的约定：</w:t>
      </w:r>
      <w:r>
        <w:rPr>
          <w:rFonts w:hint="eastAsia" w:ascii="宋体" w:hAnsi="宋体" w:cs="宋体"/>
          <w:color w:val="auto"/>
          <w:szCs w:val="21"/>
          <w:highlight w:val="none"/>
          <w:u w:val="single"/>
        </w:rPr>
        <w:t>由承包人自行承担费用</w:t>
      </w:r>
      <w:r>
        <w:rPr>
          <w:rFonts w:hint="eastAsia" w:ascii="宋体" w:hAnsi="宋体" w:cs="宋体"/>
          <w:color w:val="auto"/>
          <w:highlight w:val="none"/>
        </w:rPr>
        <w:t>。</w:t>
      </w:r>
    </w:p>
    <w:p w14:paraId="7F0796DA">
      <w:pPr>
        <w:keepNext/>
        <w:keepLines/>
        <w:adjustRightInd w:val="0"/>
        <w:snapToGrid w:val="0"/>
        <w:spacing w:line="460" w:lineRule="exact"/>
        <w:jc w:val="left"/>
        <w:outlineLvl w:val="2"/>
        <w:rPr>
          <w:rFonts w:ascii="宋体" w:hAnsi="宋体" w:cs="宋体"/>
          <w:bCs/>
          <w:color w:val="auto"/>
          <w:sz w:val="24"/>
          <w:highlight w:val="none"/>
        </w:rPr>
      </w:pPr>
      <w:bookmarkStart w:id="880" w:name="_Toc10798"/>
      <w:bookmarkStart w:id="881" w:name="_Toc30396"/>
      <w:r>
        <w:rPr>
          <w:rFonts w:hint="eastAsia" w:ascii="宋体" w:hAnsi="宋体" w:cs="宋体"/>
          <w:bCs/>
          <w:color w:val="auto"/>
          <w:sz w:val="24"/>
          <w:highlight w:val="none"/>
        </w:rPr>
        <w:t>9. 试验与检验</w:t>
      </w:r>
      <w:bookmarkEnd w:id="880"/>
      <w:bookmarkEnd w:id="881"/>
    </w:p>
    <w:p w14:paraId="446DFB02">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9.1 试验设备与试验人员</w:t>
      </w:r>
    </w:p>
    <w:p w14:paraId="51B623E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9.1.2 试验设备</w:t>
      </w:r>
    </w:p>
    <w:p w14:paraId="16195A4B">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施工现场需要配置的试验场所：</w:t>
      </w:r>
      <w:r>
        <w:rPr>
          <w:rFonts w:hint="eastAsia" w:ascii="宋体" w:hAnsi="宋体" w:cs="宋体"/>
          <w:color w:val="auto"/>
          <w:highlight w:val="none"/>
          <w:u w:val="single"/>
        </w:rPr>
        <w:t>按有关规定执行，承包人自行承担费用</w:t>
      </w:r>
      <w:r>
        <w:rPr>
          <w:rFonts w:hint="eastAsia" w:ascii="宋体" w:hAnsi="宋体" w:cs="宋体"/>
          <w:color w:val="auto"/>
          <w:highlight w:val="none"/>
        </w:rPr>
        <w:t xml:space="preserve">。 </w:t>
      </w:r>
    </w:p>
    <w:p w14:paraId="66D2BEA1">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施工现场需要配备的试验设备：</w:t>
      </w:r>
      <w:r>
        <w:rPr>
          <w:rFonts w:hint="eastAsia" w:ascii="宋体" w:hAnsi="宋体" w:cs="宋体"/>
          <w:color w:val="auto"/>
          <w:highlight w:val="none"/>
          <w:u w:val="single"/>
        </w:rPr>
        <w:t>按有关规定执行，承包人自行承担费用</w:t>
      </w:r>
      <w:r>
        <w:rPr>
          <w:rFonts w:hint="eastAsia" w:ascii="宋体" w:hAnsi="宋体" w:cs="宋体"/>
          <w:color w:val="auto"/>
          <w:highlight w:val="none"/>
        </w:rPr>
        <w:t>。</w:t>
      </w:r>
    </w:p>
    <w:p w14:paraId="473865F5">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按有关规定执行，承包人自行承担费用</w:t>
      </w:r>
      <w:r>
        <w:rPr>
          <w:rFonts w:hint="eastAsia" w:ascii="宋体" w:hAnsi="宋体" w:cs="宋体"/>
          <w:color w:val="auto"/>
          <w:highlight w:val="none"/>
        </w:rPr>
        <w:t>。</w:t>
      </w:r>
    </w:p>
    <w:p w14:paraId="6E78BD6A">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 xml:space="preserve">9.4 现场工艺试验 </w:t>
      </w:r>
    </w:p>
    <w:p w14:paraId="0C801B15">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现场工艺试验的有关约定：</w:t>
      </w:r>
      <w:r>
        <w:rPr>
          <w:rFonts w:hint="eastAsia" w:ascii="宋体" w:hAnsi="宋体" w:cs="宋体"/>
          <w:color w:val="auto"/>
          <w:highlight w:val="none"/>
          <w:u w:val="single"/>
        </w:rPr>
        <w:t>按有关规定执行，承包人自行承担费用</w:t>
      </w:r>
      <w:r>
        <w:rPr>
          <w:rFonts w:hint="eastAsia" w:ascii="宋体" w:hAnsi="宋体" w:cs="宋体"/>
          <w:color w:val="auto"/>
          <w:highlight w:val="none"/>
        </w:rPr>
        <w:t>。</w:t>
      </w:r>
    </w:p>
    <w:p w14:paraId="24D7CDCA">
      <w:pPr>
        <w:keepNext/>
        <w:keepLines/>
        <w:adjustRightInd w:val="0"/>
        <w:snapToGrid w:val="0"/>
        <w:spacing w:line="460" w:lineRule="exact"/>
        <w:jc w:val="left"/>
        <w:outlineLvl w:val="2"/>
        <w:rPr>
          <w:rFonts w:ascii="宋体" w:hAnsi="宋体" w:cs="宋体"/>
          <w:bCs/>
          <w:color w:val="auto"/>
          <w:sz w:val="24"/>
          <w:highlight w:val="none"/>
        </w:rPr>
      </w:pPr>
      <w:bookmarkStart w:id="882" w:name="_Toc22813"/>
      <w:bookmarkStart w:id="883" w:name="_Toc31833"/>
      <w:r>
        <w:rPr>
          <w:rFonts w:hint="eastAsia" w:ascii="宋体" w:hAnsi="宋体" w:cs="宋体"/>
          <w:bCs/>
          <w:color w:val="auto"/>
          <w:sz w:val="24"/>
          <w:highlight w:val="none"/>
        </w:rPr>
        <w:t>10. 变更</w:t>
      </w:r>
      <w:bookmarkEnd w:id="882"/>
      <w:bookmarkEnd w:id="883"/>
    </w:p>
    <w:p w14:paraId="49FA03B7">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10.1 变更的范围</w:t>
      </w:r>
    </w:p>
    <w:p w14:paraId="05E59608">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关于变更的范围的约定：</w:t>
      </w:r>
      <w:r>
        <w:rPr>
          <w:rFonts w:hint="eastAsia" w:ascii="宋体" w:hAnsi="宋体" w:cs="宋体"/>
          <w:bCs/>
          <w:color w:val="auto"/>
          <w:szCs w:val="28"/>
          <w:highlight w:val="none"/>
          <w:u w:val="single"/>
        </w:rPr>
        <w:t xml:space="preserve"> 执行通用条款，符合国家、省、市相关文件规定</w:t>
      </w:r>
      <w:r>
        <w:rPr>
          <w:rFonts w:hint="eastAsia" w:ascii="宋体" w:hAnsi="宋体" w:cs="宋体"/>
          <w:color w:val="auto"/>
          <w:highlight w:val="none"/>
        </w:rPr>
        <w:t>。</w:t>
      </w:r>
    </w:p>
    <w:p w14:paraId="7EEE807A">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10.4 变更估价</w:t>
      </w:r>
    </w:p>
    <w:p w14:paraId="2DC1F9C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10.4.1 变更估价原则</w:t>
      </w:r>
    </w:p>
    <w:p w14:paraId="21E6AB9D">
      <w:pPr>
        <w:snapToGrid w:val="0"/>
        <w:spacing w:line="500" w:lineRule="exact"/>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u w:val="none"/>
        </w:rPr>
        <w:t xml:space="preserve">10.4.1.1 因工程变更引起已标价工程量清单项目或其工程数量发生变化时，按下列规定调整：不调整 </w:t>
      </w:r>
    </w:p>
    <w:p w14:paraId="4B352210">
      <w:pPr>
        <w:snapToGrid w:val="0"/>
        <w:spacing w:line="500" w:lineRule="exact"/>
        <w:ind w:firstLine="420" w:firstLineChars="200"/>
        <w:rPr>
          <w:rFonts w:ascii="宋体" w:hAnsi="宋体" w:cs="宋体"/>
          <w:bCs/>
          <w:color w:val="auto"/>
          <w:szCs w:val="28"/>
          <w:highlight w:val="none"/>
          <w:u w:val="none"/>
        </w:rPr>
      </w:pPr>
      <w:r>
        <w:rPr>
          <w:rFonts w:hint="eastAsia" w:ascii="宋体" w:hAnsi="宋体" w:cs="宋体"/>
          <w:color w:val="auto"/>
          <w:szCs w:val="21"/>
          <w:highlight w:val="none"/>
          <w:u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不调整 。</w:t>
      </w:r>
    </w:p>
    <w:p w14:paraId="5D0A357E">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10.5 承包人的合理化建议</w:t>
      </w:r>
    </w:p>
    <w:p w14:paraId="3DE5BE99">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监理人审查承包人合理化建议的期限：</w:t>
      </w:r>
      <w:r>
        <w:rPr>
          <w:rFonts w:hint="eastAsia" w:ascii="宋体" w:hAnsi="宋体" w:cs="宋体"/>
          <w:color w:val="auto"/>
          <w:szCs w:val="21"/>
          <w:highlight w:val="none"/>
          <w:u w:val="single"/>
        </w:rPr>
        <w:t>监理人应在收到承包人提交的合理化建议后7天内审查完毕并报送发包人，发现其中存在技术上的缺陷，应通知承包人修改</w:t>
      </w:r>
      <w:r>
        <w:rPr>
          <w:rFonts w:hint="eastAsia" w:ascii="宋体" w:hAnsi="宋体" w:cs="宋体"/>
          <w:color w:val="auto"/>
          <w:highlight w:val="none"/>
        </w:rPr>
        <w:t>。</w:t>
      </w:r>
    </w:p>
    <w:p w14:paraId="32E6A54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szCs w:val="21"/>
          <w:highlight w:val="none"/>
          <w:u w:val="single"/>
        </w:rPr>
        <w:t>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r>
        <w:rPr>
          <w:rFonts w:hint="eastAsia" w:ascii="宋体" w:hAnsi="宋体" w:cs="宋体"/>
          <w:color w:val="auto"/>
          <w:highlight w:val="none"/>
        </w:rPr>
        <w:t>。</w:t>
      </w:r>
    </w:p>
    <w:p w14:paraId="6B27EE0F">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承包人提出的合理化建议降低了合同价格或者提高了工程经济效益的奖励的方法和金额为：</w:t>
      </w:r>
      <w:r>
        <w:rPr>
          <w:rFonts w:hint="eastAsia" w:ascii="宋体" w:hAnsi="宋体" w:cs="宋体"/>
          <w:color w:val="auto"/>
          <w:szCs w:val="21"/>
          <w:highlight w:val="none"/>
          <w:u w:val="single"/>
        </w:rPr>
        <w:t>无</w:t>
      </w:r>
      <w:r>
        <w:rPr>
          <w:rFonts w:hint="eastAsia" w:ascii="宋体" w:hAnsi="宋体" w:cs="宋体"/>
          <w:color w:val="auto"/>
          <w:highlight w:val="none"/>
        </w:rPr>
        <w:t>。</w:t>
      </w:r>
    </w:p>
    <w:p w14:paraId="0B5BFE6D">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10.7 暂估价</w:t>
      </w:r>
    </w:p>
    <w:p w14:paraId="129210C4">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kern w:val="0"/>
          <w:highlight w:val="none"/>
        </w:rPr>
        <w:t>暂估价材料和工程设备的明细详见附件12：《</w:t>
      </w:r>
      <w:r>
        <w:rPr>
          <w:rFonts w:hint="eastAsia" w:ascii="宋体" w:hAnsi="宋体" w:cs="宋体"/>
          <w:color w:val="auto"/>
          <w:highlight w:val="none"/>
        </w:rPr>
        <w:t>暂估价一览表》</w:t>
      </w:r>
      <w:r>
        <w:rPr>
          <w:rFonts w:hint="eastAsia" w:ascii="宋体" w:hAnsi="宋体" w:cs="宋体"/>
          <w:color w:val="auto"/>
          <w:kern w:val="0"/>
          <w:highlight w:val="none"/>
        </w:rPr>
        <w:t>。</w:t>
      </w:r>
    </w:p>
    <w:p w14:paraId="5A3619D8">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10.7.1 依法必须招标的暂估价项目</w:t>
      </w:r>
    </w:p>
    <w:p w14:paraId="5F959005">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对于依法必须招标的暂估价项目的确认和批准由招标人通过招标方式确定</w:t>
      </w:r>
    </w:p>
    <w:p w14:paraId="62CC121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10.7.2 不属于依法必须招标的暂估价项目</w:t>
      </w:r>
    </w:p>
    <w:p w14:paraId="433D83C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对于不属于依法必须招标的暂估价项目的确认和批准由招标人采用询价或招标方式确定。</w:t>
      </w:r>
    </w:p>
    <w:p w14:paraId="3084E577">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2380FD1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8B804FC">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10.8 暂列金额</w:t>
      </w:r>
    </w:p>
    <w:p w14:paraId="34F0F014">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合同当事人关于暂列金额使用的约定：</w:t>
      </w:r>
      <w:r>
        <w:rPr>
          <w:rFonts w:hint="eastAsia" w:ascii="宋体" w:hAnsi="宋体" w:cs="宋体"/>
          <w:color w:val="auto"/>
          <w:szCs w:val="21"/>
          <w:highlight w:val="none"/>
          <w:u w:val="single"/>
        </w:rPr>
        <w:t>暂列金是发包人为可能发生工程变更而暂列的金额，是招标人自行确定设立的，承包商无权使用此笔费用。此费用按实际发生经招标人签证后确定全部使用、部分使用或不使用。暂列金不计入工程款付款的基数</w:t>
      </w:r>
      <w:r>
        <w:rPr>
          <w:rFonts w:hint="eastAsia" w:ascii="宋体" w:hAnsi="宋体" w:cs="宋体"/>
          <w:color w:val="auto"/>
          <w:kern w:val="0"/>
          <w:highlight w:val="none"/>
        </w:rPr>
        <w:t>。</w:t>
      </w:r>
    </w:p>
    <w:p w14:paraId="15CA7570">
      <w:pPr>
        <w:keepNext/>
        <w:keepLines/>
        <w:adjustRightInd w:val="0"/>
        <w:snapToGrid w:val="0"/>
        <w:spacing w:line="460" w:lineRule="exact"/>
        <w:jc w:val="left"/>
        <w:outlineLvl w:val="2"/>
        <w:rPr>
          <w:rFonts w:ascii="宋体" w:hAnsi="宋体" w:cs="宋体"/>
          <w:bCs/>
          <w:color w:val="auto"/>
          <w:sz w:val="24"/>
          <w:highlight w:val="none"/>
        </w:rPr>
      </w:pPr>
      <w:bookmarkStart w:id="884" w:name="_Toc14369"/>
      <w:bookmarkStart w:id="885" w:name="_Toc32705"/>
      <w:r>
        <w:rPr>
          <w:rFonts w:hint="eastAsia" w:ascii="宋体" w:hAnsi="宋体" w:cs="宋体"/>
          <w:bCs/>
          <w:color w:val="auto"/>
          <w:sz w:val="24"/>
          <w:highlight w:val="none"/>
        </w:rPr>
        <w:t>11. 价格调整</w:t>
      </w:r>
      <w:bookmarkEnd w:id="884"/>
      <w:bookmarkEnd w:id="885"/>
    </w:p>
    <w:p w14:paraId="1B21EA61">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11.1 市场价格波动引起的调整</w:t>
      </w:r>
    </w:p>
    <w:p w14:paraId="5EE8DF5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b/>
          <w:color w:val="auto"/>
          <w:highlight w:val="none"/>
          <w:u w:val="single"/>
        </w:rPr>
        <w:t>不调整</w:t>
      </w:r>
      <w:r>
        <w:rPr>
          <w:rFonts w:hint="eastAsia" w:ascii="宋体" w:hAnsi="宋体" w:cs="宋体"/>
          <w:color w:val="auto"/>
          <w:highlight w:val="none"/>
        </w:rPr>
        <w:t>。</w:t>
      </w:r>
    </w:p>
    <w:p w14:paraId="52E3AC67">
      <w:pPr>
        <w:keepNext/>
        <w:keepLines/>
        <w:adjustRightInd w:val="0"/>
        <w:snapToGrid w:val="0"/>
        <w:spacing w:line="460" w:lineRule="exact"/>
        <w:jc w:val="left"/>
        <w:outlineLvl w:val="2"/>
        <w:rPr>
          <w:rFonts w:ascii="宋体" w:hAnsi="宋体" w:cs="宋体"/>
          <w:bCs/>
          <w:color w:val="auto"/>
          <w:sz w:val="24"/>
          <w:highlight w:val="none"/>
        </w:rPr>
      </w:pPr>
      <w:bookmarkStart w:id="886" w:name="_Toc6207"/>
      <w:bookmarkStart w:id="887" w:name="_Toc336"/>
      <w:r>
        <w:rPr>
          <w:rFonts w:hint="eastAsia" w:ascii="宋体" w:hAnsi="宋体" w:cs="宋体"/>
          <w:bCs/>
          <w:color w:val="auto"/>
          <w:sz w:val="24"/>
          <w:highlight w:val="none"/>
        </w:rPr>
        <w:t>12. 合同价格、计量与支付</w:t>
      </w:r>
      <w:bookmarkEnd w:id="886"/>
      <w:bookmarkEnd w:id="887"/>
    </w:p>
    <w:p w14:paraId="5EC4CCB2">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12.1 合同价格形式</w:t>
      </w:r>
    </w:p>
    <w:p w14:paraId="53484002">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(1)单价合同。</w:t>
      </w:r>
    </w:p>
    <w:p w14:paraId="661FC149">
      <w:pPr>
        <w:adjustRightInd w:val="0"/>
        <w:snapToGrid w:val="0"/>
        <w:spacing w:line="50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隐含于已标价工程量清单综合单价中，用于化解发承包双方在工程合同中约定内容和范围内的市场价格波动风险的费用。综合单价包括为完成本项目所需要的一切费用,包括但不限于人工费、材料费、施工机械费、管理费、利润、风险费用、</w:t>
      </w:r>
      <w:r>
        <w:rPr>
          <w:rFonts w:hint="eastAsia" w:ascii="宋体" w:hAnsi="宋体" w:cs="宋体"/>
          <w:color w:val="auto"/>
          <w:szCs w:val="21"/>
          <w:highlight w:val="none"/>
          <w:u w:val="single"/>
        </w:rPr>
        <w:t>总包管理费、赶工措施费、新冠</w:t>
      </w:r>
      <w:r>
        <w:rPr>
          <w:rFonts w:hint="eastAsia" w:ascii="宋体" w:hAnsi="宋体" w:cs="宋体"/>
          <w:color w:val="auto"/>
          <w:highlight w:val="none"/>
          <w:u w:val="single"/>
        </w:rPr>
        <w:t>病毒防疫措施费用、防疫实名制管理费用、防疫人员窝工降效费用、相关交易费及完成本工程交易文件及合同条款内容等所有费用，综合单价今后将不作任何调整。</w:t>
      </w:r>
    </w:p>
    <w:p w14:paraId="59B648F3">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风险费用的计算方法：</w:t>
      </w:r>
      <w:r>
        <w:rPr>
          <w:rFonts w:hint="eastAsia" w:ascii="宋体" w:hAnsi="宋体" w:cs="宋体"/>
          <w:color w:val="auto"/>
          <w:highlight w:val="none"/>
          <w:u w:val="single"/>
        </w:rPr>
        <w:t>承包人自行考虑，包含在报价中</w:t>
      </w:r>
      <w:r>
        <w:rPr>
          <w:rFonts w:hint="eastAsia" w:ascii="宋体" w:hAnsi="宋体" w:cs="宋体"/>
          <w:color w:val="auto"/>
          <w:highlight w:val="none"/>
        </w:rPr>
        <w:t>。</w:t>
      </w:r>
    </w:p>
    <w:p w14:paraId="42E0207F">
      <w:pPr>
        <w:adjustRightInd w:val="0"/>
        <w:snapToGri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r>
        <w:rPr>
          <w:rFonts w:hint="eastAsia" w:ascii="宋体" w:hAnsi="宋体" w:cs="宋体"/>
          <w:color w:val="auto"/>
          <w:highlight w:val="none"/>
          <w:u w:val="single"/>
        </w:rPr>
        <w:t xml:space="preserve">算价=中标价±工程量变更×综合单价＋（新增工程量清单项目数量×审定签证综合单价＋施工技术措施费调整）×A±主要材料（半成品）价格调整×A±人工费调整±施工机械费调整-暂定金额、暂估价（未使用或未施工部分）±合理工程索赔。（A 为投标让利幅度，A=中标价/最高投标限价，比例式中的中标价、最高投标限价均不含暂定金额、暂估价部分,下同）。 </w:t>
      </w:r>
    </w:p>
    <w:p w14:paraId="4516583C">
      <w:pPr>
        <w:keepNext/>
        <w:keepLines/>
        <w:adjustRightInd w:val="0"/>
        <w:snapToGrid w:val="0"/>
        <w:spacing w:line="460" w:lineRule="exact"/>
        <w:jc w:val="left"/>
        <w:outlineLvl w:val="2"/>
        <w:rPr>
          <w:rFonts w:ascii="宋体" w:hAnsi="宋体" w:cs="宋体"/>
          <w:bCs/>
          <w:color w:val="auto"/>
          <w:sz w:val="24"/>
          <w:highlight w:val="none"/>
        </w:rPr>
      </w:pPr>
      <w:bookmarkStart w:id="888" w:name="_Toc30041"/>
      <w:bookmarkStart w:id="889" w:name="_Toc18685"/>
      <w:r>
        <w:rPr>
          <w:rFonts w:hint="eastAsia" w:ascii="宋体" w:hAnsi="宋体" w:cs="宋体"/>
          <w:bCs/>
          <w:color w:val="auto"/>
          <w:sz w:val="24"/>
          <w:highlight w:val="none"/>
        </w:rPr>
        <w:t>12.2 预付款</w:t>
      </w:r>
      <w:bookmarkEnd w:id="888"/>
      <w:bookmarkEnd w:id="889"/>
    </w:p>
    <w:p w14:paraId="3DA4300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12.2.1 预付款的支付</w:t>
      </w:r>
    </w:p>
    <w:p w14:paraId="149D682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预付款支付比例或金额：</w:t>
      </w:r>
      <w:r>
        <w:rPr>
          <w:rFonts w:hint="eastAsia" w:ascii="宋体" w:hAnsi="宋体" w:cs="宋体"/>
          <w:color w:val="auto"/>
          <w:highlight w:val="none"/>
          <w:u w:val="single"/>
          <w:lang w:val="en-US" w:eastAsia="zh-CN"/>
        </w:rPr>
        <w:t>无</w:t>
      </w:r>
      <w:r>
        <w:rPr>
          <w:rFonts w:hint="eastAsia" w:ascii="宋体" w:hAnsi="宋体" w:cs="宋体"/>
          <w:color w:val="auto"/>
          <w:highlight w:val="none"/>
        </w:rPr>
        <w:t>。</w:t>
      </w:r>
    </w:p>
    <w:p w14:paraId="4EEC382F">
      <w:pPr>
        <w:adjustRightInd w:val="0"/>
        <w:snapToGrid w:val="0"/>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color w:val="auto"/>
          <w:highlight w:val="none"/>
          <w:u w:val="single"/>
          <w:lang w:val="en-US" w:eastAsia="zh-CN"/>
        </w:rPr>
        <w:t>/</w:t>
      </w:r>
      <w:r>
        <w:rPr>
          <w:rFonts w:hint="eastAsia" w:ascii="宋体" w:hAnsi="宋体" w:cs="宋体"/>
          <w:color w:val="auto"/>
          <w:highlight w:val="none"/>
        </w:rPr>
        <w:t>。</w:t>
      </w:r>
    </w:p>
    <w:p w14:paraId="4A0922B7">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预付款扣回的方式：</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w:t>
      </w:r>
    </w:p>
    <w:p w14:paraId="08B8BA72">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12.2.2 预付款担保</w:t>
      </w:r>
    </w:p>
    <w:p w14:paraId="063D6B92">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w:t>
      </w:r>
      <w:r>
        <w:rPr>
          <w:rFonts w:hint="eastAsia" w:ascii="宋体" w:hAnsi="宋体" w:cs="宋体"/>
          <w:color w:val="auto"/>
          <w:highlight w:val="none"/>
        </w:rPr>
        <w:t>。</w:t>
      </w:r>
    </w:p>
    <w:p w14:paraId="6F2BCA9E">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预付款担保的形式为：</w:t>
      </w:r>
      <w:r>
        <w:rPr>
          <w:rFonts w:hint="eastAsia" w:ascii="宋体" w:hAnsi="宋体" w:cs="宋体"/>
          <w:color w:val="auto"/>
          <w:highlight w:val="none"/>
          <w:u w:val="single"/>
        </w:rPr>
        <w:t>/</w:t>
      </w:r>
      <w:r>
        <w:rPr>
          <w:rFonts w:hint="eastAsia" w:ascii="宋体" w:hAnsi="宋体" w:cs="宋体"/>
          <w:color w:val="auto"/>
          <w:highlight w:val="none"/>
        </w:rPr>
        <w:t>。</w:t>
      </w:r>
    </w:p>
    <w:p w14:paraId="47736AED">
      <w:pPr>
        <w:keepNext/>
        <w:keepLines/>
        <w:adjustRightInd w:val="0"/>
        <w:snapToGrid w:val="0"/>
        <w:spacing w:line="460" w:lineRule="exact"/>
        <w:jc w:val="left"/>
        <w:outlineLvl w:val="2"/>
        <w:rPr>
          <w:rFonts w:ascii="宋体" w:hAnsi="宋体" w:cs="宋体"/>
          <w:bCs/>
          <w:color w:val="auto"/>
          <w:sz w:val="24"/>
          <w:highlight w:val="none"/>
        </w:rPr>
      </w:pPr>
      <w:bookmarkStart w:id="890" w:name="_Toc18041"/>
      <w:bookmarkStart w:id="891" w:name="_Toc32316"/>
      <w:r>
        <w:rPr>
          <w:rFonts w:hint="eastAsia" w:ascii="宋体" w:hAnsi="宋体" w:cs="宋体"/>
          <w:bCs/>
          <w:color w:val="auto"/>
          <w:sz w:val="24"/>
          <w:highlight w:val="none"/>
        </w:rPr>
        <w:t>12.3 计量</w:t>
      </w:r>
      <w:bookmarkEnd w:id="890"/>
      <w:bookmarkEnd w:id="891"/>
    </w:p>
    <w:p w14:paraId="34D9B57C">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12.3.1 计量原则</w:t>
      </w:r>
    </w:p>
    <w:p w14:paraId="251A77D2">
      <w:pPr>
        <w:adjustRightInd w:val="0"/>
        <w:snapToGrid w:val="0"/>
        <w:spacing w:line="460" w:lineRule="exact"/>
        <w:ind w:firstLine="420" w:firstLineChars="200"/>
        <w:rPr>
          <w:rFonts w:ascii="宋体" w:hAnsi="宋体" w:cs="宋体"/>
          <w:b/>
          <w:color w:val="auto"/>
          <w:highlight w:val="none"/>
        </w:rPr>
      </w:pPr>
      <w:r>
        <w:rPr>
          <w:rFonts w:hint="eastAsia" w:ascii="宋体" w:hAnsi="宋体" w:cs="宋体"/>
          <w:color w:val="auto"/>
          <w:highlight w:val="none"/>
        </w:rPr>
        <w:t>工程量计算规则：</w:t>
      </w:r>
      <w:r>
        <w:rPr>
          <w:rFonts w:hint="eastAsia" w:ascii="宋体" w:hAnsi="宋体" w:cs="宋体"/>
          <w:color w:val="auto"/>
          <w:szCs w:val="21"/>
          <w:highlight w:val="none"/>
          <w:u w:val="single"/>
        </w:rPr>
        <w:t>按招标工程量清单及最高投标限价所采用的工程量清单计价规范及配套文件等</w:t>
      </w:r>
      <w:r>
        <w:rPr>
          <w:rFonts w:hint="eastAsia" w:ascii="宋体" w:hAnsi="宋体" w:cs="宋体"/>
          <w:b/>
          <w:color w:val="auto"/>
          <w:highlight w:val="none"/>
        </w:rPr>
        <w:t>。</w:t>
      </w:r>
    </w:p>
    <w:p w14:paraId="55FF005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12.3.2 计量周期</w:t>
      </w:r>
    </w:p>
    <w:p w14:paraId="461D538D">
      <w:pPr>
        <w:adjustRightInd w:val="0"/>
        <w:snapToGrid w:val="0"/>
        <w:spacing w:line="460" w:lineRule="exact"/>
        <w:ind w:firstLine="420" w:firstLineChars="200"/>
        <w:rPr>
          <w:rFonts w:ascii="宋体" w:hAnsi="宋体" w:cs="宋体"/>
          <w:b/>
          <w:color w:val="auto"/>
          <w:highlight w:val="none"/>
        </w:rPr>
      </w:pPr>
      <w:r>
        <w:rPr>
          <w:rFonts w:hint="eastAsia" w:ascii="宋体" w:hAnsi="宋体" w:cs="宋体"/>
          <w:color w:val="auto"/>
          <w:highlight w:val="none"/>
        </w:rPr>
        <w:t>关于计量周期的约定</w:t>
      </w:r>
      <w:r>
        <w:rPr>
          <w:rFonts w:hint="eastAsia" w:ascii="宋体" w:hAnsi="宋体" w:cs="宋体"/>
          <w:b/>
          <w:color w:val="auto"/>
          <w:highlight w:val="none"/>
        </w:rPr>
        <w:t>：</w:t>
      </w:r>
      <w:r>
        <w:rPr>
          <w:rFonts w:hint="eastAsia" w:ascii="宋体" w:hAnsi="宋体" w:cs="宋体"/>
          <w:color w:val="auto"/>
          <w:szCs w:val="21"/>
          <w:highlight w:val="none"/>
          <w:u w:val="single"/>
        </w:rPr>
        <w:t>按请款节点</w:t>
      </w:r>
      <w:r>
        <w:rPr>
          <w:rFonts w:hint="eastAsia" w:ascii="宋体" w:hAnsi="宋体" w:cs="宋体"/>
          <w:b/>
          <w:color w:val="auto"/>
          <w:highlight w:val="none"/>
        </w:rPr>
        <w:t>。</w:t>
      </w:r>
    </w:p>
    <w:p w14:paraId="5817F518">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12.3.3 单价合同的计量</w:t>
      </w:r>
    </w:p>
    <w:p w14:paraId="594799E2">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3370DF4">
      <w:pPr>
        <w:keepNext/>
        <w:keepLines/>
        <w:adjustRightInd w:val="0"/>
        <w:snapToGrid w:val="0"/>
        <w:spacing w:line="460" w:lineRule="exact"/>
        <w:jc w:val="left"/>
        <w:outlineLvl w:val="2"/>
        <w:rPr>
          <w:rFonts w:ascii="宋体" w:hAnsi="宋体" w:cs="宋体"/>
          <w:bCs/>
          <w:color w:val="auto"/>
          <w:sz w:val="24"/>
          <w:highlight w:val="none"/>
        </w:rPr>
      </w:pPr>
      <w:bookmarkStart w:id="892" w:name="_Toc1835"/>
      <w:bookmarkStart w:id="893" w:name="_Toc21996"/>
      <w:r>
        <w:rPr>
          <w:rFonts w:hint="eastAsia" w:ascii="宋体" w:hAnsi="宋体" w:cs="宋体"/>
          <w:bCs/>
          <w:color w:val="auto"/>
          <w:sz w:val="24"/>
          <w:highlight w:val="none"/>
        </w:rPr>
        <w:t>12.4 工程进度款支付</w:t>
      </w:r>
      <w:bookmarkEnd w:id="892"/>
      <w:bookmarkEnd w:id="893"/>
    </w:p>
    <w:p w14:paraId="76FE3AF0">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12.4.1 付款周期</w:t>
      </w:r>
    </w:p>
    <w:p w14:paraId="48F4F8AF">
      <w:pPr>
        <w:widowControl/>
        <w:tabs>
          <w:tab w:val="left" w:pos="0"/>
        </w:tabs>
        <w:adjustRightInd w:val="0"/>
        <w:snapToGrid w:val="0"/>
        <w:spacing w:line="440" w:lineRule="exact"/>
        <w:ind w:left="0" w:leftChars="0" w:right="250" w:rightChars="119" w:firstLine="401" w:firstLineChars="191"/>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关于付款周期的约定：</w:t>
      </w:r>
      <w:r>
        <w:rPr>
          <w:rFonts w:hint="eastAsia" w:ascii="宋体" w:hAnsi="宋体" w:eastAsia="宋体" w:cs="宋体"/>
          <w:b/>
          <w:bCs/>
          <w:color w:val="auto"/>
          <w:kern w:val="2"/>
          <w:sz w:val="21"/>
          <w:szCs w:val="21"/>
          <w:highlight w:val="none"/>
          <w:lang w:val="en-US" w:eastAsia="zh-CN" w:bidi="ar-SA"/>
        </w:rPr>
        <w:t>施工完成通过审计竣工验收和国网并网验收后付至已完成合格结算价款工程量的98%，剩余2%作为质量保证金。</w:t>
      </w:r>
      <w:r>
        <w:rPr>
          <w:rFonts w:hint="eastAsia" w:ascii="宋体" w:hAnsi="宋体" w:eastAsia="宋体" w:cs="宋体"/>
          <w:color w:val="auto"/>
          <w:kern w:val="2"/>
          <w:sz w:val="21"/>
          <w:szCs w:val="21"/>
          <w:highlight w:val="none"/>
          <w:lang w:val="en-US" w:eastAsia="zh-CN" w:bidi="ar-SA"/>
        </w:rPr>
        <w:t>工程缺陷责任期满后付清余款。质量保证金支持银行保函使用。采用保函的不再从工程进度款中扣留质量保证金，保函有效期须与工程缺陷责任期截止时间保持一致。</w:t>
      </w:r>
    </w:p>
    <w:p w14:paraId="3E6244A3">
      <w:pPr>
        <w:pStyle w:val="2"/>
        <w:spacing w:line="460" w:lineRule="exact"/>
        <w:ind w:left="0" w:leftChars="0"/>
        <w:rPr>
          <w:color w:val="auto"/>
          <w:highlight w:val="none"/>
        </w:rPr>
      </w:pPr>
      <w:r>
        <w:rPr>
          <w:rFonts w:hint="eastAsia" w:ascii="宋体" w:hAnsi="宋体" w:cs="宋体"/>
          <w:color w:val="auto"/>
          <w:highlight w:val="none"/>
        </w:rPr>
        <w:t>关于付款周期的其他约定：</w:t>
      </w:r>
      <w:r>
        <w:rPr>
          <w:rFonts w:hint="eastAsia" w:ascii="宋体" w:hAnsi="宋体" w:cs="宋体"/>
          <w:color w:val="auto"/>
          <w:highlight w:val="none"/>
          <w:u w:val="single"/>
        </w:rPr>
        <w:t>/</w:t>
      </w:r>
      <w:r>
        <w:rPr>
          <w:rFonts w:hint="eastAsia" w:ascii="宋体" w:hAnsi="宋体" w:cs="宋体"/>
          <w:color w:val="auto"/>
          <w:highlight w:val="none"/>
        </w:rPr>
        <w:t>。</w:t>
      </w:r>
    </w:p>
    <w:p w14:paraId="467FC5FA">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12.4.2 进度付款申请单的编制</w:t>
      </w:r>
    </w:p>
    <w:p w14:paraId="230005D4">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关于进度付款申请单编制的约定：</w:t>
      </w:r>
      <w:r>
        <w:rPr>
          <w:rFonts w:hint="eastAsia" w:ascii="宋体" w:hAnsi="宋体" w:cs="宋体"/>
          <w:color w:val="auto"/>
          <w:szCs w:val="21"/>
          <w:highlight w:val="none"/>
          <w:u w:val="single"/>
        </w:rPr>
        <w:t>按监理要求</w:t>
      </w:r>
      <w:r>
        <w:rPr>
          <w:rFonts w:hint="eastAsia" w:ascii="宋体" w:hAnsi="宋体" w:cs="宋体"/>
          <w:color w:val="auto"/>
          <w:highlight w:val="none"/>
        </w:rPr>
        <w:t>。</w:t>
      </w:r>
    </w:p>
    <w:p w14:paraId="600E8FA0">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12.4.3 进度付款申请单的提交</w:t>
      </w:r>
    </w:p>
    <w:p w14:paraId="71B7DFD8">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（1）单价合同进度付款申请单提交的约定：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EF09537">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szCs w:val="21"/>
          <w:highlight w:val="none"/>
          <w:u w:val="single"/>
        </w:rPr>
        <w:t>不执行</w:t>
      </w:r>
      <w:r>
        <w:rPr>
          <w:rFonts w:hint="eastAsia" w:ascii="宋体" w:hAnsi="宋体" w:cs="宋体"/>
          <w:color w:val="auto"/>
          <w:highlight w:val="none"/>
        </w:rPr>
        <w:t>。</w:t>
      </w:r>
    </w:p>
    <w:p w14:paraId="7FD35AB5">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（3）其他价格形式合同进度付款申请单提交的约定：</w:t>
      </w:r>
      <w:r>
        <w:rPr>
          <w:rFonts w:hint="eastAsia" w:ascii="宋体" w:hAnsi="宋体" w:cs="宋体"/>
          <w:color w:val="auto"/>
          <w:szCs w:val="21"/>
          <w:highlight w:val="none"/>
          <w:u w:val="single"/>
        </w:rPr>
        <w:t>不执行</w:t>
      </w:r>
      <w:r>
        <w:rPr>
          <w:rFonts w:hint="eastAsia" w:ascii="宋体" w:hAnsi="宋体" w:cs="宋体"/>
          <w:color w:val="auto"/>
          <w:highlight w:val="none"/>
        </w:rPr>
        <w:t>。</w:t>
      </w:r>
    </w:p>
    <w:p w14:paraId="3D96444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12.4.4 进度款审核和支付</w:t>
      </w:r>
    </w:p>
    <w:p w14:paraId="02E75CD1">
      <w:pPr>
        <w:adjustRightInd w:val="0"/>
        <w:snapToGrid w:val="0"/>
        <w:spacing w:line="460" w:lineRule="exact"/>
        <w:ind w:firstLine="420" w:firstLineChars="200"/>
        <w:rPr>
          <w:rFonts w:ascii="宋体" w:hAnsi="宋体" w:cs="宋体"/>
          <w:b/>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szCs w:val="21"/>
          <w:highlight w:val="none"/>
          <w:u w:val="single"/>
        </w:rPr>
        <w:t xml:space="preserve">执行通用条款 </w:t>
      </w:r>
      <w:r>
        <w:rPr>
          <w:rFonts w:hint="eastAsia" w:ascii="宋体" w:hAnsi="宋体" w:cs="宋体"/>
          <w:b/>
          <w:color w:val="auto"/>
          <w:highlight w:val="none"/>
        </w:rPr>
        <w:t>。</w:t>
      </w:r>
    </w:p>
    <w:p w14:paraId="064DDE36">
      <w:pPr>
        <w:adjustRightInd w:val="0"/>
        <w:snapToGrid w:val="0"/>
        <w:spacing w:line="460" w:lineRule="exact"/>
        <w:ind w:firstLine="420" w:firstLineChars="200"/>
        <w:rPr>
          <w:rFonts w:ascii="宋体" w:hAnsi="宋体" w:cs="宋体"/>
          <w:b/>
          <w:color w:val="auto"/>
          <w:highlight w:val="none"/>
          <w:u w:val="single"/>
        </w:rPr>
      </w:pPr>
      <w:r>
        <w:rPr>
          <w:rFonts w:hint="eastAsia" w:ascii="宋体" w:hAnsi="宋体" w:cs="宋体"/>
          <w:color w:val="auto"/>
          <w:highlight w:val="none"/>
        </w:rPr>
        <w:t>发包人完成审批并签发进度款支付证书的期限：</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47F02411">
      <w:pPr>
        <w:adjustRightInd w:val="0"/>
        <w:snapToGrid w:val="0"/>
        <w:spacing w:line="460" w:lineRule="exact"/>
        <w:ind w:firstLine="420" w:firstLineChars="200"/>
        <w:rPr>
          <w:rFonts w:ascii="宋体" w:hAnsi="宋体" w:cs="宋体"/>
          <w:b/>
          <w:color w:val="auto"/>
          <w:highlight w:val="none"/>
        </w:rPr>
      </w:pPr>
      <w:r>
        <w:rPr>
          <w:rFonts w:hint="eastAsia" w:ascii="宋体" w:hAnsi="宋体" w:cs="宋体"/>
          <w:color w:val="auto"/>
          <w:highlight w:val="none"/>
        </w:rPr>
        <w:t>（2）发包人支付进度款的期限：</w:t>
      </w:r>
      <w:r>
        <w:rPr>
          <w:rFonts w:hint="eastAsia" w:ascii="宋体" w:hAnsi="宋体" w:cs="宋体"/>
          <w:color w:val="auto"/>
          <w:szCs w:val="21"/>
          <w:highlight w:val="none"/>
          <w:u w:val="single"/>
        </w:rPr>
        <w:t>详见12.4.1付款周期</w:t>
      </w:r>
      <w:r>
        <w:rPr>
          <w:rFonts w:hint="eastAsia" w:ascii="宋体" w:hAnsi="宋体" w:cs="宋体"/>
          <w:b/>
          <w:color w:val="auto"/>
          <w:highlight w:val="none"/>
        </w:rPr>
        <w:t>。</w:t>
      </w:r>
    </w:p>
    <w:p w14:paraId="160078C8">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 xml:space="preserve">发包人逾期支付进度款的违约金的计算方式 </w:t>
      </w:r>
      <w:r>
        <w:rPr>
          <w:rFonts w:hint="eastAsia" w:ascii="宋体" w:hAnsi="宋体" w:cs="宋体"/>
          <w:color w:val="auto"/>
          <w:highlight w:val="none"/>
          <w:u w:val="single"/>
        </w:rPr>
        <w:t>/</w:t>
      </w:r>
      <w:r>
        <w:rPr>
          <w:rFonts w:hint="eastAsia" w:ascii="宋体" w:hAnsi="宋体" w:cs="宋体"/>
          <w:b/>
          <w:color w:val="auto"/>
          <w:highlight w:val="none"/>
        </w:rPr>
        <w:t>。</w:t>
      </w:r>
    </w:p>
    <w:p w14:paraId="60C3B773">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12.4.6 支付分解表的编制</w:t>
      </w:r>
    </w:p>
    <w:p w14:paraId="44341208">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F0DAB00">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A6E9082">
      <w:pPr>
        <w:adjustRightInd w:val="0"/>
        <w:snapToGrid w:val="0"/>
        <w:spacing w:line="460" w:lineRule="exact"/>
        <w:ind w:firstLine="422" w:firstLineChars="200"/>
        <w:rPr>
          <w:rFonts w:ascii="宋体" w:hAnsi="宋体" w:cs="宋体"/>
          <w:b/>
          <w:color w:val="auto"/>
          <w:highlight w:val="none"/>
        </w:rPr>
      </w:pPr>
      <w:r>
        <w:rPr>
          <w:rFonts w:hint="eastAsia" w:ascii="宋体" w:hAnsi="宋体" w:cs="宋体"/>
          <w:b/>
          <w:color w:val="auto"/>
          <w:highlight w:val="none"/>
        </w:rPr>
        <w:t>12.4.7 农民工工资管理（农民工工资保证金支持保函使用）</w:t>
      </w:r>
    </w:p>
    <w:p w14:paraId="168010CC">
      <w:pPr>
        <w:adjustRightInd w:val="0"/>
        <w:snapToGrid w:val="0"/>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(1)本工程农民工工资实行专用账户管理，承包人设立的专用账户开户行为</w:t>
      </w:r>
      <w:r>
        <w:rPr>
          <w:rFonts w:hint="eastAsia" w:ascii="宋体" w:hAnsi="宋体" w:cs="宋体"/>
          <w:bCs/>
          <w:color w:val="auto"/>
          <w:highlight w:val="none"/>
          <w:u w:val="single"/>
        </w:rPr>
        <w:t xml:space="preserve">：        </w:t>
      </w:r>
      <w:r>
        <w:rPr>
          <w:rFonts w:hint="eastAsia" w:ascii="宋体" w:hAnsi="宋体" w:cs="宋体"/>
          <w:bCs/>
          <w:color w:val="auto"/>
          <w:highlight w:val="none"/>
        </w:rPr>
        <w:t>，账号：;</w:t>
      </w:r>
    </w:p>
    <w:p w14:paraId="07687CE9">
      <w:pPr>
        <w:adjustRightInd w:val="0"/>
        <w:snapToGrid w:val="0"/>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(2)本工程工资性工程款元（相应的最低工资标准乘建筑面积）；其中工资性工程预付款元。(工资性工程款除月工期)</w:t>
      </w:r>
    </w:p>
    <w:p w14:paraId="47EAFC62">
      <w:pPr>
        <w:adjustRightInd w:val="0"/>
        <w:snapToGrid w:val="0"/>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(3)发包人在监理人签发开工报告前，将工资性工程预付款转入承包人开立的农民工工资专用账户。</w:t>
      </w:r>
    </w:p>
    <w:p w14:paraId="234174F6">
      <w:pPr>
        <w:adjustRightInd w:val="0"/>
        <w:snapToGrid w:val="0"/>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工程开工后第一个月支付工资性工程进度款起，分月扣回工资性工程预付款。</w:t>
      </w:r>
    </w:p>
    <w:p w14:paraId="320A7D12">
      <w:pPr>
        <w:adjustRightInd w:val="0"/>
        <w:snapToGrid w:val="0"/>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(4)发包人于每月25日前将工资性工程进度款转入农民工工资专用账户。</w:t>
      </w:r>
    </w:p>
    <w:p w14:paraId="50EDEF19">
      <w:pPr>
        <w:adjustRightInd w:val="0"/>
        <w:snapToGrid w:val="0"/>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(5)承包人每月25日前上报本工程农民工工资清单，每月10日前委托开设农民工工资专用账户的银行支付农民工工资。</w:t>
      </w:r>
    </w:p>
    <w:p w14:paraId="2B7C4D83">
      <w:pPr>
        <w:adjustRightInd w:val="0"/>
        <w:snapToGrid w:val="0"/>
        <w:spacing w:line="460" w:lineRule="exact"/>
        <w:ind w:firstLine="420" w:firstLineChars="200"/>
        <w:rPr>
          <w:rFonts w:ascii="宋体" w:hAnsi="宋体" w:cs="宋体"/>
          <w:bCs/>
          <w:color w:val="auto"/>
          <w:highlight w:val="none"/>
        </w:rPr>
      </w:pPr>
      <w:r>
        <w:rPr>
          <w:rFonts w:hint="eastAsia" w:ascii="宋体" w:hAnsi="宋体" w:cs="宋体"/>
          <w:bCs/>
          <w:color w:val="auto"/>
          <w:highlight w:val="none"/>
        </w:rPr>
        <w:t>(6)工程竣工后，经项目部农民工维权组确认无农民工工资拖欠后，发、承双方办理农民工工资专用账户撤销手续，农民工工资专用账户余额划至本合同约定的承包人账户。</w:t>
      </w:r>
    </w:p>
    <w:p w14:paraId="7495DF5E">
      <w:pPr>
        <w:keepNext/>
        <w:keepLines/>
        <w:adjustRightInd w:val="0"/>
        <w:snapToGrid w:val="0"/>
        <w:spacing w:line="460" w:lineRule="exact"/>
        <w:jc w:val="left"/>
        <w:outlineLvl w:val="2"/>
        <w:rPr>
          <w:rFonts w:ascii="宋体" w:hAnsi="宋体" w:cs="宋体"/>
          <w:bCs/>
          <w:color w:val="auto"/>
          <w:sz w:val="24"/>
          <w:highlight w:val="none"/>
        </w:rPr>
      </w:pPr>
      <w:bookmarkStart w:id="894" w:name="_Toc16268"/>
      <w:bookmarkStart w:id="895" w:name="_Toc13579"/>
      <w:r>
        <w:rPr>
          <w:rFonts w:hint="eastAsia" w:ascii="宋体" w:hAnsi="宋体" w:cs="宋体"/>
          <w:bCs/>
          <w:color w:val="auto"/>
          <w:sz w:val="24"/>
          <w:highlight w:val="none"/>
        </w:rPr>
        <w:t>13. 验收和工程试车</w:t>
      </w:r>
      <w:bookmarkEnd w:id="894"/>
      <w:bookmarkEnd w:id="895"/>
    </w:p>
    <w:p w14:paraId="01EEB7DC">
      <w:pPr>
        <w:keepNext/>
        <w:keepLines/>
        <w:adjustRightInd w:val="0"/>
        <w:snapToGrid w:val="0"/>
        <w:spacing w:line="460" w:lineRule="exact"/>
        <w:jc w:val="left"/>
        <w:outlineLvl w:val="2"/>
        <w:rPr>
          <w:rFonts w:ascii="宋体" w:hAnsi="宋体" w:cs="宋体"/>
          <w:bCs/>
          <w:color w:val="auto"/>
          <w:sz w:val="24"/>
          <w:highlight w:val="none"/>
        </w:rPr>
      </w:pPr>
      <w:bookmarkStart w:id="896" w:name="_Toc27572"/>
      <w:bookmarkStart w:id="897" w:name="_Toc30481"/>
      <w:r>
        <w:rPr>
          <w:rFonts w:hint="eastAsia" w:ascii="宋体" w:hAnsi="宋体" w:cs="宋体"/>
          <w:bCs/>
          <w:color w:val="auto"/>
          <w:sz w:val="24"/>
          <w:highlight w:val="none"/>
        </w:rPr>
        <w:t>13.1 分部分项工程验收</w:t>
      </w:r>
      <w:bookmarkEnd w:id="896"/>
      <w:bookmarkEnd w:id="897"/>
    </w:p>
    <w:p w14:paraId="3224596D">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13.1.2 监理人不能按时进行验收时，应提前</w:t>
      </w:r>
      <w:r>
        <w:rPr>
          <w:rFonts w:hint="eastAsia" w:ascii="宋体" w:hAnsi="宋体" w:cs="宋体"/>
          <w:color w:val="auto"/>
          <w:szCs w:val="21"/>
          <w:highlight w:val="none"/>
          <w:u w:val="single"/>
        </w:rPr>
        <w:t>24</w:t>
      </w:r>
      <w:r>
        <w:rPr>
          <w:rFonts w:hint="eastAsia" w:ascii="宋体" w:hAnsi="宋体" w:cs="宋体"/>
          <w:color w:val="auto"/>
          <w:highlight w:val="none"/>
        </w:rPr>
        <w:t>小时提交书面延期要求。</w:t>
      </w:r>
    </w:p>
    <w:p w14:paraId="3997A768">
      <w:pPr>
        <w:adjustRightInd w:val="0"/>
        <w:snapToGrid w:val="0"/>
        <w:spacing w:line="460" w:lineRule="exact"/>
        <w:ind w:firstLine="420" w:firstLineChars="200"/>
        <w:rPr>
          <w:rFonts w:ascii="宋体" w:hAnsi="宋体" w:cs="宋体"/>
          <w:b/>
          <w:color w:val="auto"/>
          <w:highlight w:val="none"/>
        </w:rPr>
      </w:pPr>
      <w:r>
        <w:rPr>
          <w:rFonts w:hint="eastAsia" w:ascii="宋体" w:hAnsi="宋体" w:cs="宋体"/>
          <w:color w:val="auto"/>
          <w:highlight w:val="none"/>
        </w:rPr>
        <w:t>关于延期最长不得超过：</w:t>
      </w:r>
      <w:r>
        <w:rPr>
          <w:rFonts w:hint="eastAsia" w:ascii="宋体" w:hAnsi="宋体" w:cs="宋体"/>
          <w:color w:val="auto"/>
          <w:szCs w:val="21"/>
          <w:highlight w:val="none"/>
          <w:u w:val="single"/>
        </w:rPr>
        <w:t>48</w:t>
      </w:r>
      <w:r>
        <w:rPr>
          <w:rFonts w:hint="eastAsia" w:ascii="宋体" w:hAnsi="宋体" w:cs="宋体"/>
          <w:color w:val="auto"/>
          <w:highlight w:val="none"/>
        </w:rPr>
        <w:t>小时。</w:t>
      </w:r>
    </w:p>
    <w:p w14:paraId="193DEFF7">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13.2 竣工验收</w:t>
      </w:r>
    </w:p>
    <w:p w14:paraId="18B820F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13.2.2 竣工验收程序</w:t>
      </w:r>
    </w:p>
    <w:p w14:paraId="79198CB6">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关于竣工验收程序的约定：</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72E23F99">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6DE8DF20">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13.2.5 移交、接收全部与部分工程</w:t>
      </w:r>
    </w:p>
    <w:p w14:paraId="61C590A9">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承包人向发包人移交工程的期限：</w:t>
      </w:r>
      <w:r>
        <w:rPr>
          <w:rFonts w:hint="eastAsia" w:ascii="宋体" w:hAnsi="宋体" w:cs="宋体"/>
          <w:color w:val="auto"/>
          <w:szCs w:val="21"/>
          <w:highlight w:val="none"/>
          <w:u w:val="single"/>
        </w:rPr>
        <w:t>颁发工程接收证书后7天内完成工程的移交</w:t>
      </w:r>
      <w:r>
        <w:rPr>
          <w:rFonts w:hint="eastAsia" w:ascii="宋体" w:hAnsi="宋体" w:cs="宋体"/>
          <w:color w:val="auto"/>
          <w:highlight w:val="none"/>
        </w:rPr>
        <w:t>。</w:t>
      </w:r>
    </w:p>
    <w:p w14:paraId="40E5CC4E">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color w:val="auto"/>
          <w:szCs w:val="21"/>
          <w:highlight w:val="none"/>
          <w:u w:val="single"/>
        </w:rPr>
        <w:t>发包人自应当接收工程之日起，承担工程照管、成品保护、保管等与工程有关的各项费用</w:t>
      </w:r>
      <w:r>
        <w:rPr>
          <w:rFonts w:hint="eastAsia" w:ascii="宋体" w:hAnsi="宋体" w:cs="宋体"/>
          <w:color w:val="auto"/>
          <w:highlight w:val="none"/>
        </w:rPr>
        <w:t>。</w:t>
      </w:r>
    </w:p>
    <w:p w14:paraId="125B4912">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承包人未按时移交工程的，违约金的计算方法为：</w:t>
      </w:r>
      <w:r>
        <w:rPr>
          <w:rFonts w:hint="eastAsia" w:ascii="宋体" w:hAnsi="宋体" w:cs="宋体"/>
          <w:color w:val="auto"/>
          <w:szCs w:val="21"/>
          <w:highlight w:val="none"/>
          <w:u w:val="single"/>
        </w:rPr>
        <w:t>承包人应承担工程照管、成品保护、保管等与工程有关的各项费用</w:t>
      </w:r>
      <w:r>
        <w:rPr>
          <w:rFonts w:hint="eastAsia" w:ascii="宋体" w:hAnsi="宋体" w:cs="宋体"/>
          <w:color w:val="auto"/>
          <w:highlight w:val="none"/>
        </w:rPr>
        <w:t>。</w:t>
      </w:r>
    </w:p>
    <w:p w14:paraId="2C748375">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13.3 工程试车</w:t>
      </w:r>
    </w:p>
    <w:p w14:paraId="70C94331">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13.3.1 试车程序</w:t>
      </w:r>
    </w:p>
    <w:p w14:paraId="3B9DC6A7">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执行通用条款</w:t>
      </w:r>
      <w:r>
        <w:rPr>
          <w:rFonts w:hint="eastAsia" w:ascii="宋体" w:hAnsi="宋体" w:cs="宋体"/>
          <w:color w:val="auto"/>
          <w:highlight w:val="none"/>
        </w:rPr>
        <w:t>。</w:t>
      </w:r>
    </w:p>
    <w:p w14:paraId="662B8B62">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szCs w:val="21"/>
          <w:highlight w:val="none"/>
          <w:u w:val="single"/>
        </w:rPr>
        <w:t>试车消耗的生产性原材料由发包人承担；试车其他费用（包括试车所需水电油等费用）由承包人在措施费中考虑</w:t>
      </w:r>
      <w:r>
        <w:rPr>
          <w:rFonts w:hint="eastAsia" w:ascii="宋体" w:hAnsi="宋体" w:cs="宋体"/>
          <w:color w:val="auto"/>
          <w:kern w:val="0"/>
          <w:highlight w:val="none"/>
        </w:rPr>
        <w:t>承担；</w:t>
      </w:r>
    </w:p>
    <w:p w14:paraId="7E014063">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szCs w:val="21"/>
          <w:highlight w:val="none"/>
          <w:u w:val="single"/>
        </w:rPr>
        <w:t>试车消耗的生产性原材料由发包人承担；试车其他费用（包括试车所需水电油等费用）由承包人在措施费中考虑</w:t>
      </w:r>
      <w:r>
        <w:rPr>
          <w:rFonts w:hint="eastAsia" w:ascii="宋体" w:hAnsi="宋体" w:cs="宋体"/>
          <w:color w:val="auto"/>
          <w:kern w:val="0"/>
          <w:highlight w:val="none"/>
        </w:rPr>
        <w:t>承担。</w:t>
      </w:r>
    </w:p>
    <w:p w14:paraId="13BAF201">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13.3.3 投料试车</w:t>
      </w:r>
    </w:p>
    <w:p w14:paraId="520E69B0">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61DE4926">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13.6 竣工退场</w:t>
      </w:r>
    </w:p>
    <w:p w14:paraId="0DA143D7">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13.6.1 竣工退场</w:t>
      </w:r>
    </w:p>
    <w:p w14:paraId="1C27A0AC">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color w:val="auto"/>
          <w:highlight w:val="none"/>
          <w:u w:val="single"/>
        </w:rPr>
        <w:t>竣工之日起30日内</w:t>
      </w:r>
      <w:r>
        <w:rPr>
          <w:rFonts w:hint="eastAsia" w:ascii="宋体" w:hAnsi="宋体" w:cs="宋体"/>
          <w:color w:val="auto"/>
          <w:kern w:val="0"/>
          <w:highlight w:val="none"/>
        </w:rPr>
        <w:t>。</w:t>
      </w:r>
    </w:p>
    <w:p w14:paraId="2296DDB1">
      <w:pPr>
        <w:keepNext/>
        <w:keepLines/>
        <w:adjustRightInd w:val="0"/>
        <w:snapToGrid w:val="0"/>
        <w:spacing w:line="460" w:lineRule="exact"/>
        <w:jc w:val="left"/>
        <w:outlineLvl w:val="2"/>
        <w:rPr>
          <w:rFonts w:ascii="宋体" w:hAnsi="宋体" w:cs="宋体"/>
          <w:bCs/>
          <w:color w:val="auto"/>
          <w:sz w:val="24"/>
          <w:highlight w:val="none"/>
        </w:rPr>
      </w:pPr>
      <w:bookmarkStart w:id="898" w:name="_Toc22865"/>
      <w:bookmarkStart w:id="899" w:name="_Toc7419"/>
      <w:r>
        <w:rPr>
          <w:rFonts w:hint="eastAsia" w:ascii="宋体" w:hAnsi="宋体" w:cs="宋体"/>
          <w:bCs/>
          <w:color w:val="auto"/>
          <w:sz w:val="24"/>
          <w:highlight w:val="none"/>
        </w:rPr>
        <w:t>14. 竣工结算</w:t>
      </w:r>
      <w:bookmarkEnd w:id="898"/>
      <w:bookmarkEnd w:id="899"/>
    </w:p>
    <w:p w14:paraId="16BC61C9">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14.1 竣工结算申请</w:t>
      </w:r>
    </w:p>
    <w:p w14:paraId="1C88F89E">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承包人提交竣工结算申请单的期限：</w:t>
      </w:r>
      <w:r>
        <w:rPr>
          <w:rFonts w:hint="eastAsia" w:ascii="宋体" w:hAnsi="宋体" w:cs="宋体"/>
          <w:color w:val="auto"/>
          <w:szCs w:val="21"/>
          <w:highlight w:val="none"/>
          <w:u w:val="single"/>
        </w:rPr>
        <w:t>承包人应在工程竣工验收合格后28天内</w:t>
      </w:r>
      <w:r>
        <w:rPr>
          <w:rFonts w:hint="eastAsia" w:ascii="宋体" w:hAnsi="宋体" w:cs="宋体"/>
          <w:color w:val="auto"/>
          <w:highlight w:val="none"/>
        </w:rPr>
        <w:t>。</w:t>
      </w:r>
    </w:p>
    <w:p w14:paraId="2097BCAE">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竣工结算申请单应包括的内容：</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69793C33">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14.2 竣工结算审核</w:t>
      </w:r>
    </w:p>
    <w:p w14:paraId="04511E79">
      <w:pPr>
        <w:widowControl/>
        <w:adjustRightInd w:val="0"/>
        <w:snapToGrid w:val="0"/>
        <w:spacing w:line="384"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发包人审批竣工付款申请单的期限：发包人应在收到监理人提交的经审核的竣工结算申请单 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天内完成审批。</w:t>
      </w:r>
    </w:p>
    <w:p w14:paraId="0B7104C5">
      <w:pPr>
        <w:widowControl/>
        <w:adjustRightInd w:val="0"/>
        <w:snapToGrid w:val="0"/>
        <w:spacing w:line="384" w:lineRule="auto"/>
        <w:ind w:firstLine="422" w:firstLineChars="200"/>
        <w:jc w:val="left"/>
        <w:rPr>
          <w:rFonts w:hint="eastAsia"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机关、事业单位从中小企业采购工程，应当自工程交付之日起30日内支付款项；合同另有约定的，付款期限最长不得超过60日。超过60日的，自超期之日起15日内，机关、事业单位先行按照合同价与结算价孰低的98%支付工程价款。）</w:t>
      </w:r>
    </w:p>
    <w:p w14:paraId="01824FE8">
      <w:pPr>
        <w:adjustRightInd w:val="0"/>
        <w:snapToGrid w:val="0"/>
        <w:spacing w:line="384"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发包人完成竣工付款的期限：发包人应在签发竣工付款证书后的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天内，完成对承包人的竣工付款。</w:t>
      </w:r>
    </w:p>
    <w:p w14:paraId="084718B5">
      <w:pPr>
        <w:adjustRightInd w:val="0"/>
        <w:snapToGrid w:val="0"/>
        <w:spacing w:line="384"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关于竣工付款证书异议部分复核的方式和程序：</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1916F98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14.4 最终结清</w:t>
      </w:r>
    </w:p>
    <w:p w14:paraId="1C8DC77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14.4.1 最终结清申请单</w:t>
      </w:r>
    </w:p>
    <w:p w14:paraId="6B4D97F3">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承包人提交最终结清申请单的份数：</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4份</w:t>
      </w:r>
      <w:r>
        <w:rPr>
          <w:rFonts w:hint="eastAsia"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C7ADBE4">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承包人提交最终结算申请单的期限：</w:t>
      </w:r>
      <w:r>
        <w:rPr>
          <w:rFonts w:hint="eastAsia" w:ascii="宋体" w:hAnsi="宋体" w:cs="宋体"/>
          <w:color w:val="auto"/>
          <w:szCs w:val="21"/>
          <w:highlight w:val="none"/>
          <w:u w:val="single"/>
        </w:rPr>
        <w:t>缺陷责任期终止证书颁发后7天内</w:t>
      </w:r>
      <w:r>
        <w:rPr>
          <w:rFonts w:hint="eastAsia" w:ascii="宋体" w:hAnsi="宋体" w:cs="宋体"/>
          <w:color w:val="auto"/>
          <w:highlight w:val="none"/>
        </w:rPr>
        <w:t xml:space="preserve">。 </w:t>
      </w:r>
    </w:p>
    <w:p w14:paraId="193EECAA">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14.4.2 最终结清证书和支付</w:t>
      </w:r>
    </w:p>
    <w:p w14:paraId="7F40A5C0">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szCs w:val="21"/>
          <w:highlight w:val="none"/>
          <w:u w:val="single"/>
        </w:rPr>
        <w:t>收到承包人提交的最终结清申请单后14天内</w:t>
      </w:r>
      <w:r>
        <w:rPr>
          <w:rFonts w:hint="eastAsia" w:ascii="宋体" w:hAnsi="宋体" w:cs="宋体"/>
          <w:color w:val="auto"/>
          <w:highlight w:val="none"/>
        </w:rPr>
        <w:t>。</w:t>
      </w:r>
    </w:p>
    <w:p w14:paraId="4BC55092">
      <w:pPr>
        <w:adjustRightInd w:val="0"/>
        <w:snapToGrid w:val="0"/>
        <w:spacing w:line="384" w:lineRule="auto"/>
        <w:ind w:firstLine="420" w:firstLineChars="200"/>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szCs w:val="21"/>
          <w:highlight w:val="none"/>
          <w:u w:val="single"/>
        </w:rPr>
        <w:t>颁发最终结清证书后7天内完成支付</w:t>
      </w:r>
      <w:r>
        <w:rPr>
          <w:rFonts w:hint="eastAsia" w:ascii="宋体" w:hAnsi="宋体" w:cs="宋体"/>
          <w:color w:val="auto"/>
          <w:highlight w:val="none"/>
        </w:rPr>
        <w:t>。</w:t>
      </w:r>
    </w:p>
    <w:p w14:paraId="1191A0A5">
      <w:pPr>
        <w:keepNext/>
        <w:keepLines/>
        <w:adjustRightInd w:val="0"/>
        <w:snapToGrid w:val="0"/>
        <w:spacing w:line="460" w:lineRule="exact"/>
        <w:jc w:val="left"/>
        <w:outlineLvl w:val="2"/>
        <w:rPr>
          <w:rFonts w:ascii="宋体" w:hAnsi="宋体" w:cs="宋体"/>
          <w:bCs/>
          <w:color w:val="auto"/>
          <w:sz w:val="24"/>
          <w:highlight w:val="none"/>
        </w:rPr>
      </w:pPr>
      <w:bookmarkStart w:id="900" w:name="_Toc29359"/>
      <w:bookmarkStart w:id="901" w:name="_Toc14973"/>
      <w:r>
        <w:rPr>
          <w:rFonts w:hint="eastAsia" w:ascii="宋体" w:hAnsi="宋体" w:cs="宋体"/>
          <w:bCs/>
          <w:color w:val="auto"/>
          <w:sz w:val="24"/>
          <w:highlight w:val="none"/>
        </w:rPr>
        <w:t>15. 缺陷责任期与保修</w:t>
      </w:r>
      <w:bookmarkEnd w:id="900"/>
      <w:bookmarkEnd w:id="901"/>
    </w:p>
    <w:p w14:paraId="6E787126">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15.2 缺陷责任期</w:t>
      </w:r>
    </w:p>
    <w:p w14:paraId="1F110FFE">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自验收合格之日起满</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年</w:t>
      </w:r>
      <w:r>
        <w:rPr>
          <w:rFonts w:hint="eastAsia" w:ascii="宋体" w:hAnsi="宋体" w:cs="宋体"/>
          <w:color w:val="auto"/>
          <w:highlight w:val="none"/>
        </w:rPr>
        <w:t>。</w:t>
      </w:r>
    </w:p>
    <w:p w14:paraId="23ADE3F5">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15.3 质量保证金</w:t>
      </w:r>
    </w:p>
    <w:p w14:paraId="334A06CA">
      <w:pPr>
        <w:adjustRightInd w:val="0"/>
        <w:snapToGrid w:val="0"/>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15.3 质量保证金2%；质量保证金推行工程担保制度，可通过保函、保证保险等方式提供，相关部门和建设单位一律不得拒绝。</w:t>
      </w:r>
    </w:p>
    <w:p w14:paraId="445B4A21">
      <w:pPr>
        <w:adjustRightInd w:val="0"/>
        <w:snapToGrid w:val="0"/>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是  </w:t>
      </w:r>
      <w:r>
        <w:rPr>
          <w:rFonts w:hint="eastAsia" w:ascii="宋体" w:hAnsi="宋体" w:cs="宋体"/>
          <w:color w:val="auto"/>
          <w:highlight w:val="none"/>
        </w:rPr>
        <w:t>。在工程项目竣工前，承包人按专用合同条款第3.7款提供履约保证金的，发包人不得同时预留工程质量保证金。</w:t>
      </w:r>
    </w:p>
    <w:p w14:paraId="583C0CFF">
      <w:pPr>
        <w:adjustRightInd w:val="0"/>
        <w:snapToGrid w:val="0"/>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15.3.1 承包人提供质量保证金的方式</w:t>
      </w:r>
    </w:p>
    <w:p w14:paraId="39AF831E">
      <w:pPr>
        <w:adjustRightInd w:val="0"/>
        <w:snapToGrid w:val="0"/>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质量保证金采用以下方式：</w:t>
      </w:r>
    </w:p>
    <w:p w14:paraId="3E1EE1A7">
      <w:pPr>
        <w:adjustRightInd w:val="0"/>
        <w:snapToGrid w:val="0"/>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（1）质量保证金保函，保证金额为：2%的工程款； </w:t>
      </w:r>
    </w:p>
    <w:p w14:paraId="31397DFE">
      <w:pPr>
        <w:adjustRightInd w:val="0"/>
        <w:snapToGrid w:val="0"/>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（2）2%的工程款；</w:t>
      </w:r>
    </w:p>
    <w:p w14:paraId="569E2B08">
      <w:pPr>
        <w:numPr>
          <w:ilvl w:val="0"/>
          <w:numId w:val="0"/>
        </w:numPr>
        <w:adjustRightInd w:val="0"/>
        <w:snapToGrid w:val="0"/>
        <w:spacing w:line="460" w:lineRule="exact"/>
        <w:ind w:leftChars="0"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其他方式:  。</w:t>
      </w:r>
    </w:p>
    <w:p w14:paraId="49934007">
      <w:pPr>
        <w:numPr>
          <w:ilvl w:val="0"/>
          <w:numId w:val="0"/>
        </w:numPr>
        <w:adjustRightInd w:val="0"/>
        <w:snapToGrid w:val="0"/>
        <w:spacing w:line="460" w:lineRule="exact"/>
        <w:ind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14:paraId="4997A774">
      <w:pPr>
        <w:adjustRightInd w:val="0"/>
        <w:snapToGrid w:val="0"/>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质量保证金的扣留采取以下方式：</w:t>
      </w:r>
    </w:p>
    <w:p w14:paraId="41ABFD27">
      <w:pPr>
        <w:adjustRightInd w:val="0"/>
        <w:snapToGrid w:val="0"/>
        <w:spacing w:line="460" w:lineRule="exact"/>
        <w:ind w:firstLine="420" w:firstLineChars="200"/>
        <w:rPr>
          <w:rFonts w:hint="eastAsia" w:ascii="宋体" w:hAnsi="宋体" w:cs="宋体"/>
          <w:color w:val="auto"/>
          <w:kern w:val="0"/>
          <w:highlight w:val="none"/>
        </w:rPr>
      </w:pPr>
      <w:r>
        <w:rPr>
          <w:rFonts w:hint="eastAsia" w:ascii="宋体" w:hAnsi="宋体" w:eastAsia="宋体" w:cs="宋体"/>
          <w:color w:val="auto"/>
          <w:highlight w:val="none"/>
        </w:rPr>
        <w:t>（1）在支付工程进度款时逐次扣留，在此情形下</w:t>
      </w:r>
      <w:r>
        <w:rPr>
          <w:rFonts w:hint="eastAsia" w:ascii="宋体" w:hAnsi="宋体" w:cs="宋体"/>
          <w:color w:val="auto"/>
          <w:kern w:val="0"/>
          <w:highlight w:val="none"/>
        </w:rPr>
        <w:t>，质量保证金的计算基数不包括预付款的支付、扣回以及价格调整的金额；</w:t>
      </w:r>
    </w:p>
    <w:p w14:paraId="1B68F81F">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（2）工程竣工结算时一次性扣留质量保证金；</w:t>
      </w:r>
    </w:p>
    <w:p w14:paraId="47ED9635">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（3）其他扣留方式:</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0976D422">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关于质量保证金的补充约定：</w:t>
      </w:r>
      <w:r>
        <w:rPr>
          <w:rFonts w:hint="eastAsia" w:ascii="宋体" w:hAnsi="宋体" w:cs="宋体"/>
          <w:color w:val="auto"/>
          <w:kern w:val="0"/>
          <w:highlight w:val="none"/>
          <w:u w:val="single"/>
        </w:rPr>
        <w:t>质量保证金支持保函（银行保函、担保机构担保、保证保险）使用。采用保函的，保函有效期须与缺陷责任期截止时间保持一致</w:t>
      </w:r>
      <w:r>
        <w:rPr>
          <w:rFonts w:hint="eastAsia" w:ascii="宋体" w:hAnsi="宋体" w:cs="宋体"/>
          <w:color w:val="auto"/>
          <w:kern w:val="0"/>
          <w:highlight w:val="none"/>
        </w:rPr>
        <w:t>。</w:t>
      </w:r>
    </w:p>
    <w:p w14:paraId="6C88B81B">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15.4 保修</w:t>
      </w:r>
    </w:p>
    <w:p w14:paraId="31255F1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15.4.1 保修责任</w:t>
      </w:r>
    </w:p>
    <w:p w14:paraId="56E9CFB3">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highlight w:val="none"/>
        </w:rPr>
        <w:t>工程保修期为：</w:t>
      </w:r>
      <w:r>
        <w:rPr>
          <w:rFonts w:hint="eastAsia" w:ascii="宋体" w:hAnsi="宋体" w:cs="宋体"/>
          <w:color w:val="auto"/>
          <w:szCs w:val="21"/>
          <w:highlight w:val="none"/>
          <w:u w:val="single"/>
        </w:rPr>
        <w:t>执行《工程质量保修书》规定</w:t>
      </w:r>
      <w:r>
        <w:rPr>
          <w:rFonts w:hint="eastAsia" w:ascii="宋体" w:hAnsi="宋体" w:cs="宋体"/>
          <w:color w:val="auto"/>
          <w:kern w:val="0"/>
          <w:highlight w:val="none"/>
        </w:rPr>
        <w:t>。</w:t>
      </w:r>
    </w:p>
    <w:p w14:paraId="3762CB95">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15.4.3 修复通知</w:t>
      </w:r>
    </w:p>
    <w:p w14:paraId="295862C9">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承包人收到保修通知并到达工程现场的合理时间：与中标人承诺时间一致。</w:t>
      </w:r>
      <w:r>
        <w:rPr>
          <w:rFonts w:hint="eastAsia" w:ascii="宋体" w:hAnsi="宋体" w:cs="宋体"/>
          <w:color w:val="auto"/>
          <w:kern w:val="0"/>
          <w:highlight w:val="none"/>
          <w:u w:val="single"/>
        </w:rPr>
        <w:t xml:space="preserve"> </w:t>
      </w:r>
    </w:p>
    <w:p w14:paraId="24B9EEB1">
      <w:pPr>
        <w:keepNext/>
        <w:keepLines/>
        <w:adjustRightInd w:val="0"/>
        <w:snapToGrid w:val="0"/>
        <w:spacing w:line="460" w:lineRule="exact"/>
        <w:jc w:val="left"/>
        <w:outlineLvl w:val="2"/>
        <w:rPr>
          <w:rFonts w:ascii="宋体" w:hAnsi="宋体" w:cs="宋体"/>
          <w:bCs/>
          <w:color w:val="auto"/>
          <w:sz w:val="24"/>
          <w:highlight w:val="none"/>
        </w:rPr>
      </w:pPr>
      <w:bookmarkStart w:id="902" w:name="_Toc5796"/>
      <w:bookmarkStart w:id="903" w:name="_Toc31402"/>
      <w:r>
        <w:rPr>
          <w:rFonts w:hint="eastAsia" w:ascii="宋体" w:hAnsi="宋体" w:cs="宋体"/>
          <w:bCs/>
          <w:color w:val="auto"/>
          <w:sz w:val="24"/>
          <w:highlight w:val="none"/>
        </w:rPr>
        <w:t>16. 违约</w:t>
      </w:r>
      <w:bookmarkEnd w:id="902"/>
      <w:bookmarkEnd w:id="903"/>
    </w:p>
    <w:p w14:paraId="5A0E1A63">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16.1 发包人违约</w:t>
      </w:r>
    </w:p>
    <w:p w14:paraId="0AA07E1E">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16.1.1 发包人违约的情形</w:t>
      </w:r>
    </w:p>
    <w:p w14:paraId="2163F617">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发包人违约的其他情形：</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5B319429">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16.1.2 发包人违约的责任</w:t>
      </w:r>
    </w:p>
    <w:p w14:paraId="47C5412D">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332E006E">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szCs w:val="21"/>
          <w:highlight w:val="none"/>
          <w:u w:val="single"/>
        </w:rPr>
        <w:t>无</w:t>
      </w:r>
      <w:r>
        <w:rPr>
          <w:rFonts w:hint="eastAsia" w:ascii="宋体" w:hAnsi="宋体" w:cs="宋体"/>
          <w:color w:val="auto"/>
          <w:kern w:val="0"/>
          <w:highlight w:val="none"/>
        </w:rPr>
        <w:t>。</w:t>
      </w:r>
    </w:p>
    <w:p w14:paraId="4D8FB3DD">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szCs w:val="21"/>
          <w:highlight w:val="none"/>
          <w:u w:val="single"/>
        </w:rPr>
        <w:t>无</w:t>
      </w:r>
      <w:r>
        <w:rPr>
          <w:rFonts w:hint="eastAsia" w:ascii="宋体" w:hAnsi="宋体" w:cs="宋体"/>
          <w:color w:val="auto"/>
          <w:kern w:val="0"/>
          <w:highlight w:val="none"/>
        </w:rPr>
        <w:t>。</w:t>
      </w:r>
    </w:p>
    <w:p w14:paraId="08CB28A9">
      <w:pPr>
        <w:adjustRightInd w:val="0"/>
        <w:snapToGrid w:val="0"/>
        <w:spacing w:line="460" w:lineRule="exact"/>
        <w:ind w:firstLine="420" w:firstLineChars="200"/>
        <w:rPr>
          <w:rFonts w:ascii="宋体" w:hAnsi="宋体" w:cs="宋体"/>
          <w:b/>
          <w:color w:val="auto"/>
          <w:kern w:val="0"/>
          <w:highlight w:val="none"/>
          <w:u w:val="single"/>
        </w:rPr>
      </w:pPr>
      <w:r>
        <w:rPr>
          <w:rFonts w:hint="eastAsia" w:ascii="宋体" w:hAnsi="宋体" w:cs="宋体"/>
          <w:color w:val="auto"/>
          <w:kern w:val="0"/>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rPr>
        <w:t>无</w:t>
      </w:r>
      <w:r>
        <w:rPr>
          <w:rFonts w:hint="eastAsia" w:ascii="宋体" w:hAnsi="宋体" w:cs="宋体"/>
          <w:b/>
          <w:color w:val="auto"/>
          <w:kern w:val="0"/>
          <w:highlight w:val="none"/>
        </w:rPr>
        <w:t>。</w:t>
      </w:r>
    </w:p>
    <w:p w14:paraId="4D8BE996">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rPr>
        <w:t>无</w:t>
      </w:r>
      <w:r>
        <w:rPr>
          <w:rFonts w:hint="eastAsia" w:ascii="宋体" w:hAnsi="宋体" w:cs="宋体"/>
          <w:color w:val="auto"/>
          <w:kern w:val="0"/>
          <w:highlight w:val="none"/>
        </w:rPr>
        <w:t>。</w:t>
      </w:r>
    </w:p>
    <w:p w14:paraId="383A028E">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szCs w:val="21"/>
          <w:highlight w:val="none"/>
          <w:u w:val="single"/>
        </w:rPr>
        <w:t>无</w:t>
      </w:r>
      <w:r>
        <w:rPr>
          <w:rFonts w:hint="eastAsia" w:ascii="宋体" w:hAnsi="宋体" w:cs="宋体"/>
          <w:color w:val="auto"/>
          <w:kern w:val="0"/>
          <w:highlight w:val="none"/>
        </w:rPr>
        <w:t>。</w:t>
      </w:r>
    </w:p>
    <w:p w14:paraId="2F0BD1CE">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szCs w:val="21"/>
          <w:highlight w:val="none"/>
          <w:u w:val="single"/>
        </w:rPr>
        <w:t>无</w:t>
      </w:r>
      <w:r>
        <w:rPr>
          <w:rFonts w:hint="eastAsia" w:ascii="宋体" w:hAnsi="宋体" w:cs="宋体"/>
          <w:color w:val="auto"/>
          <w:kern w:val="0"/>
          <w:highlight w:val="none"/>
        </w:rPr>
        <w:t>。</w:t>
      </w:r>
    </w:p>
    <w:p w14:paraId="2F25B187">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（7）其他：</w:t>
      </w:r>
      <w:r>
        <w:rPr>
          <w:rFonts w:hint="eastAsia" w:ascii="宋体" w:hAnsi="宋体" w:cs="宋体"/>
          <w:color w:val="auto"/>
          <w:szCs w:val="21"/>
          <w:highlight w:val="none"/>
          <w:u w:val="single"/>
        </w:rPr>
        <w:t>无</w:t>
      </w:r>
      <w:r>
        <w:rPr>
          <w:rFonts w:hint="eastAsia" w:ascii="宋体" w:hAnsi="宋体" w:cs="宋体"/>
          <w:color w:val="auto"/>
          <w:kern w:val="0"/>
          <w:highlight w:val="none"/>
        </w:rPr>
        <w:t>。</w:t>
      </w:r>
    </w:p>
    <w:p w14:paraId="30AC2116">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16.1.3 因发包人违约解除合同</w:t>
      </w:r>
    </w:p>
    <w:p w14:paraId="1A87E9FF">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szCs w:val="21"/>
          <w:highlight w:val="none"/>
          <w:u w:val="single"/>
        </w:rPr>
        <w:t>28</w:t>
      </w:r>
      <w:r>
        <w:rPr>
          <w:rFonts w:hint="eastAsia" w:ascii="宋体" w:hAnsi="宋体" w:cs="宋体"/>
          <w:color w:val="auto"/>
          <w:kern w:val="0"/>
          <w:highlight w:val="none"/>
        </w:rPr>
        <w:t>天后发包人仍不纠正其违约行为并致使合同目的不能实现的，承包人有权解除合同。</w:t>
      </w:r>
    </w:p>
    <w:p w14:paraId="52D94147">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16.2 承包人违约</w:t>
      </w:r>
    </w:p>
    <w:p w14:paraId="0BC62138">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16.2.1 承包人违约的情形</w:t>
      </w:r>
    </w:p>
    <w:p w14:paraId="51C05EF5">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承包人违约的其他情形：</w:t>
      </w:r>
      <w:r>
        <w:rPr>
          <w:rFonts w:hint="eastAsia" w:ascii="宋体" w:hAnsi="宋体" w:cs="宋体"/>
          <w:color w:val="auto"/>
          <w:kern w:val="0"/>
          <w:highlight w:val="none"/>
          <w:u w:val="single"/>
        </w:rPr>
        <w:t>执行通用条款</w:t>
      </w:r>
      <w:r>
        <w:rPr>
          <w:rFonts w:hint="eastAsia" w:ascii="宋体" w:hAnsi="宋体" w:cs="宋体"/>
          <w:color w:val="auto"/>
          <w:kern w:val="0"/>
          <w:highlight w:val="none"/>
        </w:rPr>
        <w:t>。</w:t>
      </w:r>
    </w:p>
    <w:p w14:paraId="17619CB2">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16.2.2 承包人违约的责任</w:t>
      </w:r>
    </w:p>
    <w:p w14:paraId="3C56ABC3">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承包人违约责任的承担方式和计算方法：</w:t>
      </w:r>
      <w:r>
        <w:rPr>
          <w:rFonts w:hint="eastAsia" w:ascii="宋体" w:hAnsi="宋体" w:cs="宋体"/>
          <w:b/>
          <w:color w:val="auto"/>
          <w:highlight w:val="none"/>
          <w:u w:val="single"/>
        </w:rPr>
        <w:t>由承包人承担全部费用并承担相关法律责任</w:t>
      </w:r>
      <w:r>
        <w:rPr>
          <w:rFonts w:hint="eastAsia" w:ascii="宋体" w:hAnsi="宋体" w:cs="宋体"/>
          <w:b/>
          <w:color w:val="auto"/>
          <w:highlight w:val="none"/>
        </w:rPr>
        <w:t>。</w:t>
      </w:r>
    </w:p>
    <w:p w14:paraId="06872961">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16.2.3 因承包人违约解除合同</w:t>
      </w:r>
    </w:p>
    <w:p w14:paraId="3EC22E38">
      <w:pPr>
        <w:adjustRightInd w:val="0"/>
        <w:snapToGrid w:val="0"/>
        <w:spacing w:line="46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关于承包人违约解除合同的特别约定：</w:t>
      </w:r>
      <w:r>
        <w:rPr>
          <w:rFonts w:hint="eastAsia" w:ascii="宋体" w:hAnsi="宋体" w:cs="宋体"/>
          <w:color w:val="auto"/>
          <w:kern w:val="0"/>
          <w:highlight w:val="none"/>
          <w:u w:val="single"/>
        </w:rPr>
        <w:t>除专用条款约定情形外，其余执行通用条款</w:t>
      </w:r>
      <w:r>
        <w:rPr>
          <w:rFonts w:hint="eastAsia" w:ascii="宋体" w:hAnsi="宋体" w:cs="宋体"/>
          <w:color w:val="auto"/>
          <w:kern w:val="0"/>
          <w:highlight w:val="none"/>
        </w:rPr>
        <w:t>。</w:t>
      </w:r>
    </w:p>
    <w:p w14:paraId="728523A6">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承包人承担费用</w:t>
      </w:r>
      <w:r>
        <w:rPr>
          <w:rFonts w:hint="eastAsia" w:ascii="宋体" w:hAnsi="宋体" w:cs="宋体"/>
          <w:color w:val="auto"/>
          <w:kern w:val="0"/>
          <w:highlight w:val="none"/>
        </w:rPr>
        <w:t>。</w:t>
      </w:r>
    </w:p>
    <w:p w14:paraId="12FDE269">
      <w:pPr>
        <w:keepNext/>
        <w:keepLines/>
        <w:adjustRightInd w:val="0"/>
        <w:snapToGrid w:val="0"/>
        <w:spacing w:line="460" w:lineRule="exact"/>
        <w:jc w:val="left"/>
        <w:outlineLvl w:val="2"/>
        <w:rPr>
          <w:rFonts w:ascii="宋体" w:hAnsi="宋体" w:cs="宋体"/>
          <w:bCs/>
          <w:color w:val="auto"/>
          <w:sz w:val="24"/>
          <w:highlight w:val="none"/>
        </w:rPr>
      </w:pPr>
      <w:bookmarkStart w:id="904" w:name="_Toc22155"/>
      <w:bookmarkStart w:id="905" w:name="_Toc23735"/>
      <w:r>
        <w:rPr>
          <w:rFonts w:hint="eastAsia" w:ascii="宋体" w:hAnsi="宋体" w:cs="宋体"/>
          <w:bCs/>
          <w:color w:val="auto"/>
          <w:sz w:val="24"/>
          <w:highlight w:val="none"/>
        </w:rPr>
        <w:t>17. 不可抗力</w:t>
      </w:r>
      <w:bookmarkEnd w:id="904"/>
      <w:bookmarkEnd w:id="905"/>
    </w:p>
    <w:p w14:paraId="19FC4847">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17.1 不可抗力的确认</w:t>
      </w:r>
    </w:p>
    <w:p w14:paraId="11A31796">
      <w:pPr>
        <w:adjustRightInd w:val="0"/>
        <w:snapToGrid w:val="0"/>
        <w:spacing w:line="460" w:lineRule="exact"/>
        <w:ind w:firstLine="420" w:firstLineChars="200"/>
        <w:rPr>
          <w:rFonts w:ascii="宋体" w:hAnsi="宋体" w:cs="宋体"/>
          <w:b/>
          <w:color w:val="auto"/>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4592AF41">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17.4 因不可抗力解除合同</w:t>
      </w:r>
    </w:p>
    <w:p w14:paraId="3668F54B">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szCs w:val="21"/>
          <w:highlight w:val="none"/>
          <w:u w:val="single"/>
        </w:rPr>
        <w:t>28</w:t>
      </w:r>
      <w:r>
        <w:rPr>
          <w:rFonts w:hint="eastAsia" w:ascii="宋体" w:hAnsi="宋体" w:cs="宋体"/>
          <w:color w:val="auto"/>
          <w:highlight w:val="none"/>
        </w:rPr>
        <w:t>天内完成款项的支付。</w:t>
      </w:r>
    </w:p>
    <w:p w14:paraId="531E816E">
      <w:pPr>
        <w:keepNext/>
        <w:keepLines/>
        <w:adjustRightInd w:val="0"/>
        <w:snapToGrid w:val="0"/>
        <w:spacing w:line="460" w:lineRule="exact"/>
        <w:jc w:val="left"/>
        <w:outlineLvl w:val="2"/>
        <w:rPr>
          <w:rFonts w:ascii="宋体" w:hAnsi="宋体" w:cs="宋体"/>
          <w:bCs/>
          <w:color w:val="auto"/>
          <w:sz w:val="24"/>
          <w:highlight w:val="none"/>
        </w:rPr>
      </w:pPr>
      <w:bookmarkStart w:id="906" w:name="_Toc18625"/>
      <w:bookmarkStart w:id="907" w:name="_Toc24502"/>
      <w:r>
        <w:rPr>
          <w:rFonts w:hint="eastAsia" w:ascii="宋体" w:hAnsi="宋体" w:cs="宋体"/>
          <w:bCs/>
          <w:color w:val="auto"/>
          <w:sz w:val="24"/>
          <w:highlight w:val="none"/>
        </w:rPr>
        <w:t>18. 保险</w:t>
      </w:r>
      <w:bookmarkEnd w:id="906"/>
      <w:bookmarkEnd w:id="907"/>
    </w:p>
    <w:p w14:paraId="7B2AB2D0">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18.1 工程保险</w:t>
      </w:r>
    </w:p>
    <w:p w14:paraId="4DFB2CFA">
      <w:pPr>
        <w:adjustRightInd w:val="0"/>
        <w:snapToGrid w:val="0"/>
        <w:spacing w:line="460" w:lineRule="exact"/>
        <w:ind w:firstLine="420" w:firstLineChars="200"/>
        <w:rPr>
          <w:rFonts w:ascii="宋体" w:hAnsi="宋体" w:cs="宋体"/>
          <w:b/>
          <w:color w:val="auto"/>
          <w:highlight w:val="none"/>
        </w:rPr>
      </w:pPr>
      <w:r>
        <w:rPr>
          <w:rFonts w:hint="eastAsia" w:ascii="宋体" w:hAnsi="宋体" w:cs="宋体"/>
          <w:color w:val="auto"/>
          <w:highlight w:val="none"/>
        </w:rPr>
        <w:t>关于工程保险的特别约定：</w:t>
      </w:r>
      <w:r>
        <w:rPr>
          <w:rFonts w:hint="eastAsia" w:ascii="宋体" w:hAnsi="宋体" w:cs="宋体"/>
          <w:b/>
          <w:color w:val="auto"/>
          <w:kern w:val="0"/>
          <w:highlight w:val="none"/>
          <w:u w:val="single"/>
        </w:rPr>
        <w:t>承包人自行考虑</w:t>
      </w:r>
      <w:r>
        <w:rPr>
          <w:rFonts w:hint="eastAsia" w:ascii="宋体" w:hAnsi="宋体" w:cs="宋体"/>
          <w:b/>
          <w:color w:val="auto"/>
          <w:kern w:val="0"/>
          <w:highlight w:val="none"/>
        </w:rPr>
        <w:t>。</w:t>
      </w:r>
    </w:p>
    <w:p w14:paraId="73213EDE">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18.3 其他保险</w:t>
      </w:r>
    </w:p>
    <w:p w14:paraId="02B15168">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highlight w:val="none"/>
        </w:rPr>
        <w:t>关于其他保险的约定：</w:t>
      </w:r>
      <w:r>
        <w:rPr>
          <w:rFonts w:hint="eastAsia" w:ascii="宋体" w:hAnsi="宋体" w:cs="宋体"/>
          <w:color w:val="auto"/>
          <w:szCs w:val="21"/>
          <w:highlight w:val="none"/>
          <w:u w:val="single"/>
        </w:rPr>
        <w:t>承包人须为其施工现场的全部人员办理意外伤害保险并支付保险费，包括其员工及为履行合同聘请的第三方的人员</w:t>
      </w:r>
      <w:r>
        <w:rPr>
          <w:rFonts w:hint="eastAsia" w:ascii="宋体" w:hAnsi="宋体" w:cs="宋体"/>
          <w:color w:val="auto"/>
          <w:kern w:val="0"/>
          <w:highlight w:val="none"/>
        </w:rPr>
        <w:t>。</w:t>
      </w:r>
    </w:p>
    <w:p w14:paraId="7FC89302">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承包人是否应为其施工设备等办理财产保险：</w:t>
      </w:r>
      <w:r>
        <w:rPr>
          <w:rFonts w:hint="eastAsia" w:ascii="宋体" w:hAnsi="宋体" w:cs="宋体"/>
          <w:color w:val="auto"/>
          <w:szCs w:val="21"/>
          <w:highlight w:val="none"/>
          <w:u w:val="single"/>
        </w:rPr>
        <w:t>执行通用条款</w:t>
      </w:r>
      <w:r>
        <w:rPr>
          <w:rFonts w:hint="eastAsia" w:ascii="宋体" w:hAnsi="宋体" w:cs="宋体"/>
          <w:color w:val="auto"/>
          <w:highlight w:val="none"/>
        </w:rPr>
        <w:t>。</w:t>
      </w:r>
    </w:p>
    <w:p w14:paraId="6A080F7D">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18.7 通知义务</w:t>
      </w:r>
    </w:p>
    <w:p w14:paraId="6A750D4F">
      <w:pPr>
        <w:adjustRightInd w:val="0"/>
        <w:snapToGrid w:val="0"/>
        <w:spacing w:line="460" w:lineRule="exact"/>
        <w:ind w:firstLine="420" w:firstLineChars="200"/>
        <w:rPr>
          <w:rFonts w:ascii="宋体" w:hAnsi="宋体" w:cs="宋体"/>
          <w:b/>
          <w:color w:val="auto"/>
          <w:highlight w:val="none"/>
          <w:u w:val="single"/>
        </w:rPr>
      </w:pPr>
      <w:r>
        <w:rPr>
          <w:rFonts w:hint="eastAsia" w:ascii="宋体" w:hAnsi="宋体" w:cs="宋体"/>
          <w:color w:val="auto"/>
          <w:kern w:val="0"/>
          <w:highlight w:val="none"/>
        </w:rPr>
        <w:t>关于变更保险合同时的通知义务的约定：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47DD2E39">
      <w:pPr>
        <w:keepNext/>
        <w:keepLines/>
        <w:adjustRightInd w:val="0"/>
        <w:snapToGrid w:val="0"/>
        <w:spacing w:line="460" w:lineRule="exact"/>
        <w:jc w:val="left"/>
        <w:outlineLvl w:val="2"/>
        <w:rPr>
          <w:rFonts w:ascii="宋体" w:hAnsi="宋体" w:cs="宋体"/>
          <w:bCs/>
          <w:color w:val="auto"/>
          <w:sz w:val="24"/>
          <w:highlight w:val="none"/>
        </w:rPr>
      </w:pPr>
      <w:bookmarkStart w:id="908" w:name="_Toc16471"/>
      <w:bookmarkStart w:id="909" w:name="_Toc8262"/>
      <w:r>
        <w:rPr>
          <w:rFonts w:hint="eastAsia" w:ascii="宋体" w:hAnsi="宋体" w:cs="宋体"/>
          <w:bCs/>
          <w:color w:val="auto"/>
          <w:sz w:val="24"/>
          <w:highlight w:val="none"/>
        </w:rPr>
        <w:t>20. 争议解决</w:t>
      </w:r>
      <w:bookmarkEnd w:id="908"/>
      <w:bookmarkEnd w:id="909"/>
    </w:p>
    <w:p w14:paraId="08448240">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20.3 争议评审</w:t>
      </w:r>
    </w:p>
    <w:p w14:paraId="3B77ABA5">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不同意</w:t>
      </w:r>
      <w:r>
        <w:rPr>
          <w:rFonts w:hint="eastAsia" w:ascii="宋体" w:hAnsi="宋体" w:cs="宋体"/>
          <w:color w:val="auto"/>
          <w:highlight w:val="none"/>
        </w:rPr>
        <w:t xml:space="preserve">。  </w:t>
      </w:r>
    </w:p>
    <w:p w14:paraId="18434BB9">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20.3.1 争议评审小组的确定</w:t>
      </w:r>
    </w:p>
    <w:p w14:paraId="38D6204A">
      <w:pPr>
        <w:adjustRightInd w:val="0"/>
        <w:snapToGrid w:val="0"/>
        <w:spacing w:line="460" w:lineRule="exact"/>
        <w:ind w:firstLine="420" w:firstLineChars="200"/>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无</w:t>
      </w:r>
      <w:r>
        <w:rPr>
          <w:rFonts w:hint="eastAsia" w:ascii="宋体" w:hAnsi="宋体" w:cs="宋体"/>
          <w:color w:val="auto"/>
          <w:highlight w:val="none"/>
        </w:rPr>
        <w:t>。</w:t>
      </w:r>
    </w:p>
    <w:p w14:paraId="7808D44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无</w:t>
      </w:r>
      <w:r>
        <w:rPr>
          <w:rFonts w:hint="eastAsia" w:ascii="宋体" w:hAnsi="宋体" w:cs="宋体"/>
          <w:color w:val="auto"/>
          <w:highlight w:val="none"/>
        </w:rPr>
        <w:t>。</w:t>
      </w:r>
    </w:p>
    <w:p w14:paraId="1F331633">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无</w:t>
      </w:r>
      <w:r>
        <w:rPr>
          <w:rFonts w:hint="eastAsia" w:ascii="宋体" w:hAnsi="宋体" w:cs="宋体"/>
          <w:color w:val="auto"/>
          <w:highlight w:val="none"/>
        </w:rPr>
        <w:t>。</w:t>
      </w:r>
    </w:p>
    <w:p w14:paraId="090F81E6">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无</w:t>
      </w:r>
      <w:r>
        <w:rPr>
          <w:rFonts w:hint="eastAsia" w:ascii="宋体" w:hAnsi="宋体" w:cs="宋体"/>
          <w:color w:val="auto"/>
          <w:highlight w:val="none"/>
        </w:rPr>
        <w:t>。</w:t>
      </w:r>
    </w:p>
    <w:p w14:paraId="1CD94243">
      <w:pPr>
        <w:adjustRightInd w:val="0"/>
        <w:snapToGrid w:val="0"/>
        <w:spacing w:line="4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20.3.2 争议评审小组的决定</w:t>
      </w:r>
    </w:p>
    <w:p w14:paraId="05434E0E">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无</w:t>
      </w:r>
      <w:r>
        <w:rPr>
          <w:rFonts w:hint="eastAsia" w:ascii="宋体" w:hAnsi="宋体" w:cs="宋体"/>
          <w:color w:val="auto"/>
          <w:highlight w:val="none"/>
        </w:rPr>
        <w:t>。</w:t>
      </w:r>
    </w:p>
    <w:p w14:paraId="4B9A87D7">
      <w:pPr>
        <w:keepNext/>
        <w:keepLines/>
        <w:adjustRightInd w:val="0"/>
        <w:snapToGrid w:val="0"/>
        <w:spacing w:line="460" w:lineRule="exact"/>
        <w:ind w:firstLine="420" w:firstLineChars="200"/>
        <w:outlineLvl w:val="3"/>
        <w:rPr>
          <w:rFonts w:ascii="宋体" w:hAnsi="宋体" w:cs="宋体"/>
          <w:bCs/>
          <w:color w:val="auto"/>
          <w:szCs w:val="28"/>
          <w:highlight w:val="none"/>
        </w:rPr>
      </w:pPr>
      <w:r>
        <w:rPr>
          <w:rFonts w:hint="eastAsia" w:ascii="宋体" w:hAnsi="宋体" w:cs="宋体"/>
          <w:bCs/>
          <w:color w:val="auto"/>
          <w:szCs w:val="28"/>
          <w:highlight w:val="none"/>
        </w:rPr>
        <w:t>20.4 仲裁或诉讼</w:t>
      </w:r>
    </w:p>
    <w:p w14:paraId="53EC7B05">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b/>
          <w:color w:val="auto"/>
          <w:highlight w:val="none"/>
          <w:u w:val="single"/>
        </w:rPr>
        <w:t>（1）</w:t>
      </w:r>
      <w:r>
        <w:rPr>
          <w:rFonts w:hint="eastAsia" w:ascii="宋体" w:hAnsi="宋体" w:cs="宋体"/>
          <w:color w:val="auto"/>
          <w:highlight w:val="none"/>
        </w:rPr>
        <w:t>种方式解决：</w:t>
      </w:r>
    </w:p>
    <w:p w14:paraId="3F3C8D1A">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szCs w:val="21"/>
          <w:highlight w:val="none"/>
          <w:u w:val="single"/>
        </w:rPr>
        <w:t>滁州</w:t>
      </w:r>
      <w:r>
        <w:rPr>
          <w:rFonts w:hint="eastAsia" w:ascii="宋体" w:hAnsi="宋体" w:cs="宋体"/>
          <w:color w:val="auto"/>
          <w:highlight w:val="none"/>
        </w:rPr>
        <w:t>仲裁委员会申请仲裁；</w:t>
      </w:r>
    </w:p>
    <w:p w14:paraId="75023F9F">
      <w:pPr>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szCs w:val="21"/>
          <w:highlight w:val="none"/>
          <w:u w:val="single"/>
        </w:rPr>
        <w:t>工程所在地</w:t>
      </w:r>
      <w:r>
        <w:rPr>
          <w:rFonts w:hint="eastAsia" w:ascii="宋体" w:hAnsi="宋体" w:cs="宋体"/>
          <w:color w:val="auto"/>
          <w:highlight w:val="none"/>
        </w:rPr>
        <w:t>人民法院起诉。</w:t>
      </w:r>
    </w:p>
    <w:p w14:paraId="499200E3">
      <w:pPr>
        <w:adjustRightInd w:val="0"/>
        <w:snapToGrid w:val="0"/>
        <w:spacing w:line="384"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21. 补充条款 </w:t>
      </w:r>
    </w:p>
    <w:p w14:paraId="197AB53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本补充条款是专用条款的一部分，其解释顺序优先于专用条款内的其他条款。</w:t>
      </w:r>
    </w:p>
    <w:p w14:paraId="5D6E3834">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21.1 人员及职责</w:t>
      </w:r>
    </w:p>
    <w:p w14:paraId="7065C886">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21.1.1 发包人委派的发包人代表或监理工程师（以下简称“工程师”）无权更改合同，也无权解除发包人和承包人的义务和责任。</w:t>
      </w:r>
    </w:p>
    <w:p w14:paraId="506FA768">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21.1.2 发包人代表的任何批准、检查、证书、同意、通知、建议、检验、指令和要求等不解除承包人在合同中的责任。</w:t>
      </w:r>
    </w:p>
    <w:p w14:paraId="4691A4A5">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21.1.3 承包人只能从发包人代表或其授权代表处接受指令。</w:t>
      </w:r>
    </w:p>
    <w:p w14:paraId="0AFE4150">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21.1.4 发包人如需更换发包人代表须提前7天通知承包人。</w:t>
      </w:r>
    </w:p>
    <w:p w14:paraId="3EB0104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21.1.5 投标人委任的项目经理、项目技术负责人、各专业负责人（其他主要管理人员和技术人员）及施工机械等在整个项目施工期内必须在位。</w:t>
      </w:r>
    </w:p>
    <w:p w14:paraId="3CB18D9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承包人的项目经理离开现场的，须经发包人代表同意，并书面指定临时代表，代为行使项目经理的权力；该临时代表的一切行为，甲方均认为是项目经理的行为。</w:t>
      </w:r>
    </w:p>
    <w:p w14:paraId="7CB560A3">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21.1.6 承包人提交发包人的任何文件，发包人都认为该文件已经承包人内部程序批准；承包人提交的文件发生修改的，应及时将最新版本提交发包人代表。</w:t>
      </w:r>
    </w:p>
    <w:p w14:paraId="0D4401E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21.1.7 承包人应始终采取一切合理防范措施来避免在项目人员内部发生违法、动乱或妨碍治安的行为，保持项目的安定；并保护好现场和周围的人员和财产安全。</w:t>
      </w:r>
    </w:p>
    <w:p w14:paraId="0AB6C155">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21.1.8 承包人雇佣职员或工人应遵守相关法律法规的规定。</w:t>
      </w:r>
    </w:p>
    <w:p w14:paraId="6A7572B6">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21.1.9 参与本项目的承包人代表或其雇员不遵守合同规定或一贯行为不轨或不能胜任工作或危害安全，发包人代表有权要求更换；原人选未经发包人许可不得再进入本项目（包括项目经理在内）。</w:t>
      </w:r>
    </w:p>
    <w:p w14:paraId="28D04E09">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21.1.10 承包人更换项目经理的，须提前14天通知发包人，并征得发包人同意；该行为视为违约，承包人须支付发包人</w:t>
      </w:r>
      <w:r>
        <w:rPr>
          <w:rFonts w:hint="eastAsia" w:ascii="宋体" w:hAnsi="宋体" w:cs="宋体"/>
          <w:color w:val="auto"/>
          <w:highlight w:val="none"/>
          <w:u w:val="single"/>
        </w:rPr>
        <w:t>5</w:t>
      </w:r>
      <w:r>
        <w:rPr>
          <w:rFonts w:hint="eastAsia" w:ascii="宋体" w:hAnsi="宋体" w:cs="宋体"/>
          <w:color w:val="auto"/>
          <w:highlight w:val="none"/>
        </w:rPr>
        <w:t>万元违约金。更换后的项目经理资历、水平不得降低。</w:t>
      </w:r>
    </w:p>
    <w:p w14:paraId="72EF205F">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21.2 变更与调整</w:t>
      </w:r>
    </w:p>
    <w:p w14:paraId="0F4AB26D">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21.2.1 在工程移交前，发包人代表有权签发变更指令，承包人应按照指令来实施变更，并进行工期和费用的估算，提交发包人代表。</w:t>
      </w:r>
    </w:p>
    <w:p w14:paraId="20F14CF2">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21.2.2 发包人代表收到承包人的估算后，可以决定撤销、修改或确认实施该项变更。</w:t>
      </w:r>
    </w:p>
    <w:p w14:paraId="14B5A3A2">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21.2.3 如果承包人认为自己的建议能缩短工期、降低工程实施或运营成本，或对业主产生其他利益，可以向发包人代表提交建议书；建议书的编制费用自理。</w:t>
      </w:r>
    </w:p>
    <w:p w14:paraId="7B0C8575">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21.2.4 如果发包人采纳承包人的建议节省了工程费用，将给予承包人节约费用适当比例的奖励。</w:t>
      </w:r>
    </w:p>
    <w:p w14:paraId="4DFE21B0">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21.2.5 上一款中节省费用的计算方法为：降低的合同额度减去因变更而引起在工程质量、寿命、以及运营效率等方面为发包人带来的潜在损失。</w:t>
      </w:r>
    </w:p>
    <w:p w14:paraId="39306E1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21.2.6 任何变更指令都应由发包人代表签发给承包人，承包人收到后应回函说明；涉及到费用调整的，按照相关条款执行。</w:t>
      </w:r>
    </w:p>
    <w:p w14:paraId="1A4BAA9F">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1977B36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21.2.8 未经发包人代表批准，承包人不得对工程进行任何变更。</w:t>
      </w:r>
    </w:p>
    <w:p w14:paraId="7F26FFDE">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21.3 分包与配合</w:t>
      </w:r>
    </w:p>
    <w:p w14:paraId="669DBDC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21.3.1 承包人进行工程分包的，应遵守通用条款相关规定，发包人视其为承包人自行施工的工程；发包人代表对分包的同意或批准并不解除承包人的任何责任，也不代表发包人对此承担任何责任。</w:t>
      </w:r>
    </w:p>
    <w:p w14:paraId="6C54BBDF">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21.3.2 发包人分包的专业工程范围如下： </w:t>
      </w:r>
    </w:p>
    <w:p w14:paraId="2C0ED9CD">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3834F6AF">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32E2AAEC">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21.3.3 发包人通过招标方式选择专业工程分包施工单位，承包人参与分包工程的招标，认可招标结果，并作为总包单位与分包工程的中标人（以下简称“分包人”）签订工程分包施工合同。</w:t>
      </w:r>
    </w:p>
    <w:p w14:paraId="08468F72">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21.3.4 发包人支付给承包人专业分包工程合同价款（不含设备价格）的</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%作为总承包服务配合费用，承包人不得向分包人收取其他费用；该项费用包括但不限于以下内容：</w:t>
      </w:r>
    </w:p>
    <w:p w14:paraId="65AE02B5">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（1）乙方承担总包责任所发生的费用。</w:t>
      </w:r>
    </w:p>
    <w:p w14:paraId="316CD25D">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（2）“分包工程”施工完毕、土建工程的收尾和修复以及使用承包人的施工所用水电管线等费用（水电费用装表计量，按照实际用量结算）。</w:t>
      </w:r>
    </w:p>
    <w:p w14:paraId="76D5061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（3）分包人使用承包人现场临时工程及在用的脚手架、塔吊、施工电梯等费用。</w:t>
      </w:r>
    </w:p>
    <w:p w14:paraId="72A796C6">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（4）分包人使用工程的施工道路，到总包单位搭伙，使用总包单位的卫生间等。</w:t>
      </w:r>
    </w:p>
    <w:p w14:paraId="773A500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（5）门窗洞口、安装工程管道口、楼地面墙面凿洞、槽等的后塞及修补等，以及整个工程的安全保卫等。</w:t>
      </w:r>
    </w:p>
    <w:p w14:paraId="5BF0531E">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（6）为分包人提供标高、轴线、定位，隐蔽工程指引等。</w:t>
      </w:r>
    </w:p>
    <w:p w14:paraId="193D5EB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（7）分包人的工程资料收集整理和移交；工程质量的检验和验收。</w:t>
      </w:r>
    </w:p>
    <w:p w14:paraId="110ED0C4">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（8）保证分包工程在施工期间有足够的工作面，保证其按时开工和连续施工，并承担因乙方原因使分包工程不能按时开工和配合不及时造成的工期延误责任。</w:t>
      </w:r>
    </w:p>
    <w:p w14:paraId="130EB55A">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21.3.5 配合工程：是指某一位于施工现场内或现场外的工程，并非由承包人施工或总包，但与承包人的工程有一定联系，需要承包人配合的工程；配合工程如下：</w:t>
      </w:r>
    </w:p>
    <w:p w14:paraId="0FEC580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 xml:space="preserve">                                     </w:t>
      </w:r>
    </w:p>
    <w:p w14:paraId="397AD0FF">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p>
    <w:p w14:paraId="2F86CC81">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21.3.6 对于配合工程，承包人除不需要承办总包责任外，其他责任和义务同分包工程；发包人给予承包人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万元作为承包人承担配合工作的配合费用。</w:t>
      </w:r>
    </w:p>
    <w:p w14:paraId="1C06524B">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21.3.7 凡在与已交工工程有关联的部位施工时，必须提前向甲方提出书面联系单，经甲方同意，并签字后方可施工。</w:t>
      </w:r>
    </w:p>
    <w:p w14:paraId="22296C65">
      <w:pPr>
        <w:keepNext/>
        <w:keepLines/>
        <w:adjustRightInd w:val="0"/>
        <w:snapToGrid w:val="0"/>
        <w:spacing w:line="384" w:lineRule="auto"/>
        <w:ind w:firstLine="420" w:firstLineChars="200"/>
        <w:outlineLvl w:val="3"/>
        <w:rPr>
          <w:rFonts w:hint="eastAsia" w:ascii="宋体" w:hAnsi="宋体" w:cs="宋体"/>
          <w:bCs/>
          <w:color w:val="auto"/>
          <w:szCs w:val="28"/>
          <w:highlight w:val="none"/>
        </w:rPr>
      </w:pPr>
      <w:r>
        <w:rPr>
          <w:rFonts w:hint="eastAsia" w:ascii="宋体" w:hAnsi="宋体" w:cs="宋体"/>
          <w:bCs/>
          <w:color w:val="auto"/>
          <w:szCs w:val="28"/>
          <w:highlight w:val="none"/>
        </w:rPr>
        <w:t>21.4 结算</w:t>
      </w:r>
    </w:p>
    <w:p w14:paraId="57373FAE">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21.4.1 承包人的投标报价（合同价款）是承包人基于业主提供的资料和现场数据及承包人的解释和现场考察计算出来的，覆盖了完成合同义务所包括的一切工作，不得以漏项或考虑不周提出索赔。</w:t>
      </w:r>
    </w:p>
    <w:p w14:paraId="69D578DF">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21.4.2 水电费的结算：</w:t>
      </w:r>
    </w:p>
    <w:p w14:paraId="45D05E8C">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（1）发包人在现场安装计量装置，承包人负责施工期间的保护，并在工程移交的同时完好地移交给发包人。</w:t>
      </w:r>
    </w:p>
    <w:p w14:paraId="7A3080D7">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（2）承包人投标报价已经包含水电费用，工程结算时按照发包人实际缴纳的水电费在结算价（税前）中扣除。</w:t>
      </w:r>
    </w:p>
    <w:p w14:paraId="4A1FBA29">
      <w:pPr>
        <w:adjustRightInd w:val="0"/>
        <w:snapToGrid w:val="0"/>
        <w:spacing w:line="384"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（3）因承包人保护不善造成计量装置损坏，承包人负责修复，并承担由此造成的增加费用（包括修复费用和水电损失费用以及可能发生的罚款或其他费用）。</w:t>
      </w:r>
    </w:p>
    <w:p w14:paraId="4BC9ACFF">
      <w:pPr>
        <w:adjustRightInd w:val="0"/>
        <w:snapToGrid w:val="0"/>
        <w:spacing w:line="384" w:lineRule="auto"/>
        <w:ind w:firstLine="420" w:firstLineChars="200"/>
        <w:rPr>
          <w:rFonts w:hint="eastAsia" w:ascii="宋体" w:hAnsi="宋体" w:cs="宋体"/>
          <w:color w:val="auto"/>
          <w:kern w:val="0"/>
          <w:highlight w:val="none"/>
          <w:u w:val="single" w:color="FFFFFF"/>
        </w:rPr>
      </w:pPr>
      <w:r>
        <w:rPr>
          <w:rFonts w:hint="eastAsia" w:ascii="宋体" w:hAnsi="宋体" w:cs="宋体"/>
          <w:color w:val="auto"/>
          <w:kern w:val="0"/>
          <w:highlight w:val="none"/>
          <w:u w:val="single" w:color="FFFFFF"/>
        </w:rPr>
        <w:t>21.4.3 发包人供应材料设备的结算：材料按照总价的</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color="FFFFFF"/>
        </w:rPr>
        <w:t xml:space="preserve"> %计取保管费（材料数量最多不超过设计文件的用量（可以计算定额损耗））；设备按照总价的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color="FFFFFF"/>
        </w:rPr>
        <w:t xml:space="preserve"> %计取保管费；此费用仅计取税金。</w:t>
      </w:r>
    </w:p>
    <w:p w14:paraId="2D325310">
      <w:pPr>
        <w:adjustRightInd w:val="0"/>
        <w:snapToGrid w:val="0"/>
        <w:spacing w:line="384" w:lineRule="auto"/>
        <w:ind w:firstLine="422" w:firstLineChars="200"/>
        <w:rPr>
          <w:rFonts w:hint="eastAsia" w:ascii="宋体" w:hAnsi="宋体" w:cs="宋体"/>
          <w:b/>
          <w:bCs/>
          <w:color w:val="auto"/>
          <w:kern w:val="0"/>
          <w:highlight w:val="none"/>
        </w:rPr>
      </w:pPr>
      <w:r>
        <w:rPr>
          <w:rFonts w:hint="eastAsia" w:ascii="宋体" w:hAnsi="宋体" w:cs="宋体"/>
          <w:b/>
          <w:bCs/>
          <w:color w:val="auto"/>
          <w:kern w:val="0"/>
          <w:highlight w:val="none"/>
        </w:rPr>
        <w:t>21.4.4 分包工程的总承包配合费和配合工程的配合费：分包工程的总承包配合费按照分包工程价格确定，一次包死，不随分包工程结算价款的调整而调整；配合工程的配合费也一次包死；该两项费用仅计取税金。</w:t>
      </w:r>
    </w:p>
    <w:p w14:paraId="6F419DB7">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21.4.5对于发包人提供的工程量清单中的单项子目，承包人没有报价的，发包人认为视同该项价格已经包括在其他项目中。</w:t>
      </w:r>
    </w:p>
    <w:p w14:paraId="7C589B53">
      <w:pPr>
        <w:adjustRightInd w:val="0"/>
        <w:snapToGrid w:val="0"/>
        <w:spacing w:line="360" w:lineRule="auto"/>
        <w:rPr>
          <w:rFonts w:hint="eastAsia" w:ascii="宋体" w:hAnsi="宋体" w:cs="宋体"/>
          <w:b/>
          <w:color w:val="auto"/>
          <w:highlight w:val="none"/>
        </w:rPr>
      </w:pPr>
    </w:p>
    <w:p w14:paraId="5D4A2827">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发包人：  (公章)                           承包人：  (公章)</w:t>
      </w:r>
    </w:p>
    <w:p w14:paraId="39C83731">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法定代表人或其委托代理人：                 法定代表人或其委托代理人：</w:t>
      </w:r>
    </w:p>
    <w:p w14:paraId="40D0A9CC">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（签字）                                  （签字）</w:t>
      </w:r>
    </w:p>
    <w:p w14:paraId="644597B3">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组织机构代码：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组织机构代码：</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7988E8B2">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                  </w:t>
      </w:r>
    </w:p>
    <w:p w14:paraId="74547511">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p>
    <w:p w14:paraId="0E3496D3">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法定代表人：</w:t>
      </w:r>
      <w:r>
        <w:rPr>
          <w:rFonts w:hint="eastAsia" w:ascii="宋体" w:hAnsi="宋体" w:cs="宋体"/>
          <w:color w:val="auto"/>
          <w:highlight w:val="none"/>
          <w:u w:val="single"/>
        </w:rPr>
        <w:t xml:space="preserve">             </w:t>
      </w:r>
    </w:p>
    <w:p w14:paraId="605F9F9B">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委托代理人：</w:t>
      </w:r>
      <w:r>
        <w:rPr>
          <w:rFonts w:hint="eastAsia" w:ascii="宋体" w:hAnsi="宋体" w:cs="宋体"/>
          <w:color w:val="auto"/>
          <w:highlight w:val="none"/>
          <w:u w:val="single"/>
        </w:rPr>
        <w:t xml:space="preserve">                 </w:t>
      </w:r>
    </w:p>
    <w:p w14:paraId="71D90055">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w:t>
      </w:r>
    </w:p>
    <w:p w14:paraId="02F2C244">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w:t>
      </w:r>
    </w:p>
    <w:p w14:paraId="368C7869">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电子信箱：</w:t>
      </w:r>
      <w:r>
        <w:rPr>
          <w:rFonts w:hint="eastAsia" w:ascii="宋体" w:hAnsi="宋体" w:cs="宋体"/>
          <w:color w:val="auto"/>
          <w:highlight w:val="none"/>
          <w:u w:val="single"/>
        </w:rPr>
        <w:t xml:space="preserve">                   </w:t>
      </w:r>
    </w:p>
    <w:p w14:paraId="66FFC092">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 xml:space="preserve">                   </w:t>
      </w:r>
    </w:p>
    <w:p w14:paraId="7DB48813">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账  号：</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账  号：</w:t>
      </w:r>
      <w:r>
        <w:rPr>
          <w:rFonts w:hint="eastAsia" w:ascii="宋体" w:hAnsi="宋体" w:cs="宋体"/>
          <w:color w:val="auto"/>
          <w:highlight w:val="none"/>
          <w:u w:val="single"/>
        </w:rPr>
        <w:t xml:space="preserve">                     </w:t>
      </w:r>
    </w:p>
    <w:p w14:paraId="1499E0B2">
      <w:pPr>
        <w:spacing w:line="360" w:lineRule="auto"/>
        <w:rPr>
          <w:rFonts w:hint="eastAsia" w:ascii="宋体" w:hAnsi="宋体" w:cs="宋体"/>
          <w:color w:val="auto"/>
          <w:highlight w:val="none"/>
        </w:rPr>
      </w:pPr>
    </w:p>
    <w:p w14:paraId="6F569D67">
      <w:pPr>
        <w:spacing w:line="360" w:lineRule="auto"/>
        <w:rPr>
          <w:rFonts w:hint="eastAsia" w:ascii="宋体" w:hAnsi="宋体" w:cs="宋体"/>
          <w:color w:val="auto"/>
          <w:highlight w:val="none"/>
        </w:rPr>
      </w:pPr>
    </w:p>
    <w:p w14:paraId="531058B2">
      <w:pPr>
        <w:spacing w:line="240" w:lineRule="auto"/>
        <w:rPr>
          <w:rFonts w:hint="eastAsia" w:ascii="宋体" w:hAnsi="宋体" w:cs="宋体"/>
          <w:color w:val="auto"/>
          <w:highlight w:val="none"/>
        </w:rPr>
      </w:pPr>
      <w:r>
        <w:rPr>
          <w:rFonts w:hint="eastAsia" w:ascii="宋体" w:hAnsi="宋体" w:cs="宋体"/>
          <w:color w:val="auto"/>
          <w:highlight w:val="none"/>
        </w:rPr>
        <w:br w:type="page"/>
      </w:r>
    </w:p>
    <w:p w14:paraId="3B1612CD">
      <w:pPr>
        <w:spacing w:line="360" w:lineRule="auto"/>
        <w:rPr>
          <w:rFonts w:hint="eastAsia" w:ascii="宋体" w:hAnsi="宋体" w:cs="宋体"/>
          <w:color w:val="auto"/>
          <w:highlight w:val="none"/>
        </w:rPr>
      </w:pPr>
      <w:r>
        <w:rPr>
          <w:rFonts w:hint="eastAsia" w:ascii="宋体" w:hAnsi="宋体" w:cs="宋体"/>
          <w:color w:val="auto"/>
          <w:highlight w:val="none"/>
        </w:rPr>
        <w:t>协议书附件：</w:t>
      </w:r>
    </w:p>
    <w:p w14:paraId="4FAAB085">
      <w:pPr>
        <w:spacing w:line="360" w:lineRule="auto"/>
        <w:rPr>
          <w:rFonts w:hint="eastAsia" w:ascii="宋体" w:hAnsi="宋体" w:cs="宋体"/>
          <w:color w:val="auto"/>
          <w:highlight w:val="none"/>
        </w:rPr>
      </w:pPr>
      <w:r>
        <w:rPr>
          <w:rFonts w:hint="eastAsia" w:ascii="宋体" w:hAnsi="宋体" w:cs="宋体"/>
          <w:color w:val="auto"/>
          <w:highlight w:val="none"/>
        </w:rPr>
        <w:t>附件1：承包人承揽工程项目一览表</w:t>
      </w:r>
    </w:p>
    <w:p w14:paraId="5CB283E8">
      <w:pPr>
        <w:spacing w:line="360" w:lineRule="auto"/>
        <w:rPr>
          <w:rFonts w:hint="eastAsia" w:ascii="宋体" w:hAnsi="宋体" w:cs="宋体"/>
          <w:color w:val="auto"/>
          <w:highlight w:val="none"/>
        </w:rPr>
      </w:pPr>
      <w:r>
        <w:rPr>
          <w:rFonts w:hint="eastAsia" w:ascii="宋体" w:hAnsi="宋体" w:cs="宋体"/>
          <w:color w:val="auto"/>
          <w:highlight w:val="none"/>
        </w:rPr>
        <w:t>专用合同条款附件：</w:t>
      </w:r>
    </w:p>
    <w:p w14:paraId="06260759">
      <w:pPr>
        <w:spacing w:line="360" w:lineRule="auto"/>
        <w:rPr>
          <w:rFonts w:hint="eastAsia" w:ascii="宋体" w:hAnsi="宋体" w:cs="宋体"/>
          <w:color w:val="auto"/>
          <w:highlight w:val="none"/>
        </w:rPr>
      </w:pPr>
      <w:r>
        <w:rPr>
          <w:rFonts w:hint="eastAsia" w:ascii="宋体" w:hAnsi="宋体" w:cs="宋体"/>
          <w:color w:val="auto"/>
          <w:highlight w:val="none"/>
        </w:rPr>
        <w:t>附件2：发包人供应材料设备一览表</w:t>
      </w:r>
    </w:p>
    <w:p w14:paraId="3BE26478">
      <w:pPr>
        <w:spacing w:line="360" w:lineRule="auto"/>
        <w:rPr>
          <w:rFonts w:hint="eastAsia" w:ascii="宋体" w:hAnsi="宋体" w:cs="宋体"/>
          <w:color w:val="auto"/>
          <w:highlight w:val="none"/>
        </w:rPr>
      </w:pPr>
      <w:r>
        <w:rPr>
          <w:rFonts w:hint="eastAsia" w:ascii="宋体" w:hAnsi="宋体" w:cs="宋体"/>
          <w:color w:val="auto"/>
          <w:highlight w:val="none"/>
        </w:rPr>
        <w:t>附件3：工程质量保修书</w:t>
      </w:r>
    </w:p>
    <w:p w14:paraId="5A3D07B6">
      <w:pPr>
        <w:spacing w:line="360" w:lineRule="auto"/>
        <w:rPr>
          <w:rFonts w:hint="eastAsia" w:ascii="宋体" w:hAnsi="宋体" w:cs="宋体"/>
          <w:color w:val="auto"/>
          <w:highlight w:val="none"/>
        </w:rPr>
      </w:pPr>
      <w:r>
        <w:rPr>
          <w:rFonts w:hint="eastAsia" w:ascii="宋体" w:hAnsi="宋体" w:cs="宋体"/>
          <w:color w:val="auto"/>
          <w:highlight w:val="none"/>
        </w:rPr>
        <w:t>附件4：主要建设工程文件目录</w:t>
      </w:r>
    </w:p>
    <w:p w14:paraId="728C6158">
      <w:pPr>
        <w:spacing w:line="360" w:lineRule="auto"/>
        <w:rPr>
          <w:rFonts w:hint="eastAsia" w:ascii="宋体" w:hAnsi="宋体" w:cs="宋体"/>
          <w:color w:val="auto"/>
          <w:highlight w:val="none"/>
        </w:rPr>
      </w:pPr>
      <w:r>
        <w:rPr>
          <w:rFonts w:hint="eastAsia" w:ascii="宋体" w:hAnsi="宋体" w:cs="宋体"/>
          <w:color w:val="auto"/>
          <w:highlight w:val="none"/>
        </w:rPr>
        <w:t>附件5：承包人用于本工程施工的机械设备表</w:t>
      </w:r>
    </w:p>
    <w:p w14:paraId="211A9AD8">
      <w:pPr>
        <w:spacing w:line="360" w:lineRule="auto"/>
        <w:rPr>
          <w:rFonts w:hint="eastAsia" w:ascii="宋体" w:hAnsi="宋体" w:cs="宋体"/>
          <w:color w:val="auto"/>
          <w:highlight w:val="none"/>
        </w:rPr>
      </w:pPr>
      <w:r>
        <w:rPr>
          <w:rFonts w:hint="eastAsia" w:ascii="宋体" w:hAnsi="宋体" w:cs="宋体"/>
          <w:color w:val="auto"/>
          <w:highlight w:val="none"/>
        </w:rPr>
        <w:t>附件6：承包人主要施工管理人员表</w:t>
      </w:r>
    </w:p>
    <w:p w14:paraId="5C5BB927">
      <w:pPr>
        <w:spacing w:line="360" w:lineRule="auto"/>
        <w:rPr>
          <w:rFonts w:hint="eastAsia" w:ascii="宋体" w:hAnsi="宋体" w:cs="宋体"/>
          <w:color w:val="auto"/>
          <w:highlight w:val="none"/>
        </w:rPr>
      </w:pPr>
      <w:r>
        <w:rPr>
          <w:rFonts w:hint="eastAsia" w:ascii="宋体" w:hAnsi="宋体" w:cs="宋体"/>
          <w:color w:val="auto"/>
          <w:highlight w:val="none"/>
        </w:rPr>
        <w:t>附件7：分包人主要施工管理人员表</w:t>
      </w:r>
    </w:p>
    <w:p w14:paraId="060D2CE3">
      <w:pPr>
        <w:spacing w:line="360" w:lineRule="auto"/>
        <w:rPr>
          <w:rFonts w:hint="eastAsia" w:ascii="宋体" w:hAnsi="宋体" w:cs="宋体"/>
          <w:color w:val="auto"/>
          <w:highlight w:val="none"/>
        </w:rPr>
      </w:pPr>
      <w:r>
        <w:rPr>
          <w:rFonts w:hint="eastAsia" w:ascii="宋体" w:hAnsi="宋体" w:cs="宋体"/>
          <w:color w:val="auto"/>
          <w:highlight w:val="none"/>
        </w:rPr>
        <w:t>附件8：廉政协议</w:t>
      </w:r>
    </w:p>
    <w:p w14:paraId="0EC500A0">
      <w:pPr>
        <w:spacing w:line="360" w:lineRule="auto"/>
        <w:rPr>
          <w:rFonts w:hint="eastAsia" w:ascii="宋体" w:hAnsi="宋体" w:cs="宋体"/>
          <w:color w:val="auto"/>
          <w:highlight w:val="none"/>
        </w:rPr>
      </w:pPr>
      <w:r>
        <w:rPr>
          <w:rFonts w:hint="eastAsia" w:ascii="宋体" w:hAnsi="宋体" w:cs="宋体"/>
          <w:color w:val="auto"/>
          <w:highlight w:val="none"/>
        </w:rPr>
        <w:t>附件9：履约保证金格式</w:t>
      </w:r>
    </w:p>
    <w:p w14:paraId="4CAD5DCF">
      <w:pPr>
        <w:spacing w:line="360" w:lineRule="auto"/>
        <w:rPr>
          <w:rFonts w:hint="eastAsia" w:ascii="宋体" w:hAnsi="宋体" w:cs="宋体"/>
          <w:color w:val="auto"/>
          <w:highlight w:val="none"/>
        </w:rPr>
      </w:pPr>
      <w:r>
        <w:rPr>
          <w:rFonts w:hint="eastAsia" w:ascii="宋体" w:hAnsi="宋体" w:cs="宋体"/>
          <w:color w:val="auto"/>
          <w:highlight w:val="none"/>
        </w:rPr>
        <w:t>附件10：支付担保格式</w:t>
      </w:r>
    </w:p>
    <w:p w14:paraId="6F0B381B">
      <w:pPr>
        <w:spacing w:line="360" w:lineRule="auto"/>
        <w:rPr>
          <w:rFonts w:hint="eastAsia" w:ascii="宋体" w:hAnsi="宋体" w:cs="宋体"/>
          <w:color w:val="auto"/>
          <w:highlight w:val="none"/>
        </w:rPr>
      </w:pPr>
      <w:r>
        <w:rPr>
          <w:rFonts w:hint="eastAsia" w:ascii="宋体" w:hAnsi="宋体" w:cs="宋体"/>
          <w:color w:val="auto"/>
          <w:highlight w:val="none"/>
        </w:rPr>
        <w:t>附件11：暂估价一览表</w:t>
      </w:r>
    </w:p>
    <w:p w14:paraId="434D9BB5">
      <w:pPr>
        <w:spacing w:line="360" w:lineRule="auto"/>
        <w:rPr>
          <w:rFonts w:hint="eastAsia" w:ascii="宋体" w:hAnsi="宋体" w:cs="宋体"/>
          <w:color w:val="auto"/>
          <w:highlight w:val="none"/>
        </w:rPr>
      </w:pPr>
      <w:r>
        <w:rPr>
          <w:rFonts w:hint="eastAsia" w:ascii="宋体" w:hAnsi="宋体" w:cs="宋体"/>
          <w:color w:val="auto"/>
          <w:highlight w:val="none"/>
        </w:rPr>
        <w:t>附件12：安全生产合同</w:t>
      </w:r>
    </w:p>
    <w:p w14:paraId="65B870B9">
      <w:pPr>
        <w:spacing w:line="360" w:lineRule="auto"/>
        <w:rPr>
          <w:rFonts w:hint="eastAsia" w:ascii="宋体" w:hAnsi="宋体" w:cs="宋体"/>
          <w:color w:val="auto"/>
          <w:highlight w:val="none"/>
        </w:rPr>
      </w:pPr>
      <w:r>
        <w:rPr>
          <w:rFonts w:hint="eastAsia" w:ascii="宋体" w:hAnsi="宋体" w:cs="宋体"/>
          <w:color w:val="auto"/>
          <w:highlight w:val="none"/>
        </w:rPr>
        <w:t>附件13：项目经理质量终身责任制承诺</w:t>
      </w:r>
    </w:p>
    <w:p w14:paraId="06C8E9DD">
      <w:pPr>
        <w:pStyle w:val="2"/>
        <w:ind w:left="0" w:leftChars="0" w:firstLine="0" w:firstLineChars="0"/>
        <w:rPr>
          <w:rFonts w:hint="eastAsia"/>
          <w:color w:val="auto"/>
          <w:highlight w:val="none"/>
        </w:rPr>
      </w:pPr>
      <w:r>
        <w:rPr>
          <w:rFonts w:hint="eastAsia"/>
          <w:color w:val="auto"/>
          <w:highlight w:val="none"/>
        </w:rPr>
        <w:t>附件14：联合体协议书（如有）</w:t>
      </w:r>
    </w:p>
    <w:p w14:paraId="2748FB9E">
      <w:pPr>
        <w:pStyle w:val="2"/>
        <w:rPr>
          <w:rFonts w:hint="eastAsia"/>
          <w:color w:val="auto"/>
          <w:highlight w:val="none"/>
        </w:rPr>
      </w:pPr>
    </w:p>
    <w:p w14:paraId="658F835F">
      <w:pPr>
        <w:rPr>
          <w:rFonts w:hint="default" w:eastAsia="宋体"/>
          <w:color w:val="auto"/>
          <w:highlight w:val="none"/>
          <w:lang w:val="en-US" w:eastAsia="zh-CN"/>
        </w:rPr>
      </w:pPr>
      <w:r>
        <w:rPr>
          <w:rFonts w:hint="eastAsia"/>
          <w:color w:val="auto"/>
          <w:highlight w:val="none"/>
          <w:lang w:val="en-US" w:eastAsia="zh-CN"/>
        </w:rPr>
        <w:t xml:space="preserve">  </w:t>
      </w:r>
    </w:p>
    <w:p w14:paraId="70B5187A">
      <w:pPr>
        <w:pStyle w:val="2"/>
        <w:rPr>
          <w:rFonts w:hint="eastAsia"/>
          <w:color w:val="auto"/>
          <w:highlight w:val="none"/>
        </w:rPr>
      </w:pPr>
    </w:p>
    <w:p w14:paraId="2CAE960E">
      <w:pPr>
        <w:rPr>
          <w:rFonts w:hint="eastAsia"/>
          <w:color w:val="auto"/>
          <w:highlight w:val="none"/>
        </w:rPr>
      </w:pPr>
    </w:p>
    <w:p w14:paraId="536401C0">
      <w:pPr>
        <w:pStyle w:val="2"/>
        <w:rPr>
          <w:rFonts w:hint="eastAsia"/>
          <w:color w:val="auto"/>
          <w:highlight w:val="none"/>
        </w:rPr>
      </w:pPr>
    </w:p>
    <w:p w14:paraId="3FF93424">
      <w:pPr>
        <w:rPr>
          <w:rFonts w:hint="eastAsia"/>
          <w:color w:val="auto"/>
          <w:highlight w:val="none"/>
        </w:rPr>
      </w:pPr>
    </w:p>
    <w:p w14:paraId="417FDB75">
      <w:pPr>
        <w:pStyle w:val="2"/>
        <w:rPr>
          <w:rFonts w:hint="eastAsia"/>
          <w:color w:val="auto"/>
          <w:highlight w:val="none"/>
        </w:rPr>
      </w:pPr>
    </w:p>
    <w:p w14:paraId="79D46D80">
      <w:pPr>
        <w:rPr>
          <w:rFonts w:hint="eastAsia"/>
          <w:color w:val="auto"/>
          <w:highlight w:val="none"/>
        </w:rPr>
      </w:pPr>
    </w:p>
    <w:p w14:paraId="243E99B2">
      <w:pPr>
        <w:pStyle w:val="2"/>
        <w:rPr>
          <w:rFonts w:hint="eastAsia"/>
          <w:color w:val="auto"/>
          <w:highlight w:val="none"/>
        </w:rPr>
      </w:pPr>
    </w:p>
    <w:p w14:paraId="59E7547F">
      <w:pPr>
        <w:rPr>
          <w:rFonts w:hint="eastAsia"/>
          <w:color w:val="auto"/>
          <w:highlight w:val="none"/>
        </w:rPr>
      </w:pPr>
    </w:p>
    <w:p w14:paraId="3469700D">
      <w:pPr>
        <w:pStyle w:val="2"/>
        <w:rPr>
          <w:rFonts w:hint="eastAsia"/>
          <w:color w:val="auto"/>
          <w:highlight w:val="none"/>
        </w:rPr>
      </w:pPr>
    </w:p>
    <w:p w14:paraId="692B907C">
      <w:pPr>
        <w:pStyle w:val="2"/>
        <w:rPr>
          <w:rFonts w:hint="eastAsia"/>
          <w:color w:val="auto"/>
          <w:highlight w:val="none"/>
        </w:rPr>
      </w:pPr>
    </w:p>
    <w:p w14:paraId="0E63B3DB">
      <w:pPr>
        <w:rPr>
          <w:rFonts w:hint="eastAsia"/>
          <w:color w:val="auto"/>
          <w:highlight w:val="none"/>
        </w:rPr>
      </w:pPr>
    </w:p>
    <w:p w14:paraId="162BFC23">
      <w:pPr>
        <w:pStyle w:val="2"/>
        <w:rPr>
          <w:rFonts w:hint="eastAsia"/>
          <w:color w:val="auto"/>
          <w:highlight w:val="none"/>
        </w:rPr>
      </w:pPr>
    </w:p>
    <w:p w14:paraId="3E6A5339">
      <w:pPr>
        <w:pStyle w:val="2"/>
        <w:rPr>
          <w:rFonts w:hint="eastAsia"/>
          <w:color w:val="auto"/>
          <w:highlight w:val="none"/>
        </w:rPr>
      </w:pPr>
    </w:p>
    <w:p w14:paraId="6520F080">
      <w:pPr>
        <w:rPr>
          <w:rFonts w:hint="eastAsia"/>
          <w:color w:val="auto"/>
          <w:highlight w:val="none"/>
        </w:rPr>
      </w:pPr>
    </w:p>
    <w:p w14:paraId="235C5EE4">
      <w:pPr>
        <w:pStyle w:val="2"/>
        <w:rPr>
          <w:rFonts w:hint="eastAsia"/>
          <w:color w:val="auto"/>
          <w:highlight w:val="none"/>
        </w:rPr>
      </w:pPr>
    </w:p>
    <w:p w14:paraId="58D4406C">
      <w:pPr>
        <w:rPr>
          <w:rFonts w:hint="eastAsia"/>
          <w:color w:val="auto"/>
          <w:highlight w:val="none"/>
        </w:rPr>
      </w:pPr>
    </w:p>
    <w:p w14:paraId="1EF7DEA7">
      <w:pPr>
        <w:pStyle w:val="2"/>
        <w:rPr>
          <w:rFonts w:hint="eastAsia"/>
          <w:color w:val="auto"/>
          <w:highlight w:val="none"/>
        </w:rPr>
      </w:pPr>
    </w:p>
    <w:p w14:paraId="68043A62">
      <w:pPr>
        <w:rPr>
          <w:rFonts w:hint="eastAsia"/>
          <w:color w:val="auto"/>
          <w:highlight w:val="none"/>
        </w:rPr>
      </w:pPr>
    </w:p>
    <w:p w14:paraId="7F09E2CF">
      <w:pPr>
        <w:rPr>
          <w:rFonts w:hint="eastAsia"/>
          <w:color w:val="auto"/>
          <w:highlight w:val="none"/>
        </w:rPr>
      </w:pPr>
    </w:p>
    <w:p w14:paraId="6A3932D7">
      <w:pPr>
        <w:keepNext/>
        <w:keepLines/>
        <w:spacing w:before="120" w:after="120" w:line="360" w:lineRule="auto"/>
        <w:jc w:val="left"/>
        <w:outlineLvl w:val="2"/>
        <w:rPr>
          <w:rFonts w:hint="eastAsia" w:ascii="宋体" w:hAnsi="宋体" w:cs="宋体"/>
          <w:bCs/>
          <w:color w:val="auto"/>
          <w:sz w:val="24"/>
          <w:highlight w:val="none"/>
        </w:rPr>
      </w:pPr>
      <w:bookmarkStart w:id="910" w:name="_Toc95223486"/>
      <w:r>
        <w:rPr>
          <w:rFonts w:hint="eastAsia" w:ascii="宋体" w:hAnsi="宋体" w:cs="宋体"/>
          <w:bCs/>
          <w:color w:val="auto"/>
          <w:sz w:val="24"/>
          <w:highlight w:val="none"/>
        </w:rPr>
        <w:t>附件1：承包人承揽工程项目一览表</w:t>
      </w:r>
      <w:bookmarkEnd w:id="910"/>
    </w:p>
    <w:p w14:paraId="2EC96F5D">
      <w:pPr>
        <w:spacing w:line="360" w:lineRule="auto"/>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承包人承揽工程项目一览表</w:t>
      </w:r>
    </w:p>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134"/>
        <w:gridCol w:w="1134"/>
        <w:gridCol w:w="993"/>
        <w:gridCol w:w="708"/>
        <w:gridCol w:w="1134"/>
        <w:gridCol w:w="1134"/>
        <w:gridCol w:w="993"/>
        <w:gridCol w:w="708"/>
        <w:gridCol w:w="567"/>
      </w:tblGrid>
      <w:tr w14:paraId="77808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53EF04BD">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单位工程名称</w:t>
            </w:r>
          </w:p>
        </w:tc>
        <w:tc>
          <w:tcPr>
            <w:tcW w:w="1134" w:type="dxa"/>
            <w:tcBorders>
              <w:top w:val="single" w:color="auto" w:sz="12" w:space="0"/>
              <w:bottom w:val="double" w:color="auto" w:sz="6" w:space="0"/>
            </w:tcBorders>
            <w:noWrap w:val="0"/>
            <w:vAlign w:val="center"/>
          </w:tcPr>
          <w:p w14:paraId="052E6B14">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建设规模</w:t>
            </w:r>
          </w:p>
        </w:tc>
        <w:tc>
          <w:tcPr>
            <w:tcW w:w="1134" w:type="dxa"/>
            <w:tcBorders>
              <w:top w:val="single" w:color="auto" w:sz="12" w:space="0"/>
              <w:bottom w:val="double" w:color="auto" w:sz="6" w:space="0"/>
            </w:tcBorders>
            <w:noWrap w:val="0"/>
            <w:vAlign w:val="center"/>
          </w:tcPr>
          <w:p w14:paraId="1284C1C9">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建筑面积(平方米)</w:t>
            </w:r>
          </w:p>
        </w:tc>
        <w:tc>
          <w:tcPr>
            <w:tcW w:w="993" w:type="dxa"/>
            <w:tcBorders>
              <w:top w:val="single" w:color="auto" w:sz="12" w:space="0"/>
              <w:bottom w:val="double" w:color="auto" w:sz="6" w:space="0"/>
            </w:tcBorders>
            <w:noWrap w:val="0"/>
            <w:vAlign w:val="center"/>
          </w:tcPr>
          <w:p w14:paraId="5D6BAB4F">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结构形式</w:t>
            </w:r>
          </w:p>
        </w:tc>
        <w:tc>
          <w:tcPr>
            <w:tcW w:w="708" w:type="dxa"/>
            <w:tcBorders>
              <w:top w:val="single" w:color="auto" w:sz="12" w:space="0"/>
              <w:bottom w:val="double" w:color="auto" w:sz="6" w:space="0"/>
            </w:tcBorders>
            <w:noWrap w:val="0"/>
            <w:vAlign w:val="center"/>
          </w:tcPr>
          <w:p w14:paraId="772B58FF">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层数</w:t>
            </w:r>
          </w:p>
        </w:tc>
        <w:tc>
          <w:tcPr>
            <w:tcW w:w="1134" w:type="dxa"/>
            <w:tcBorders>
              <w:top w:val="single" w:color="auto" w:sz="12" w:space="0"/>
              <w:bottom w:val="double" w:color="auto" w:sz="6" w:space="0"/>
            </w:tcBorders>
            <w:noWrap w:val="0"/>
            <w:vAlign w:val="center"/>
          </w:tcPr>
          <w:p w14:paraId="67DF9D6E">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生产能力</w:t>
            </w:r>
          </w:p>
        </w:tc>
        <w:tc>
          <w:tcPr>
            <w:tcW w:w="1134" w:type="dxa"/>
            <w:tcBorders>
              <w:top w:val="single" w:color="auto" w:sz="12" w:space="0"/>
              <w:bottom w:val="double" w:color="auto" w:sz="6" w:space="0"/>
            </w:tcBorders>
            <w:noWrap w:val="0"/>
            <w:vAlign w:val="center"/>
          </w:tcPr>
          <w:p w14:paraId="7D4CAE45">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设备安装内容</w:t>
            </w:r>
          </w:p>
        </w:tc>
        <w:tc>
          <w:tcPr>
            <w:tcW w:w="993" w:type="dxa"/>
            <w:tcBorders>
              <w:top w:val="single" w:color="auto" w:sz="12" w:space="0"/>
              <w:bottom w:val="double" w:color="auto" w:sz="6" w:space="0"/>
            </w:tcBorders>
            <w:noWrap w:val="0"/>
            <w:vAlign w:val="center"/>
          </w:tcPr>
          <w:p w14:paraId="038C11A4">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合同价格（元）</w:t>
            </w:r>
          </w:p>
        </w:tc>
        <w:tc>
          <w:tcPr>
            <w:tcW w:w="708" w:type="dxa"/>
            <w:tcBorders>
              <w:top w:val="single" w:color="auto" w:sz="12" w:space="0"/>
              <w:bottom w:val="double" w:color="auto" w:sz="6" w:space="0"/>
            </w:tcBorders>
            <w:noWrap w:val="0"/>
            <w:vAlign w:val="center"/>
          </w:tcPr>
          <w:p w14:paraId="31094D4B">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开工日期</w:t>
            </w:r>
          </w:p>
        </w:tc>
        <w:tc>
          <w:tcPr>
            <w:tcW w:w="567" w:type="dxa"/>
            <w:tcBorders>
              <w:top w:val="single" w:color="auto" w:sz="12" w:space="0"/>
              <w:bottom w:val="double" w:color="auto" w:sz="6" w:space="0"/>
            </w:tcBorders>
            <w:noWrap w:val="0"/>
            <w:vAlign w:val="center"/>
          </w:tcPr>
          <w:p w14:paraId="0D4A7CF3">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竣工日期</w:t>
            </w:r>
          </w:p>
        </w:tc>
      </w:tr>
      <w:tr w14:paraId="3B1A4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6" w:space="0"/>
            </w:tcBorders>
            <w:noWrap w:val="0"/>
            <w:vAlign w:val="center"/>
          </w:tcPr>
          <w:p w14:paraId="7DA80FE3">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double" w:color="auto" w:sz="6" w:space="0"/>
            </w:tcBorders>
            <w:noWrap w:val="0"/>
            <w:vAlign w:val="center"/>
          </w:tcPr>
          <w:p w14:paraId="23F14F27">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double" w:color="auto" w:sz="6" w:space="0"/>
            </w:tcBorders>
            <w:noWrap w:val="0"/>
            <w:vAlign w:val="center"/>
          </w:tcPr>
          <w:p w14:paraId="1EC2B411">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3" w:type="dxa"/>
            <w:tcBorders>
              <w:top w:val="double" w:color="auto" w:sz="6" w:space="0"/>
            </w:tcBorders>
            <w:noWrap w:val="0"/>
            <w:vAlign w:val="center"/>
          </w:tcPr>
          <w:p w14:paraId="7B52AA7B">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708" w:type="dxa"/>
            <w:tcBorders>
              <w:top w:val="double" w:color="auto" w:sz="6" w:space="0"/>
            </w:tcBorders>
            <w:noWrap w:val="0"/>
            <w:vAlign w:val="center"/>
          </w:tcPr>
          <w:p w14:paraId="3D32902E">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double" w:color="auto" w:sz="6" w:space="0"/>
            </w:tcBorders>
            <w:noWrap w:val="0"/>
            <w:vAlign w:val="center"/>
          </w:tcPr>
          <w:p w14:paraId="684064DF">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double" w:color="auto" w:sz="6" w:space="0"/>
            </w:tcBorders>
            <w:noWrap w:val="0"/>
            <w:vAlign w:val="center"/>
          </w:tcPr>
          <w:p w14:paraId="36A60494">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3" w:type="dxa"/>
            <w:tcBorders>
              <w:top w:val="double" w:color="auto" w:sz="6" w:space="0"/>
            </w:tcBorders>
            <w:noWrap w:val="0"/>
            <w:vAlign w:val="center"/>
          </w:tcPr>
          <w:p w14:paraId="7E248C16">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708" w:type="dxa"/>
            <w:tcBorders>
              <w:top w:val="double" w:color="auto" w:sz="6" w:space="0"/>
            </w:tcBorders>
            <w:noWrap w:val="0"/>
            <w:vAlign w:val="center"/>
          </w:tcPr>
          <w:p w14:paraId="637B0FDF">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567" w:type="dxa"/>
            <w:tcBorders>
              <w:top w:val="double" w:color="auto" w:sz="6" w:space="0"/>
            </w:tcBorders>
            <w:noWrap w:val="0"/>
            <w:vAlign w:val="center"/>
          </w:tcPr>
          <w:p w14:paraId="5C270069">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r>
      <w:tr w14:paraId="07C7F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26E291B6">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nil"/>
            </w:tcBorders>
            <w:noWrap w:val="0"/>
            <w:vAlign w:val="center"/>
          </w:tcPr>
          <w:p w14:paraId="47E51154">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nil"/>
            </w:tcBorders>
            <w:noWrap w:val="0"/>
            <w:vAlign w:val="center"/>
          </w:tcPr>
          <w:p w14:paraId="5CEA50A2">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3" w:type="dxa"/>
            <w:tcBorders>
              <w:top w:val="nil"/>
            </w:tcBorders>
            <w:noWrap w:val="0"/>
            <w:vAlign w:val="center"/>
          </w:tcPr>
          <w:p w14:paraId="2D3D4CDF">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708" w:type="dxa"/>
            <w:tcBorders>
              <w:top w:val="nil"/>
            </w:tcBorders>
            <w:noWrap w:val="0"/>
            <w:vAlign w:val="center"/>
          </w:tcPr>
          <w:p w14:paraId="107BBB08">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nil"/>
            </w:tcBorders>
            <w:noWrap w:val="0"/>
            <w:vAlign w:val="center"/>
          </w:tcPr>
          <w:p w14:paraId="12FC4988">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nil"/>
            </w:tcBorders>
            <w:noWrap w:val="0"/>
            <w:vAlign w:val="center"/>
          </w:tcPr>
          <w:p w14:paraId="2D88E2CC">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3" w:type="dxa"/>
            <w:tcBorders>
              <w:top w:val="nil"/>
            </w:tcBorders>
            <w:noWrap w:val="0"/>
            <w:vAlign w:val="center"/>
          </w:tcPr>
          <w:p w14:paraId="466065CC">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708" w:type="dxa"/>
            <w:tcBorders>
              <w:top w:val="nil"/>
            </w:tcBorders>
            <w:noWrap w:val="0"/>
            <w:vAlign w:val="center"/>
          </w:tcPr>
          <w:p w14:paraId="284C586E">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567" w:type="dxa"/>
            <w:tcBorders>
              <w:top w:val="nil"/>
            </w:tcBorders>
            <w:noWrap w:val="0"/>
            <w:vAlign w:val="center"/>
          </w:tcPr>
          <w:p w14:paraId="40F1937E">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r>
      <w:tr w14:paraId="2A5BE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535A6082">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nil"/>
            </w:tcBorders>
            <w:noWrap w:val="0"/>
            <w:vAlign w:val="center"/>
          </w:tcPr>
          <w:p w14:paraId="66B26F81">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nil"/>
            </w:tcBorders>
            <w:noWrap w:val="0"/>
            <w:vAlign w:val="center"/>
          </w:tcPr>
          <w:p w14:paraId="245094F8">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3" w:type="dxa"/>
            <w:tcBorders>
              <w:top w:val="nil"/>
            </w:tcBorders>
            <w:noWrap w:val="0"/>
            <w:vAlign w:val="center"/>
          </w:tcPr>
          <w:p w14:paraId="096372E1">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708" w:type="dxa"/>
            <w:tcBorders>
              <w:top w:val="nil"/>
            </w:tcBorders>
            <w:noWrap w:val="0"/>
            <w:vAlign w:val="center"/>
          </w:tcPr>
          <w:p w14:paraId="38633EA2">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nil"/>
            </w:tcBorders>
            <w:noWrap w:val="0"/>
            <w:vAlign w:val="center"/>
          </w:tcPr>
          <w:p w14:paraId="301B9842">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top w:val="nil"/>
            </w:tcBorders>
            <w:noWrap w:val="0"/>
            <w:vAlign w:val="center"/>
          </w:tcPr>
          <w:p w14:paraId="4A8AA25C">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3" w:type="dxa"/>
            <w:tcBorders>
              <w:top w:val="nil"/>
            </w:tcBorders>
            <w:noWrap w:val="0"/>
            <w:vAlign w:val="center"/>
          </w:tcPr>
          <w:p w14:paraId="0697B4B0">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708" w:type="dxa"/>
            <w:tcBorders>
              <w:top w:val="nil"/>
            </w:tcBorders>
            <w:noWrap w:val="0"/>
            <w:vAlign w:val="center"/>
          </w:tcPr>
          <w:p w14:paraId="6B8D2C61">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567" w:type="dxa"/>
            <w:tcBorders>
              <w:top w:val="nil"/>
            </w:tcBorders>
            <w:noWrap w:val="0"/>
            <w:vAlign w:val="center"/>
          </w:tcPr>
          <w:p w14:paraId="1563E44B">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r>
      <w:tr w14:paraId="2AB31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bottom w:val="single" w:color="auto" w:sz="12" w:space="0"/>
            </w:tcBorders>
            <w:noWrap w:val="0"/>
            <w:vAlign w:val="center"/>
          </w:tcPr>
          <w:p w14:paraId="1A7C94FD">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bottom w:val="single" w:color="auto" w:sz="12" w:space="0"/>
            </w:tcBorders>
            <w:noWrap w:val="0"/>
            <w:vAlign w:val="center"/>
          </w:tcPr>
          <w:p w14:paraId="5A8C5098">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bottom w:val="single" w:color="auto" w:sz="12" w:space="0"/>
            </w:tcBorders>
            <w:noWrap w:val="0"/>
            <w:vAlign w:val="center"/>
          </w:tcPr>
          <w:p w14:paraId="4922CDC9">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3" w:type="dxa"/>
            <w:tcBorders>
              <w:bottom w:val="single" w:color="auto" w:sz="12" w:space="0"/>
            </w:tcBorders>
            <w:noWrap w:val="0"/>
            <w:vAlign w:val="center"/>
          </w:tcPr>
          <w:p w14:paraId="5AEFE79A">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708" w:type="dxa"/>
            <w:tcBorders>
              <w:bottom w:val="single" w:color="auto" w:sz="12" w:space="0"/>
            </w:tcBorders>
            <w:noWrap w:val="0"/>
            <w:vAlign w:val="center"/>
          </w:tcPr>
          <w:p w14:paraId="0D252D2E">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bottom w:val="single" w:color="auto" w:sz="12" w:space="0"/>
            </w:tcBorders>
            <w:noWrap w:val="0"/>
            <w:vAlign w:val="center"/>
          </w:tcPr>
          <w:p w14:paraId="2C67B399">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134" w:type="dxa"/>
            <w:tcBorders>
              <w:bottom w:val="single" w:color="auto" w:sz="12" w:space="0"/>
            </w:tcBorders>
            <w:noWrap w:val="0"/>
            <w:vAlign w:val="center"/>
          </w:tcPr>
          <w:p w14:paraId="6B5B0F7B">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3" w:type="dxa"/>
            <w:tcBorders>
              <w:bottom w:val="single" w:color="auto" w:sz="12" w:space="0"/>
            </w:tcBorders>
            <w:noWrap w:val="0"/>
            <w:vAlign w:val="center"/>
          </w:tcPr>
          <w:p w14:paraId="23B720E8">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708" w:type="dxa"/>
            <w:tcBorders>
              <w:bottom w:val="single" w:color="auto" w:sz="12" w:space="0"/>
            </w:tcBorders>
            <w:noWrap w:val="0"/>
            <w:vAlign w:val="center"/>
          </w:tcPr>
          <w:p w14:paraId="3F310B05">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567" w:type="dxa"/>
            <w:tcBorders>
              <w:bottom w:val="single" w:color="auto" w:sz="12" w:space="0"/>
            </w:tcBorders>
            <w:noWrap w:val="0"/>
            <w:vAlign w:val="center"/>
          </w:tcPr>
          <w:p w14:paraId="18A2E7D1">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r>
    </w:tbl>
    <w:p w14:paraId="387769EE">
      <w:pPr>
        <w:spacing w:line="360" w:lineRule="auto"/>
        <w:rPr>
          <w:rFonts w:hint="eastAsia" w:ascii="宋体" w:hAnsi="宋体" w:cs="宋体"/>
          <w:color w:val="auto"/>
          <w:sz w:val="22"/>
          <w:szCs w:val="21"/>
          <w:highlight w:val="none"/>
        </w:rPr>
      </w:pPr>
    </w:p>
    <w:p w14:paraId="6821CB25">
      <w:pPr>
        <w:spacing w:line="360" w:lineRule="auto"/>
        <w:rPr>
          <w:rFonts w:hint="eastAsia" w:ascii="宋体" w:hAnsi="宋体" w:cs="宋体"/>
          <w:color w:val="auto"/>
          <w:sz w:val="22"/>
          <w:szCs w:val="21"/>
          <w:highlight w:val="none"/>
        </w:rPr>
      </w:pPr>
    </w:p>
    <w:p w14:paraId="2A8DA98E">
      <w:pPr>
        <w:keepNext/>
        <w:keepLines/>
        <w:spacing w:before="120" w:after="120" w:line="360" w:lineRule="auto"/>
        <w:jc w:val="left"/>
        <w:outlineLvl w:val="2"/>
        <w:rPr>
          <w:rFonts w:hint="eastAsia" w:ascii="宋体" w:hAnsi="宋体" w:cs="宋体"/>
          <w:bCs/>
          <w:color w:val="auto"/>
          <w:sz w:val="24"/>
          <w:highlight w:val="none"/>
        </w:rPr>
      </w:pPr>
      <w:bookmarkStart w:id="911" w:name="_Toc95223487"/>
      <w:r>
        <w:rPr>
          <w:rFonts w:hint="eastAsia" w:ascii="宋体" w:hAnsi="宋体" w:cs="宋体"/>
          <w:bCs/>
          <w:color w:val="auto"/>
          <w:sz w:val="24"/>
          <w:highlight w:val="none"/>
        </w:rPr>
        <w:t>附</w:t>
      </w:r>
      <w:bookmarkStart w:id="912" w:name="_Toc296346726"/>
      <w:bookmarkStart w:id="913" w:name="_Toc296944564"/>
      <w:bookmarkStart w:id="914" w:name="_Toc296891265"/>
      <w:bookmarkStart w:id="915" w:name="_Toc267261692"/>
      <w:bookmarkStart w:id="916" w:name="_Toc296347224"/>
      <w:bookmarkStart w:id="917" w:name="_Toc296503225"/>
      <w:bookmarkStart w:id="918" w:name="_Toc296891053"/>
      <w:r>
        <w:rPr>
          <w:rFonts w:hint="eastAsia" w:ascii="宋体" w:hAnsi="宋体" w:cs="宋体"/>
          <w:bCs/>
          <w:color w:val="auto"/>
          <w:sz w:val="24"/>
          <w:highlight w:val="none"/>
        </w:rPr>
        <w:t>件2：发包人供应材料设备一览表</w:t>
      </w:r>
      <w:bookmarkEnd w:id="911"/>
    </w:p>
    <w:bookmarkEnd w:id="912"/>
    <w:bookmarkEnd w:id="913"/>
    <w:bookmarkEnd w:id="914"/>
    <w:bookmarkEnd w:id="915"/>
    <w:bookmarkEnd w:id="916"/>
    <w:bookmarkEnd w:id="917"/>
    <w:bookmarkEnd w:id="918"/>
    <w:p w14:paraId="672B1817">
      <w:pPr>
        <w:spacing w:line="360" w:lineRule="auto"/>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发包人供应材料设备一览表</w:t>
      </w:r>
    </w:p>
    <w:tbl>
      <w:tblPr>
        <w:tblStyle w:val="47"/>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38FC3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0CDCDDBF">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序号</w:t>
            </w:r>
          </w:p>
        </w:tc>
        <w:tc>
          <w:tcPr>
            <w:tcW w:w="1276" w:type="dxa"/>
            <w:tcBorders>
              <w:top w:val="single" w:color="auto" w:sz="12" w:space="0"/>
              <w:bottom w:val="double" w:color="auto" w:sz="6" w:space="0"/>
            </w:tcBorders>
            <w:noWrap w:val="0"/>
            <w:vAlign w:val="center"/>
          </w:tcPr>
          <w:p w14:paraId="3FC6CEB8">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材料、设备品种</w:t>
            </w:r>
          </w:p>
        </w:tc>
        <w:tc>
          <w:tcPr>
            <w:tcW w:w="1082" w:type="dxa"/>
            <w:tcBorders>
              <w:top w:val="single" w:color="auto" w:sz="12" w:space="0"/>
              <w:bottom w:val="double" w:color="auto" w:sz="6" w:space="0"/>
            </w:tcBorders>
            <w:noWrap w:val="0"/>
            <w:vAlign w:val="center"/>
          </w:tcPr>
          <w:p w14:paraId="72BE7B94">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规格型号</w:t>
            </w:r>
          </w:p>
        </w:tc>
        <w:tc>
          <w:tcPr>
            <w:tcW w:w="940" w:type="dxa"/>
            <w:tcBorders>
              <w:top w:val="single" w:color="auto" w:sz="12" w:space="0"/>
              <w:bottom w:val="double" w:color="auto" w:sz="6" w:space="0"/>
            </w:tcBorders>
            <w:noWrap w:val="0"/>
            <w:vAlign w:val="center"/>
          </w:tcPr>
          <w:p w14:paraId="258BEC8E">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单位</w:t>
            </w:r>
          </w:p>
        </w:tc>
        <w:tc>
          <w:tcPr>
            <w:tcW w:w="851" w:type="dxa"/>
            <w:tcBorders>
              <w:top w:val="single" w:color="auto" w:sz="12" w:space="0"/>
              <w:bottom w:val="double" w:color="auto" w:sz="6" w:space="0"/>
            </w:tcBorders>
            <w:noWrap w:val="0"/>
            <w:vAlign w:val="center"/>
          </w:tcPr>
          <w:p w14:paraId="0A6588E8">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数量</w:t>
            </w:r>
          </w:p>
        </w:tc>
        <w:tc>
          <w:tcPr>
            <w:tcW w:w="1044" w:type="dxa"/>
            <w:tcBorders>
              <w:top w:val="single" w:color="auto" w:sz="12" w:space="0"/>
              <w:bottom w:val="double" w:color="auto" w:sz="6" w:space="0"/>
            </w:tcBorders>
            <w:noWrap w:val="0"/>
            <w:vAlign w:val="center"/>
          </w:tcPr>
          <w:p w14:paraId="5A21BC43">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单价（元）</w:t>
            </w:r>
          </w:p>
        </w:tc>
        <w:tc>
          <w:tcPr>
            <w:tcW w:w="992" w:type="dxa"/>
            <w:tcBorders>
              <w:top w:val="single" w:color="auto" w:sz="12" w:space="0"/>
              <w:bottom w:val="double" w:color="auto" w:sz="6" w:space="0"/>
            </w:tcBorders>
            <w:noWrap w:val="0"/>
            <w:vAlign w:val="center"/>
          </w:tcPr>
          <w:p w14:paraId="406CB682">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质量等级</w:t>
            </w:r>
          </w:p>
        </w:tc>
        <w:tc>
          <w:tcPr>
            <w:tcW w:w="851" w:type="dxa"/>
            <w:tcBorders>
              <w:top w:val="single" w:color="auto" w:sz="12" w:space="0"/>
              <w:bottom w:val="double" w:color="auto" w:sz="6" w:space="0"/>
            </w:tcBorders>
            <w:noWrap w:val="0"/>
            <w:vAlign w:val="center"/>
          </w:tcPr>
          <w:p w14:paraId="6F6B5CBE">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供应时间</w:t>
            </w:r>
          </w:p>
        </w:tc>
        <w:tc>
          <w:tcPr>
            <w:tcW w:w="966" w:type="dxa"/>
            <w:tcBorders>
              <w:top w:val="single" w:color="auto" w:sz="12" w:space="0"/>
              <w:bottom w:val="double" w:color="auto" w:sz="6" w:space="0"/>
            </w:tcBorders>
            <w:noWrap w:val="0"/>
            <w:vAlign w:val="center"/>
          </w:tcPr>
          <w:p w14:paraId="5E71DE82">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送达地点</w:t>
            </w:r>
          </w:p>
        </w:tc>
        <w:tc>
          <w:tcPr>
            <w:tcW w:w="803" w:type="dxa"/>
            <w:tcBorders>
              <w:top w:val="single" w:color="auto" w:sz="12" w:space="0"/>
              <w:bottom w:val="double" w:color="auto" w:sz="6" w:space="0"/>
            </w:tcBorders>
            <w:noWrap w:val="0"/>
            <w:vAlign w:val="center"/>
          </w:tcPr>
          <w:p w14:paraId="7465E180">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r>
              <w:rPr>
                <w:rFonts w:hint="eastAsia" w:ascii="宋体" w:hAnsi="宋体" w:cs="宋体"/>
                <w:color w:val="auto"/>
                <w:sz w:val="22"/>
                <w:szCs w:val="21"/>
                <w:highlight w:val="none"/>
              </w:rPr>
              <w:t>备注</w:t>
            </w:r>
          </w:p>
        </w:tc>
      </w:tr>
      <w:tr w14:paraId="43AD0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3D19A364">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276" w:type="dxa"/>
            <w:tcBorders>
              <w:top w:val="double" w:color="auto" w:sz="6" w:space="0"/>
            </w:tcBorders>
            <w:noWrap w:val="0"/>
            <w:vAlign w:val="center"/>
          </w:tcPr>
          <w:p w14:paraId="2D825DA8">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082" w:type="dxa"/>
            <w:tcBorders>
              <w:top w:val="double" w:color="auto" w:sz="6" w:space="0"/>
            </w:tcBorders>
            <w:noWrap w:val="0"/>
            <w:vAlign w:val="center"/>
          </w:tcPr>
          <w:p w14:paraId="73BD2A84">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40" w:type="dxa"/>
            <w:tcBorders>
              <w:top w:val="double" w:color="auto" w:sz="6" w:space="0"/>
            </w:tcBorders>
            <w:noWrap w:val="0"/>
            <w:vAlign w:val="center"/>
          </w:tcPr>
          <w:p w14:paraId="377B37D0">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851" w:type="dxa"/>
            <w:tcBorders>
              <w:top w:val="double" w:color="auto" w:sz="6" w:space="0"/>
            </w:tcBorders>
            <w:noWrap w:val="0"/>
            <w:vAlign w:val="center"/>
          </w:tcPr>
          <w:p w14:paraId="4F0E674B">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044" w:type="dxa"/>
            <w:tcBorders>
              <w:top w:val="double" w:color="auto" w:sz="6" w:space="0"/>
            </w:tcBorders>
            <w:noWrap w:val="0"/>
            <w:vAlign w:val="center"/>
          </w:tcPr>
          <w:p w14:paraId="6F7E8858">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2" w:type="dxa"/>
            <w:tcBorders>
              <w:top w:val="double" w:color="auto" w:sz="6" w:space="0"/>
            </w:tcBorders>
            <w:noWrap w:val="0"/>
            <w:vAlign w:val="center"/>
          </w:tcPr>
          <w:p w14:paraId="36E4869B">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851" w:type="dxa"/>
            <w:tcBorders>
              <w:top w:val="double" w:color="auto" w:sz="6" w:space="0"/>
            </w:tcBorders>
            <w:noWrap w:val="0"/>
            <w:vAlign w:val="center"/>
          </w:tcPr>
          <w:p w14:paraId="321FE105">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66" w:type="dxa"/>
            <w:tcBorders>
              <w:top w:val="double" w:color="auto" w:sz="6" w:space="0"/>
            </w:tcBorders>
            <w:noWrap w:val="0"/>
            <w:vAlign w:val="center"/>
          </w:tcPr>
          <w:p w14:paraId="00C02C6E">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803" w:type="dxa"/>
            <w:tcBorders>
              <w:top w:val="double" w:color="auto" w:sz="6" w:space="0"/>
            </w:tcBorders>
            <w:noWrap w:val="0"/>
            <w:vAlign w:val="center"/>
          </w:tcPr>
          <w:p w14:paraId="3C510ED5">
            <w:pPr>
              <w:keepNext/>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r>
      <w:tr w14:paraId="23AF9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4A28E0E1">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276" w:type="dxa"/>
            <w:noWrap w:val="0"/>
            <w:vAlign w:val="center"/>
          </w:tcPr>
          <w:p w14:paraId="34E884A4">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082" w:type="dxa"/>
            <w:noWrap w:val="0"/>
            <w:vAlign w:val="center"/>
          </w:tcPr>
          <w:p w14:paraId="230746F7">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40" w:type="dxa"/>
            <w:noWrap w:val="0"/>
            <w:vAlign w:val="center"/>
          </w:tcPr>
          <w:p w14:paraId="49938AD1">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851" w:type="dxa"/>
            <w:noWrap w:val="0"/>
            <w:vAlign w:val="center"/>
          </w:tcPr>
          <w:p w14:paraId="1CA81227">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044" w:type="dxa"/>
            <w:noWrap w:val="0"/>
            <w:vAlign w:val="center"/>
          </w:tcPr>
          <w:p w14:paraId="3B72401B">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2" w:type="dxa"/>
            <w:noWrap w:val="0"/>
            <w:vAlign w:val="center"/>
          </w:tcPr>
          <w:p w14:paraId="1DB6DDC8">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851" w:type="dxa"/>
            <w:noWrap w:val="0"/>
            <w:vAlign w:val="center"/>
          </w:tcPr>
          <w:p w14:paraId="043CA2FB">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66" w:type="dxa"/>
            <w:noWrap w:val="0"/>
            <w:vAlign w:val="center"/>
          </w:tcPr>
          <w:p w14:paraId="6EEC9AA3">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803" w:type="dxa"/>
            <w:noWrap w:val="0"/>
            <w:vAlign w:val="center"/>
          </w:tcPr>
          <w:p w14:paraId="5D5AB0AA">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r>
      <w:tr w14:paraId="0379F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7F92C50C">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276" w:type="dxa"/>
            <w:tcBorders>
              <w:bottom w:val="single" w:color="auto" w:sz="12" w:space="0"/>
            </w:tcBorders>
            <w:noWrap w:val="0"/>
            <w:vAlign w:val="center"/>
          </w:tcPr>
          <w:p w14:paraId="4A502DB7">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082" w:type="dxa"/>
            <w:tcBorders>
              <w:bottom w:val="single" w:color="auto" w:sz="12" w:space="0"/>
            </w:tcBorders>
            <w:noWrap w:val="0"/>
            <w:vAlign w:val="center"/>
          </w:tcPr>
          <w:p w14:paraId="5ADB467E">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40" w:type="dxa"/>
            <w:tcBorders>
              <w:bottom w:val="single" w:color="auto" w:sz="12" w:space="0"/>
            </w:tcBorders>
            <w:noWrap w:val="0"/>
            <w:vAlign w:val="center"/>
          </w:tcPr>
          <w:p w14:paraId="09AEB94E">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851" w:type="dxa"/>
            <w:tcBorders>
              <w:bottom w:val="single" w:color="auto" w:sz="12" w:space="0"/>
            </w:tcBorders>
            <w:noWrap w:val="0"/>
            <w:vAlign w:val="center"/>
          </w:tcPr>
          <w:p w14:paraId="2AC792CC">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1044" w:type="dxa"/>
            <w:tcBorders>
              <w:bottom w:val="single" w:color="auto" w:sz="12" w:space="0"/>
            </w:tcBorders>
            <w:noWrap w:val="0"/>
            <w:vAlign w:val="center"/>
          </w:tcPr>
          <w:p w14:paraId="5A4D7635">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92" w:type="dxa"/>
            <w:tcBorders>
              <w:bottom w:val="single" w:color="auto" w:sz="12" w:space="0"/>
            </w:tcBorders>
            <w:noWrap w:val="0"/>
            <w:vAlign w:val="center"/>
          </w:tcPr>
          <w:p w14:paraId="3E695722">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851" w:type="dxa"/>
            <w:tcBorders>
              <w:bottom w:val="single" w:color="auto" w:sz="12" w:space="0"/>
            </w:tcBorders>
            <w:noWrap w:val="0"/>
            <w:vAlign w:val="center"/>
          </w:tcPr>
          <w:p w14:paraId="6FDB376D">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966" w:type="dxa"/>
            <w:tcBorders>
              <w:bottom w:val="single" w:color="auto" w:sz="12" w:space="0"/>
            </w:tcBorders>
            <w:noWrap w:val="0"/>
            <w:vAlign w:val="center"/>
          </w:tcPr>
          <w:p w14:paraId="71D58B27">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c>
          <w:tcPr>
            <w:tcW w:w="803" w:type="dxa"/>
            <w:tcBorders>
              <w:bottom w:val="single" w:color="auto" w:sz="12" w:space="0"/>
            </w:tcBorders>
            <w:noWrap w:val="0"/>
            <w:vAlign w:val="center"/>
          </w:tcPr>
          <w:p w14:paraId="044C9C35">
            <w:pPr>
              <w:keepNext w:val="0"/>
              <w:keepLines w:val="0"/>
              <w:suppressLineNumbers w:val="0"/>
              <w:snapToGrid w:val="0"/>
              <w:spacing w:before="0" w:beforeAutospacing="0" w:after="0" w:afterAutospacing="0" w:line="360" w:lineRule="auto"/>
              <w:ind w:left="0" w:right="0"/>
              <w:rPr>
                <w:rFonts w:hint="default" w:ascii="宋体" w:hAnsi="宋体" w:cs="宋体"/>
                <w:color w:val="auto"/>
                <w:sz w:val="22"/>
                <w:szCs w:val="21"/>
                <w:highlight w:val="none"/>
              </w:rPr>
            </w:pPr>
          </w:p>
        </w:tc>
      </w:tr>
    </w:tbl>
    <w:p w14:paraId="13B62F1E">
      <w:pPr>
        <w:pStyle w:val="2"/>
        <w:rPr>
          <w:rFonts w:hint="eastAsia"/>
          <w:color w:val="auto"/>
          <w:highlight w:val="none"/>
        </w:rPr>
      </w:pPr>
    </w:p>
    <w:p w14:paraId="2F11E6CB">
      <w:pPr>
        <w:rPr>
          <w:rFonts w:hint="eastAsia"/>
          <w:color w:val="auto"/>
          <w:highlight w:val="none"/>
        </w:rPr>
      </w:pPr>
    </w:p>
    <w:p w14:paraId="0F6B08DD">
      <w:pPr>
        <w:pStyle w:val="2"/>
        <w:rPr>
          <w:rFonts w:hint="eastAsia"/>
          <w:color w:val="auto"/>
          <w:highlight w:val="none"/>
        </w:rPr>
      </w:pPr>
    </w:p>
    <w:p w14:paraId="4433C7B6">
      <w:pPr>
        <w:rPr>
          <w:rFonts w:hint="eastAsia"/>
          <w:color w:val="auto"/>
          <w:highlight w:val="none"/>
        </w:rPr>
      </w:pPr>
    </w:p>
    <w:p w14:paraId="7FE7DFE8">
      <w:pPr>
        <w:pStyle w:val="2"/>
        <w:rPr>
          <w:rFonts w:hint="eastAsia"/>
          <w:color w:val="auto"/>
          <w:highlight w:val="none"/>
        </w:rPr>
      </w:pPr>
    </w:p>
    <w:p w14:paraId="196BC558">
      <w:pPr>
        <w:rPr>
          <w:rFonts w:hint="eastAsia"/>
          <w:color w:val="auto"/>
          <w:highlight w:val="none"/>
        </w:rPr>
      </w:pPr>
    </w:p>
    <w:p w14:paraId="79BDC82B">
      <w:pPr>
        <w:pStyle w:val="2"/>
        <w:rPr>
          <w:rFonts w:hint="eastAsia"/>
          <w:color w:val="auto"/>
          <w:highlight w:val="none"/>
        </w:rPr>
      </w:pPr>
    </w:p>
    <w:p w14:paraId="0FBBBCCE">
      <w:pPr>
        <w:rPr>
          <w:rFonts w:hint="eastAsia"/>
          <w:color w:val="auto"/>
          <w:highlight w:val="none"/>
        </w:rPr>
      </w:pPr>
    </w:p>
    <w:p w14:paraId="7E9CA27C">
      <w:pPr>
        <w:pStyle w:val="2"/>
        <w:rPr>
          <w:rFonts w:hint="eastAsia"/>
          <w:color w:val="auto"/>
          <w:highlight w:val="none"/>
        </w:rPr>
      </w:pPr>
    </w:p>
    <w:p w14:paraId="1A003986">
      <w:pPr>
        <w:rPr>
          <w:rFonts w:hint="eastAsia"/>
          <w:color w:val="auto"/>
          <w:highlight w:val="none"/>
        </w:rPr>
      </w:pPr>
    </w:p>
    <w:p w14:paraId="2612EC74">
      <w:pPr>
        <w:pStyle w:val="2"/>
        <w:rPr>
          <w:rFonts w:hint="eastAsia"/>
          <w:color w:val="auto"/>
          <w:highlight w:val="none"/>
        </w:rPr>
      </w:pPr>
    </w:p>
    <w:p w14:paraId="17AA5F77">
      <w:pPr>
        <w:pStyle w:val="2"/>
        <w:rPr>
          <w:rFonts w:hint="eastAsia"/>
          <w:color w:val="auto"/>
          <w:highlight w:val="none"/>
        </w:rPr>
      </w:pPr>
    </w:p>
    <w:p w14:paraId="4CA21BD0">
      <w:pPr>
        <w:rPr>
          <w:rFonts w:hint="eastAsia"/>
          <w:color w:val="auto"/>
          <w:highlight w:val="none"/>
        </w:rPr>
      </w:pPr>
    </w:p>
    <w:p w14:paraId="4A2169AE">
      <w:pPr>
        <w:pStyle w:val="2"/>
        <w:rPr>
          <w:rFonts w:hint="eastAsia"/>
          <w:color w:val="auto"/>
          <w:highlight w:val="none"/>
        </w:rPr>
      </w:pPr>
    </w:p>
    <w:p w14:paraId="746B926C">
      <w:pPr>
        <w:keepNext/>
        <w:keepLines/>
        <w:spacing w:before="120" w:after="120" w:line="360" w:lineRule="auto"/>
        <w:jc w:val="left"/>
        <w:outlineLvl w:val="2"/>
        <w:rPr>
          <w:rFonts w:ascii="宋体" w:hAnsi="宋体" w:cs="宋体"/>
          <w:bCs/>
          <w:color w:val="auto"/>
          <w:sz w:val="24"/>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919" w:name="_Toc95223488"/>
    </w:p>
    <w:p w14:paraId="5C228D7D">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附件3：工程质量保修书</w:t>
      </w:r>
      <w:bookmarkEnd w:id="919"/>
    </w:p>
    <w:p w14:paraId="61961D43">
      <w:pPr>
        <w:adjustRightInd w:val="0"/>
        <w:snapToGrid w:val="0"/>
        <w:spacing w:before="120" w:beforeLines="50" w:after="12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工程质量保修书</w:t>
      </w:r>
    </w:p>
    <w:p w14:paraId="491C0C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1D0105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B8BDAD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发包人和承包人根据《中华人民共和国建筑法》和《建设工程质量管理条例》，经协商一致就_______________（工程全称）签订工程质量保修书。</w:t>
      </w:r>
    </w:p>
    <w:p w14:paraId="4FB025B3">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一、工程质量保修范围和内容</w:t>
      </w:r>
    </w:p>
    <w:p w14:paraId="1156611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0F791562">
      <w:pPr>
        <w:tabs>
          <w:tab w:val="left" w:pos="6930"/>
        </w:tabs>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3583887">
      <w:pPr>
        <w:adjustRightInd w:val="0"/>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二、质量保修期</w:t>
      </w:r>
    </w:p>
    <w:p w14:paraId="5B8B1B3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5EE8E61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地基基础工程和主体结构工程为设计文件规定的工程合理使用年限；</w:t>
      </w:r>
    </w:p>
    <w:p w14:paraId="6ECEEDA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屋面防水工程、有防水要求的卫生间、房间和外墙面的防渗为</w:t>
      </w:r>
      <w:r>
        <w:rPr>
          <w:rFonts w:hint="eastAsia" w:ascii="宋体" w:hAnsi="宋体" w:cs="宋体"/>
          <w:color w:val="auto"/>
          <w:szCs w:val="21"/>
          <w:highlight w:val="none"/>
          <w:u w:val="single"/>
        </w:rPr>
        <w:t>5</w:t>
      </w:r>
      <w:r>
        <w:rPr>
          <w:rFonts w:hint="eastAsia" w:ascii="宋体" w:hAnsi="宋体" w:cs="宋体"/>
          <w:color w:val="auto"/>
          <w:szCs w:val="21"/>
          <w:highlight w:val="none"/>
        </w:rPr>
        <w:t>年；</w:t>
      </w:r>
    </w:p>
    <w:p w14:paraId="78D02B6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装修工程为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14:paraId="506772D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电气管线、给排水管道、设备安装工程为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14:paraId="673B1B6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供热与供冷系统为</w:t>
      </w:r>
      <w:r>
        <w:rPr>
          <w:rFonts w:hint="eastAsia" w:ascii="宋体" w:hAnsi="宋体" w:cs="宋体"/>
          <w:color w:val="auto"/>
          <w:szCs w:val="21"/>
          <w:highlight w:val="none"/>
          <w:u w:val="single"/>
        </w:rPr>
        <w:t>2</w:t>
      </w:r>
      <w:r>
        <w:rPr>
          <w:rFonts w:hint="eastAsia" w:ascii="宋体" w:hAnsi="宋体" w:cs="宋体"/>
          <w:color w:val="auto"/>
          <w:szCs w:val="21"/>
          <w:highlight w:val="none"/>
        </w:rPr>
        <w:t>个采暖期、供冷期；</w:t>
      </w:r>
    </w:p>
    <w:p w14:paraId="6A9C854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住宅小区内的给排水设施、道路等配套工程为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14:paraId="1B29CA2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 其他项目保修期限约定如下：</w:t>
      </w:r>
      <w:r>
        <w:rPr>
          <w:rFonts w:hint="eastAsia" w:ascii="宋体" w:hAnsi="宋体" w:cs="宋体"/>
          <w:color w:val="auto"/>
          <w:szCs w:val="21"/>
          <w:highlight w:val="none"/>
          <w:u w:val="single"/>
        </w:rPr>
        <w:t>光伏板产品质保10年、发电量质保25年、逆变器质保5年，其他电器设备2年质保，免费运维2年</w:t>
      </w:r>
      <w:r>
        <w:rPr>
          <w:rFonts w:hint="eastAsia" w:ascii="宋体" w:hAnsi="宋体" w:cs="宋体"/>
          <w:color w:val="auto"/>
          <w:szCs w:val="21"/>
          <w:highlight w:val="none"/>
        </w:rPr>
        <w:t>。</w:t>
      </w:r>
    </w:p>
    <w:p w14:paraId="0D02348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14760C45">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三、缺陷责任期</w:t>
      </w:r>
    </w:p>
    <w:p w14:paraId="7A43CEA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两年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，缺陷责任期自工程竣工验收合格之日起计算。单位工程先于全部工程进行验收，单位工程缺陷责任期自单位工程验收合格之日起算。</w:t>
      </w:r>
    </w:p>
    <w:p w14:paraId="335CB4C4">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缺陷责任期终止后，发包人应退还剩余的质量保证金。</w:t>
      </w:r>
    </w:p>
    <w:p w14:paraId="3E897106">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四、质量保修责任</w:t>
      </w:r>
    </w:p>
    <w:p w14:paraId="5F86CD9C">
      <w:pPr>
        <w:adjustRightInd w:val="0"/>
        <w:snapToGrid w:val="0"/>
        <w:spacing w:line="360" w:lineRule="auto"/>
        <w:ind w:firstLine="430" w:firstLineChars="205"/>
        <w:rPr>
          <w:rFonts w:hint="eastAsia" w:ascii="宋体" w:hAnsi="宋体" w:cs="宋体"/>
          <w:color w:val="auto"/>
          <w:szCs w:val="21"/>
          <w:highlight w:val="none"/>
        </w:rPr>
      </w:pPr>
      <w:r>
        <w:rPr>
          <w:rFonts w:hint="eastAsia" w:ascii="宋体" w:hAnsi="宋体" w:cs="宋体"/>
          <w:color w:val="auto"/>
          <w:szCs w:val="21"/>
          <w:highlight w:val="none"/>
        </w:rPr>
        <w:t>1. 属于保修范围、内容的项目，承包人应当在接到保修通知之日起7天内派人保修。承包人不在约定期限内派人保修的，发包人可以委托他人修理。</w:t>
      </w:r>
    </w:p>
    <w:p w14:paraId="2575DAFD">
      <w:pPr>
        <w:adjustRightInd w:val="0"/>
        <w:snapToGrid w:val="0"/>
        <w:spacing w:line="360" w:lineRule="auto"/>
        <w:ind w:firstLine="430" w:firstLineChars="205"/>
        <w:rPr>
          <w:rFonts w:hint="eastAsia" w:ascii="宋体" w:hAnsi="宋体" w:cs="宋体"/>
          <w:color w:val="auto"/>
          <w:szCs w:val="21"/>
          <w:highlight w:val="none"/>
        </w:rPr>
      </w:pPr>
      <w:r>
        <w:rPr>
          <w:rFonts w:hint="eastAsia" w:ascii="宋体" w:hAnsi="宋体" w:cs="宋体"/>
          <w:color w:val="auto"/>
          <w:szCs w:val="21"/>
          <w:highlight w:val="none"/>
        </w:rPr>
        <w:t>2. 发生紧急事故需抢修的，承包人在接到事故通知后，应当立即到达事故现场抢修。</w:t>
      </w:r>
    </w:p>
    <w:p w14:paraId="245C29BD">
      <w:pPr>
        <w:adjustRightInd w:val="0"/>
        <w:snapToGrid w:val="0"/>
        <w:spacing w:line="360" w:lineRule="auto"/>
        <w:ind w:firstLine="430" w:firstLineChars="205"/>
        <w:rPr>
          <w:rFonts w:hint="eastAsia" w:ascii="宋体" w:hAnsi="宋体" w:cs="宋体"/>
          <w:color w:val="auto"/>
          <w:szCs w:val="21"/>
          <w:highlight w:val="none"/>
        </w:rPr>
      </w:pPr>
      <w:r>
        <w:rPr>
          <w:rFonts w:hint="eastAsia" w:ascii="宋体" w:hAnsi="宋体" w:cs="宋体"/>
          <w:color w:val="auto"/>
          <w:szCs w:val="21"/>
          <w:highlight w:val="none"/>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087144D">
      <w:pPr>
        <w:adjustRightInd w:val="0"/>
        <w:snapToGrid w:val="0"/>
        <w:spacing w:line="360" w:lineRule="auto"/>
        <w:ind w:firstLine="430" w:firstLineChars="205"/>
        <w:rPr>
          <w:rFonts w:hint="eastAsia" w:ascii="宋体" w:hAnsi="宋体" w:cs="宋体"/>
          <w:color w:val="auto"/>
          <w:szCs w:val="21"/>
          <w:highlight w:val="none"/>
        </w:rPr>
      </w:pPr>
      <w:r>
        <w:rPr>
          <w:rFonts w:hint="eastAsia" w:ascii="宋体" w:hAnsi="宋体" w:cs="宋体"/>
          <w:color w:val="auto"/>
          <w:szCs w:val="21"/>
          <w:highlight w:val="none"/>
        </w:rPr>
        <w:t>4. 质量保修完成后，由发包人组织验收。</w:t>
      </w:r>
    </w:p>
    <w:p w14:paraId="436245AC">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五、保修费用</w:t>
      </w:r>
    </w:p>
    <w:p w14:paraId="0F8BD1C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350569D1">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六、双方约定的其他工程质量保修事项：</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14:paraId="37420448">
      <w:pPr>
        <w:adjustRightInd w:val="0"/>
        <w:snapToGrid w:val="0"/>
        <w:spacing w:line="360" w:lineRule="auto"/>
        <w:ind w:firstLine="399" w:firstLineChars="19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6290BC42">
      <w:pPr>
        <w:adjustRightInd w:val="0"/>
        <w:snapToGrid w:val="0"/>
        <w:spacing w:line="360" w:lineRule="auto"/>
        <w:ind w:firstLine="420"/>
        <w:rPr>
          <w:rFonts w:hint="eastAsia" w:ascii="宋体" w:hAnsi="宋体" w:cs="宋体"/>
          <w:color w:val="auto"/>
          <w:szCs w:val="21"/>
          <w:highlight w:val="none"/>
        </w:rPr>
      </w:pPr>
    </w:p>
    <w:p w14:paraId="3EC9AD13">
      <w:pPr>
        <w:adjustRightInd w:val="0"/>
        <w:snapToGrid w:val="0"/>
        <w:spacing w:line="360" w:lineRule="auto"/>
        <w:ind w:firstLine="420"/>
        <w:rPr>
          <w:rFonts w:hint="eastAsia" w:ascii="宋体" w:hAnsi="宋体" w:cs="宋体"/>
          <w:color w:val="auto"/>
          <w:szCs w:val="21"/>
          <w:highlight w:val="none"/>
        </w:rPr>
      </w:pPr>
    </w:p>
    <w:p w14:paraId="566B4A5F">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 </w:t>
      </w:r>
    </w:p>
    <w:p w14:paraId="40567947">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06CA3429">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37ACD022">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0AD90F38">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BC41578">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40E6BDB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4FD99001">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0EA81A7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6163721A">
      <w:pPr>
        <w:widowControl/>
        <w:jc w:val="left"/>
        <w:rPr>
          <w:rFonts w:hint="eastAsia" w:ascii="宋体" w:hAnsi="宋体" w:cs="宋体"/>
          <w:b/>
          <w:color w:val="auto"/>
          <w:sz w:val="24"/>
          <w:highlight w:val="none"/>
        </w:rPr>
      </w:pPr>
    </w:p>
    <w:p w14:paraId="4668FE40">
      <w:pPr>
        <w:pStyle w:val="2"/>
        <w:rPr>
          <w:rFonts w:hint="eastAsia"/>
          <w:color w:val="auto"/>
          <w:highlight w:val="none"/>
        </w:rPr>
      </w:pPr>
    </w:p>
    <w:p w14:paraId="05A98549">
      <w:pPr>
        <w:rPr>
          <w:rFonts w:hint="eastAsia"/>
          <w:color w:val="auto"/>
          <w:highlight w:val="none"/>
        </w:rPr>
      </w:pPr>
    </w:p>
    <w:p w14:paraId="62DDB240">
      <w:pPr>
        <w:pStyle w:val="2"/>
        <w:rPr>
          <w:rFonts w:hint="eastAsia"/>
          <w:color w:val="auto"/>
          <w:highlight w:val="none"/>
        </w:rPr>
      </w:pPr>
    </w:p>
    <w:p w14:paraId="569975CE">
      <w:pPr>
        <w:rPr>
          <w:rFonts w:hint="eastAsia"/>
          <w:color w:val="auto"/>
          <w:highlight w:val="none"/>
        </w:rPr>
      </w:pPr>
    </w:p>
    <w:p w14:paraId="72C5CDA8">
      <w:pPr>
        <w:pStyle w:val="2"/>
        <w:rPr>
          <w:rFonts w:hint="eastAsia"/>
          <w:color w:val="auto"/>
          <w:highlight w:val="none"/>
        </w:rPr>
      </w:pPr>
    </w:p>
    <w:p w14:paraId="45B7B01C">
      <w:pPr>
        <w:rPr>
          <w:rFonts w:hint="eastAsia"/>
          <w:color w:val="auto"/>
          <w:highlight w:val="none"/>
        </w:rPr>
      </w:pPr>
    </w:p>
    <w:p w14:paraId="5BB21A19">
      <w:pPr>
        <w:pStyle w:val="2"/>
        <w:rPr>
          <w:rFonts w:hint="eastAsia"/>
          <w:color w:val="auto"/>
          <w:highlight w:val="none"/>
        </w:rPr>
      </w:pPr>
    </w:p>
    <w:p w14:paraId="293655E4">
      <w:pPr>
        <w:rPr>
          <w:rFonts w:hint="eastAsia"/>
          <w:color w:val="auto"/>
          <w:highlight w:val="none"/>
        </w:rPr>
      </w:pPr>
    </w:p>
    <w:p w14:paraId="003A0014">
      <w:pPr>
        <w:pStyle w:val="2"/>
        <w:rPr>
          <w:rFonts w:hint="eastAsia"/>
          <w:color w:val="auto"/>
          <w:highlight w:val="none"/>
        </w:rPr>
      </w:pPr>
    </w:p>
    <w:p w14:paraId="67941744">
      <w:pPr>
        <w:rPr>
          <w:rFonts w:hint="eastAsia"/>
          <w:color w:val="auto"/>
          <w:highlight w:val="none"/>
        </w:rPr>
      </w:pPr>
    </w:p>
    <w:p w14:paraId="11ABA389">
      <w:pPr>
        <w:pStyle w:val="2"/>
        <w:rPr>
          <w:rFonts w:hint="eastAsia"/>
          <w:color w:val="auto"/>
          <w:highlight w:val="none"/>
        </w:rPr>
      </w:pPr>
    </w:p>
    <w:p w14:paraId="5AC3619D">
      <w:pPr>
        <w:rPr>
          <w:rFonts w:hint="eastAsia"/>
          <w:color w:val="auto"/>
          <w:highlight w:val="none"/>
        </w:rPr>
      </w:pPr>
    </w:p>
    <w:p w14:paraId="52E407D5">
      <w:pPr>
        <w:pStyle w:val="2"/>
        <w:rPr>
          <w:rFonts w:hint="eastAsia"/>
          <w:color w:val="auto"/>
          <w:highlight w:val="none"/>
        </w:rPr>
      </w:pPr>
    </w:p>
    <w:p w14:paraId="26BCFF95">
      <w:pPr>
        <w:rPr>
          <w:rFonts w:hint="eastAsia"/>
          <w:color w:val="auto"/>
          <w:highlight w:val="none"/>
        </w:rPr>
      </w:pPr>
    </w:p>
    <w:p w14:paraId="390EA6E0">
      <w:pPr>
        <w:pStyle w:val="2"/>
        <w:rPr>
          <w:rFonts w:hint="eastAsia"/>
          <w:color w:val="auto"/>
          <w:highlight w:val="none"/>
        </w:rPr>
      </w:pPr>
    </w:p>
    <w:p w14:paraId="79039F74">
      <w:pPr>
        <w:rPr>
          <w:rFonts w:hint="eastAsia"/>
          <w:color w:val="auto"/>
          <w:highlight w:val="none"/>
        </w:rPr>
      </w:pPr>
    </w:p>
    <w:p w14:paraId="12A45D7F">
      <w:pPr>
        <w:pStyle w:val="2"/>
        <w:rPr>
          <w:rFonts w:hint="eastAsia"/>
          <w:color w:val="auto"/>
          <w:highlight w:val="none"/>
        </w:rPr>
      </w:pPr>
    </w:p>
    <w:p w14:paraId="79D411CC">
      <w:pPr>
        <w:rPr>
          <w:rFonts w:hint="eastAsia"/>
          <w:color w:val="auto"/>
          <w:highlight w:val="none"/>
        </w:rPr>
      </w:pPr>
    </w:p>
    <w:p w14:paraId="09581007">
      <w:pPr>
        <w:pStyle w:val="2"/>
        <w:rPr>
          <w:rFonts w:hint="eastAsia"/>
          <w:color w:val="auto"/>
          <w:highlight w:val="none"/>
        </w:rPr>
      </w:pPr>
    </w:p>
    <w:p w14:paraId="6E8E76C5">
      <w:pPr>
        <w:rPr>
          <w:rFonts w:hint="eastAsia"/>
          <w:color w:val="auto"/>
          <w:highlight w:val="none"/>
        </w:rPr>
      </w:pPr>
    </w:p>
    <w:p w14:paraId="4B46F63A">
      <w:pPr>
        <w:pStyle w:val="2"/>
        <w:rPr>
          <w:rFonts w:hint="eastAsia"/>
          <w:color w:val="auto"/>
          <w:highlight w:val="none"/>
        </w:rPr>
      </w:pPr>
    </w:p>
    <w:p w14:paraId="17990321">
      <w:pPr>
        <w:keepNext/>
        <w:keepLines/>
        <w:spacing w:before="120" w:after="120" w:line="360" w:lineRule="auto"/>
        <w:jc w:val="left"/>
        <w:outlineLvl w:val="2"/>
        <w:rPr>
          <w:rFonts w:hint="eastAsia" w:ascii="宋体" w:hAnsi="宋体" w:cs="宋体"/>
          <w:bCs/>
          <w:color w:val="auto"/>
          <w:sz w:val="24"/>
          <w:highlight w:val="none"/>
        </w:rPr>
      </w:pPr>
      <w:bookmarkStart w:id="920" w:name="_Toc95223490"/>
      <w:r>
        <w:rPr>
          <w:rFonts w:hint="eastAsia" w:ascii="宋体" w:hAnsi="宋体" w:cs="宋体"/>
          <w:bCs/>
          <w:color w:val="auto"/>
          <w:sz w:val="24"/>
          <w:highlight w:val="none"/>
        </w:rPr>
        <w:t>附件4：主要建设工程文件目录</w:t>
      </w:r>
      <w:bookmarkEnd w:id="920"/>
    </w:p>
    <w:p w14:paraId="0FE83995">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E561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403898AD">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文件名称</w:t>
            </w:r>
          </w:p>
        </w:tc>
        <w:tc>
          <w:tcPr>
            <w:tcW w:w="1276" w:type="dxa"/>
            <w:tcBorders>
              <w:top w:val="single" w:color="auto" w:sz="12" w:space="0"/>
              <w:bottom w:val="double" w:color="auto" w:sz="6" w:space="0"/>
            </w:tcBorders>
            <w:noWrap w:val="0"/>
            <w:vAlign w:val="center"/>
          </w:tcPr>
          <w:p w14:paraId="6A9547DF">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14:paraId="544CEEA0">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14:paraId="5B2961CE">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14:paraId="31E04630">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移交时间</w:t>
            </w:r>
          </w:p>
        </w:tc>
        <w:tc>
          <w:tcPr>
            <w:tcW w:w="1667" w:type="dxa"/>
            <w:tcBorders>
              <w:top w:val="single" w:color="auto" w:sz="12" w:space="0"/>
              <w:bottom w:val="double" w:color="auto" w:sz="6" w:space="0"/>
            </w:tcBorders>
            <w:noWrap w:val="0"/>
            <w:vAlign w:val="top"/>
          </w:tcPr>
          <w:p w14:paraId="2C846F6E">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责任人</w:t>
            </w:r>
          </w:p>
        </w:tc>
      </w:tr>
      <w:tr w14:paraId="4ADF2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noWrap w:val="0"/>
            <w:vAlign w:val="center"/>
          </w:tcPr>
          <w:p w14:paraId="699DDD45">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276" w:type="dxa"/>
            <w:tcBorders>
              <w:top w:val="double" w:color="auto" w:sz="6" w:space="0"/>
            </w:tcBorders>
            <w:noWrap w:val="0"/>
            <w:vAlign w:val="center"/>
          </w:tcPr>
          <w:p w14:paraId="484C349E">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tcBorders>
              <w:top w:val="double" w:color="auto" w:sz="6" w:space="0"/>
            </w:tcBorders>
            <w:noWrap w:val="0"/>
            <w:vAlign w:val="center"/>
          </w:tcPr>
          <w:p w14:paraId="08EBEE32">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243" w:type="dxa"/>
            <w:tcBorders>
              <w:top w:val="double" w:color="auto" w:sz="6" w:space="0"/>
            </w:tcBorders>
            <w:noWrap w:val="0"/>
            <w:vAlign w:val="center"/>
          </w:tcPr>
          <w:p w14:paraId="56386B69">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tcBorders>
              <w:top w:val="double" w:color="auto" w:sz="6" w:space="0"/>
            </w:tcBorders>
            <w:noWrap w:val="0"/>
            <w:vAlign w:val="center"/>
          </w:tcPr>
          <w:p w14:paraId="20BF202E">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667" w:type="dxa"/>
            <w:tcBorders>
              <w:top w:val="double" w:color="auto" w:sz="6" w:space="0"/>
            </w:tcBorders>
            <w:noWrap w:val="0"/>
            <w:vAlign w:val="center"/>
          </w:tcPr>
          <w:p w14:paraId="5573C1C1">
            <w:pPr>
              <w:keepNext/>
              <w:keepLines w:val="0"/>
              <w:suppressLineNumbers w:val="0"/>
              <w:spacing w:before="0" w:beforeAutospacing="0" w:after="0" w:afterAutospacing="0"/>
              <w:ind w:left="0" w:right="0"/>
              <w:rPr>
                <w:rFonts w:hint="default" w:ascii="宋体" w:hAnsi="宋体" w:cs="宋体"/>
                <w:color w:val="auto"/>
                <w:szCs w:val="21"/>
                <w:highlight w:val="none"/>
              </w:rPr>
            </w:pPr>
          </w:p>
        </w:tc>
      </w:tr>
      <w:tr w14:paraId="1AECD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0587E69B">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276" w:type="dxa"/>
            <w:tcBorders>
              <w:top w:val="nil"/>
            </w:tcBorders>
            <w:noWrap w:val="0"/>
            <w:vAlign w:val="center"/>
          </w:tcPr>
          <w:p w14:paraId="7478F729">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tcBorders>
              <w:top w:val="nil"/>
            </w:tcBorders>
            <w:noWrap w:val="0"/>
            <w:vAlign w:val="center"/>
          </w:tcPr>
          <w:p w14:paraId="74EB0B16">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243" w:type="dxa"/>
            <w:tcBorders>
              <w:top w:val="nil"/>
            </w:tcBorders>
            <w:noWrap w:val="0"/>
            <w:vAlign w:val="center"/>
          </w:tcPr>
          <w:p w14:paraId="6114C094">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tcBorders>
              <w:top w:val="nil"/>
            </w:tcBorders>
            <w:noWrap w:val="0"/>
            <w:vAlign w:val="center"/>
          </w:tcPr>
          <w:p w14:paraId="024E6585">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667" w:type="dxa"/>
            <w:tcBorders>
              <w:top w:val="nil"/>
            </w:tcBorders>
            <w:noWrap w:val="0"/>
            <w:vAlign w:val="center"/>
          </w:tcPr>
          <w:p w14:paraId="6B476523">
            <w:pPr>
              <w:keepNext/>
              <w:keepLines w:val="0"/>
              <w:suppressLineNumbers w:val="0"/>
              <w:spacing w:before="0" w:beforeAutospacing="0" w:after="0" w:afterAutospacing="0"/>
              <w:ind w:left="0" w:right="0"/>
              <w:rPr>
                <w:rFonts w:hint="default" w:ascii="宋体" w:hAnsi="宋体" w:cs="宋体"/>
                <w:color w:val="auto"/>
                <w:szCs w:val="21"/>
                <w:highlight w:val="none"/>
              </w:rPr>
            </w:pPr>
          </w:p>
        </w:tc>
      </w:tr>
      <w:tr w14:paraId="74A7D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0289338">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276" w:type="dxa"/>
            <w:noWrap w:val="0"/>
            <w:vAlign w:val="top"/>
          </w:tcPr>
          <w:p w14:paraId="6C6F2E23">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noWrap w:val="0"/>
            <w:vAlign w:val="top"/>
          </w:tcPr>
          <w:p w14:paraId="13018D6D">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243" w:type="dxa"/>
            <w:noWrap w:val="0"/>
            <w:vAlign w:val="top"/>
          </w:tcPr>
          <w:p w14:paraId="054DE2C1">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noWrap w:val="0"/>
            <w:vAlign w:val="top"/>
          </w:tcPr>
          <w:p w14:paraId="3BB8981E">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667" w:type="dxa"/>
            <w:noWrap w:val="0"/>
            <w:vAlign w:val="top"/>
          </w:tcPr>
          <w:p w14:paraId="5ED61543">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r>
      <w:tr w14:paraId="1A90B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9A6BE44">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276" w:type="dxa"/>
            <w:noWrap w:val="0"/>
            <w:vAlign w:val="top"/>
          </w:tcPr>
          <w:p w14:paraId="10FDD1C5">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noWrap w:val="0"/>
            <w:vAlign w:val="top"/>
          </w:tcPr>
          <w:p w14:paraId="168A8E9A">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243" w:type="dxa"/>
            <w:noWrap w:val="0"/>
            <w:vAlign w:val="top"/>
          </w:tcPr>
          <w:p w14:paraId="548F4CC0">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noWrap w:val="0"/>
            <w:vAlign w:val="top"/>
          </w:tcPr>
          <w:p w14:paraId="0B960B06">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667" w:type="dxa"/>
            <w:noWrap w:val="0"/>
            <w:vAlign w:val="top"/>
          </w:tcPr>
          <w:p w14:paraId="109D3745">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r>
      <w:tr w14:paraId="74B3C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noWrap w:val="0"/>
            <w:vAlign w:val="top"/>
          </w:tcPr>
          <w:p w14:paraId="3F299814">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276" w:type="dxa"/>
            <w:tcBorders>
              <w:bottom w:val="single" w:color="auto" w:sz="12" w:space="0"/>
            </w:tcBorders>
            <w:noWrap w:val="0"/>
            <w:vAlign w:val="top"/>
          </w:tcPr>
          <w:p w14:paraId="298BDF38">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tcBorders>
              <w:bottom w:val="single" w:color="auto" w:sz="12" w:space="0"/>
            </w:tcBorders>
            <w:noWrap w:val="0"/>
            <w:vAlign w:val="top"/>
          </w:tcPr>
          <w:p w14:paraId="4CF16982">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243" w:type="dxa"/>
            <w:tcBorders>
              <w:bottom w:val="single" w:color="auto" w:sz="12" w:space="0"/>
            </w:tcBorders>
            <w:noWrap w:val="0"/>
            <w:vAlign w:val="top"/>
          </w:tcPr>
          <w:p w14:paraId="7B0EF3FE">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50" w:type="dxa"/>
            <w:tcBorders>
              <w:bottom w:val="single" w:color="auto" w:sz="12" w:space="0"/>
            </w:tcBorders>
            <w:noWrap w:val="0"/>
            <w:vAlign w:val="top"/>
          </w:tcPr>
          <w:p w14:paraId="4DBCE82B">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667" w:type="dxa"/>
            <w:tcBorders>
              <w:bottom w:val="single" w:color="auto" w:sz="12" w:space="0"/>
            </w:tcBorders>
            <w:noWrap w:val="0"/>
            <w:vAlign w:val="top"/>
          </w:tcPr>
          <w:p w14:paraId="4748D88A">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r>
    </w:tbl>
    <w:p w14:paraId="7FE0E847">
      <w:pPr>
        <w:rPr>
          <w:rFonts w:hint="eastAsia" w:ascii="宋体" w:hAnsi="宋体" w:cs="宋体"/>
          <w:color w:val="auto"/>
          <w:szCs w:val="21"/>
          <w:highlight w:val="none"/>
        </w:rPr>
      </w:pPr>
    </w:p>
    <w:p w14:paraId="17B86E90">
      <w:pPr>
        <w:keepNext/>
        <w:keepLines/>
        <w:spacing w:before="120" w:after="120" w:line="360" w:lineRule="auto"/>
        <w:jc w:val="left"/>
        <w:outlineLvl w:val="2"/>
        <w:rPr>
          <w:rFonts w:hint="eastAsia" w:ascii="宋体" w:hAnsi="宋体" w:cs="宋体"/>
          <w:bCs/>
          <w:color w:val="auto"/>
          <w:sz w:val="24"/>
          <w:highlight w:val="none"/>
        </w:rPr>
      </w:pPr>
      <w:bookmarkStart w:id="921" w:name="_Toc95223491"/>
      <w:r>
        <w:rPr>
          <w:rFonts w:hint="eastAsia" w:ascii="宋体" w:hAnsi="宋体" w:cs="宋体"/>
          <w:bCs/>
          <w:color w:val="auto"/>
          <w:sz w:val="24"/>
          <w:highlight w:val="none"/>
        </w:rPr>
        <w:t>附</w:t>
      </w:r>
      <w:bookmarkStart w:id="922" w:name="_Toc267261698"/>
      <w:bookmarkStart w:id="923" w:name="_Toc296944566"/>
      <w:bookmarkStart w:id="924" w:name="_Toc296891055"/>
      <w:bookmarkStart w:id="925" w:name="_Toc296891267"/>
      <w:bookmarkStart w:id="926" w:name="_Toc296347226"/>
      <w:bookmarkStart w:id="927" w:name="_Toc296346728"/>
      <w:bookmarkStart w:id="928" w:name="_Toc296503227"/>
      <w:r>
        <w:rPr>
          <w:rFonts w:hint="eastAsia" w:ascii="宋体" w:hAnsi="宋体" w:cs="宋体"/>
          <w:bCs/>
          <w:color w:val="auto"/>
          <w:sz w:val="24"/>
          <w:highlight w:val="none"/>
        </w:rPr>
        <w:t>件5：承包人用于本工程施工的机械设备表</w:t>
      </w:r>
      <w:bookmarkEnd w:id="921"/>
    </w:p>
    <w:bookmarkEnd w:id="922"/>
    <w:bookmarkEnd w:id="923"/>
    <w:bookmarkEnd w:id="924"/>
    <w:bookmarkEnd w:id="925"/>
    <w:bookmarkEnd w:id="926"/>
    <w:bookmarkEnd w:id="927"/>
    <w:bookmarkEnd w:id="928"/>
    <w:p w14:paraId="72D460B2">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7"/>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14:paraId="7B351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val="0"/>
            <w:vAlign w:val="center"/>
          </w:tcPr>
          <w:p w14:paraId="0541AFED">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418" w:type="dxa"/>
            <w:tcBorders>
              <w:top w:val="single" w:color="auto" w:sz="12" w:space="0"/>
              <w:bottom w:val="double" w:color="auto" w:sz="6" w:space="0"/>
            </w:tcBorders>
            <w:noWrap w:val="0"/>
            <w:vAlign w:val="center"/>
          </w:tcPr>
          <w:p w14:paraId="091F22CF">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14:paraId="0DF5207F">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规格型号</w:t>
            </w:r>
          </w:p>
        </w:tc>
        <w:tc>
          <w:tcPr>
            <w:tcW w:w="709" w:type="dxa"/>
            <w:tcBorders>
              <w:top w:val="single" w:color="auto" w:sz="12" w:space="0"/>
              <w:bottom w:val="double" w:color="auto" w:sz="6" w:space="0"/>
            </w:tcBorders>
            <w:noWrap w:val="0"/>
            <w:vAlign w:val="center"/>
          </w:tcPr>
          <w:p w14:paraId="0B9A3859">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数量</w:t>
            </w:r>
          </w:p>
        </w:tc>
        <w:tc>
          <w:tcPr>
            <w:tcW w:w="850" w:type="dxa"/>
            <w:tcBorders>
              <w:top w:val="single" w:color="auto" w:sz="12" w:space="0"/>
              <w:bottom w:val="double" w:color="auto" w:sz="6" w:space="0"/>
            </w:tcBorders>
            <w:noWrap w:val="0"/>
            <w:vAlign w:val="center"/>
          </w:tcPr>
          <w:p w14:paraId="089D4E68">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产地</w:t>
            </w:r>
          </w:p>
        </w:tc>
        <w:tc>
          <w:tcPr>
            <w:tcW w:w="963" w:type="dxa"/>
            <w:tcBorders>
              <w:top w:val="single" w:color="auto" w:sz="12" w:space="0"/>
              <w:bottom w:val="double" w:color="auto" w:sz="6" w:space="0"/>
            </w:tcBorders>
            <w:noWrap w:val="0"/>
            <w:vAlign w:val="center"/>
          </w:tcPr>
          <w:p w14:paraId="1C3D0CD7">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制造年份</w:t>
            </w:r>
          </w:p>
        </w:tc>
        <w:tc>
          <w:tcPr>
            <w:tcW w:w="1480" w:type="dxa"/>
            <w:tcBorders>
              <w:top w:val="single" w:color="auto" w:sz="12" w:space="0"/>
              <w:bottom w:val="double" w:color="auto" w:sz="6" w:space="0"/>
            </w:tcBorders>
            <w:noWrap w:val="0"/>
            <w:vAlign w:val="center"/>
          </w:tcPr>
          <w:p w14:paraId="62ABCBF0">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14:paraId="7D8EE09B">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生产能力</w:t>
            </w:r>
          </w:p>
        </w:tc>
        <w:tc>
          <w:tcPr>
            <w:tcW w:w="932" w:type="dxa"/>
            <w:tcBorders>
              <w:top w:val="single" w:color="auto" w:sz="12" w:space="0"/>
              <w:bottom w:val="double" w:color="auto" w:sz="6" w:space="0"/>
            </w:tcBorders>
            <w:noWrap w:val="0"/>
            <w:vAlign w:val="center"/>
          </w:tcPr>
          <w:p w14:paraId="29A8903A">
            <w:pPr>
              <w:keepNext/>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备注</w:t>
            </w:r>
          </w:p>
        </w:tc>
      </w:tr>
      <w:tr w14:paraId="0A7CE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noWrap w:val="0"/>
            <w:vAlign w:val="center"/>
          </w:tcPr>
          <w:p w14:paraId="2BCC0FCB">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418" w:type="dxa"/>
            <w:tcBorders>
              <w:top w:val="double" w:color="auto" w:sz="6" w:space="0"/>
            </w:tcBorders>
            <w:noWrap w:val="0"/>
            <w:vAlign w:val="center"/>
          </w:tcPr>
          <w:p w14:paraId="3EE5B7FC">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tcBorders>
              <w:top w:val="double" w:color="auto" w:sz="6" w:space="0"/>
            </w:tcBorders>
            <w:noWrap w:val="0"/>
            <w:vAlign w:val="center"/>
          </w:tcPr>
          <w:p w14:paraId="29F6CB68">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709" w:type="dxa"/>
            <w:tcBorders>
              <w:top w:val="double" w:color="auto" w:sz="6" w:space="0"/>
            </w:tcBorders>
            <w:noWrap w:val="0"/>
            <w:vAlign w:val="center"/>
          </w:tcPr>
          <w:p w14:paraId="6B08C983">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tcBorders>
              <w:top w:val="double" w:color="auto" w:sz="6" w:space="0"/>
            </w:tcBorders>
            <w:noWrap w:val="0"/>
            <w:vAlign w:val="center"/>
          </w:tcPr>
          <w:p w14:paraId="4E6CA49D">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963" w:type="dxa"/>
            <w:tcBorders>
              <w:top w:val="double" w:color="auto" w:sz="6" w:space="0"/>
            </w:tcBorders>
            <w:noWrap w:val="0"/>
            <w:vAlign w:val="center"/>
          </w:tcPr>
          <w:p w14:paraId="15406777">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480" w:type="dxa"/>
            <w:tcBorders>
              <w:top w:val="double" w:color="auto" w:sz="6" w:space="0"/>
            </w:tcBorders>
            <w:noWrap w:val="0"/>
            <w:vAlign w:val="center"/>
          </w:tcPr>
          <w:p w14:paraId="3B901853">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020" w:type="dxa"/>
            <w:tcBorders>
              <w:top w:val="double" w:color="auto" w:sz="6" w:space="0"/>
            </w:tcBorders>
            <w:noWrap w:val="0"/>
            <w:vAlign w:val="center"/>
          </w:tcPr>
          <w:p w14:paraId="75E3AC6C">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932" w:type="dxa"/>
            <w:tcBorders>
              <w:top w:val="double" w:color="auto" w:sz="6" w:space="0"/>
            </w:tcBorders>
            <w:noWrap w:val="0"/>
            <w:vAlign w:val="center"/>
          </w:tcPr>
          <w:p w14:paraId="33284042">
            <w:pPr>
              <w:keepNext/>
              <w:keepLines w:val="0"/>
              <w:suppressLineNumbers w:val="0"/>
              <w:spacing w:before="0" w:beforeAutospacing="0" w:after="0" w:afterAutospacing="0"/>
              <w:ind w:left="0" w:right="0"/>
              <w:rPr>
                <w:rFonts w:hint="default" w:ascii="宋体" w:hAnsi="宋体" w:cs="宋体"/>
                <w:color w:val="auto"/>
                <w:szCs w:val="21"/>
                <w:highlight w:val="none"/>
              </w:rPr>
            </w:pPr>
          </w:p>
        </w:tc>
      </w:tr>
      <w:tr w14:paraId="4330A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noWrap w:val="0"/>
            <w:vAlign w:val="center"/>
          </w:tcPr>
          <w:p w14:paraId="1AF74C00">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418" w:type="dxa"/>
            <w:tcBorders>
              <w:top w:val="nil"/>
            </w:tcBorders>
            <w:noWrap w:val="0"/>
            <w:vAlign w:val="center"/>
          </w:tcPr>
          <w:p w14:paraId="7938E01D">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tcBorders>
              <w:top w:val="nil"/>
            </w:tcBorders>
            <w:noWrap w:val="0"/>
            <w:vAlign w:val="center"/>
          </w:tcPr>
          <w:p w14:paraId="465A7DBD">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709" w:type="dxa"/>
            <w:tcBorders>
              <w:top w:val="nil"/>
            </w:tcBorders>
            <w:noWrap w:val="0"/>
            <w:vAlign w:val="center"/>
          </w:tcPr>
          <w:p w14:paraId="6FCA3533">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tcBorders>
              <w:top w:val="nil"/>
            </w:tcBorders>
            <w:noWrap w:val="0"/>
            <w:vAlign w:val="center"/>
          </w:tcPr>
          <w:p w14:paraId="643847F1">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963" w:type="dxa"/>
            <w:tcBorders>
              <w:top w:val="nil"/>
            </w:tcBorders>
            <w:noWrap w:val="0"/>
            <w:vAlign w:val="center"/>
          </w:tcPr>
          <w:p w14:paraId="0A587447">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480" w:type="dxa"/>
            <w:tcBorders>
              <w:top w:val="nil"/>
            </w:tcBorders>
            <w:noWrap w:val="0"/>
            <w:vAlign w:val="center"/>
          </w:tcPr>
          <w:p w14:paraId="3A14A1ED">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1020" w:type="dxa"/>
            <w:tcBorders>
              <w:top w:val="nil"/>
            </w:tcBorders>
            <w:noWrap w:val="0"/>
            <w:vAlign w:val="center"/>
          </w:tcPr>
          <w:p w14:paraId="6AA53DD8">
            <w:pPr>
              <w:keepNext/>
              <w:keepLines w:val="0"/>
              <w:suppressLineNumbers w:val="0"/>
              <w:spacing w:before="0" w:beforeAutospacing="0" w:after="0" w:afterAutospacing="0"/>
              <w:ind w:left="0" w:right="0"/>
              <w:rPr>
                <w:rFonts w:hint="default" w:ascii="宋体" w:hAnsi="宋体" w:cs="宋体"/>
                <w:color w:val="auto"/>
                <w:szCs w:val="21"/>
                <w:highlight w:val="none"/>
              </w:rPr>
            </w:pPr>
          </w:p>
        </w:tc>
        <w:tc>
          <w:tcPr>
            <w:tcW w:w="932" w:type="dxa"/>
            <w:tcBorders>
              <w:top w:val="nil"/>
            </w:tcBorders>
            <w:noWrap w:val="0"/>
            <w:vAlign w:val="center"/>
          </w:tcPr>
          <w:p w14:paraId="429D9EE8">
            <w:pPr>
              <w:keepNext/>
              <w:keepLines w:val="0"/>
              <w:suppressLineNumbers w:val="0"/>
              <w:spacing w:before="0" w:beforeAutospacing="0" w:after="0" w:afterAutospacing="0"/>
              <w:ind w:left="0" w:right="0"/>
              <w:rPr>
                <w:rFonts w:hint="default" w:ascii="宋体" w:hAnsi="宋体" w:cs="宋体"/>
                <w:color w:val="auto"/>
                <w:szCs w:val="21"/>
                <w:highlight w:val="none"/>
              </w:rPr>
            </w:pPr>
          </w:p>
        </w:tc>
      </w:tr>
      <w:tr w14:paraId="1B3D3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404F0D9A">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18" w:type="dxa"/>
            <w:noWrap w:val="0"/>
            <w:vAlign w:val="top"/>
          </w:tcPr>
          <w:p w14:paraId="6972F526">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noWrap w:val="0"/>
            <w:vAlign w:val="top"/>
          </w:tcPr>
          <w:p w14:paraId="57D288A1">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709" w:type="dxa"/>
            <w:noWrap w:val="0"/>
            <w:vAlign w:val="top"/>
          </w:tcPr>
          <w:p w14:paraId="5062C420">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noWrap w:val="0"/>
            <w:vAlign w:val="top"/>
          </w:tcPr>
          <w:p w14:paraId="1D84C7CF">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963" w:type="dxa"/>
            <w:noWrap w:val="0"/>
            <w:vAlign w:val="top"/>
          </w:tcPr>
          <w:p w14:paraId="794E42D7">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80" w:type="dxa"/>
            <w:noWrap w:val="0"/>
            <w:vAlign w:val="top"/>
          </w:tcPr>
          <w:p w14:paraId="09717624">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020" w:type="dxa"/>
            <w:noWrap w:val="0"/>
            <w:vAlign w:val="top"/>
          </w:tcPr>
          <w:p w14:paraId="37E80DAC">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932" w:type="dxa"/>
            <w:noWrap w:val="0"/>
            <w:vAlign w:val="top"/>
          </w:tcPr>
          <w:p w14:paraId="43ACEDF4">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r>
      <w:tr w14:paraId="6762C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14DD414E">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18" w:type="dxa"/>
            <w:noWrap w:val="0"/>
            <w:vAlign w:val="top"/>
          </w:tcPr>
          <w:p w14:paraId="5912EA1F">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noWrap w:val="0"/>
            <w:vAlign w:val="top"/>
          </w:tcPr>
          <w:p w14:paraId="2D7F49F9">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709" w:type="dxa"/>
            <w:noWrap w:val="0"/>
            <w:vAlign w:val="top"/>
          </w:tcPr>
          <w:p w14:paraId="3E274086">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noWrap w:val="0"/>
            <w:vAlign w:val="top"/>
          </w:tcPr>
          <w:p w14:paraId="179AC0A2">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963" w:type="dxa"/>
            <w:noWrap w:val="0"/>
            <w:vAlign w:val="top"/>
          </w:tcPr>
          <w:p w14:paraId="4AB438AF">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80" w:type="dxa"/>
            <w:noWrap w:val="0"/>
            <w:vAlign w:val="top"/>
          </w:tcPr>
          <w:p w14:paraId="49DB760F">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020" w:type="dxa"/>
            <w:noWrap w:val="0"/>
            <w:vAlign w:val="top"/>
          </w:tcPr>
          <w:p w14:paraId="4F1386B2">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932" w:type="dxa"/>
            <w:noWrap w:val="0"/>
            <w:vAlign w:val="top"/>
          </w:tcPr>
          <w:p w14:paraId="6C9490FF">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r>
      <w:tr w14:paraId="1FB19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noWrap w:val="0"/>
            <w:vAlign w:val="top"/>
          </w:tcPr>
          <w:p w14:paraId="57B6804E">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18" w:type="dxa"/>
            <w:tcBorders>
              <w:bottom w:val="single" w:color="auto" w:sz="12" w:space="0"/>
            </w:tcBorders>
            <w:noWrap w:val="0"/>
            <w:vAlign w:val="top"/>
          </w:tcPr>
          <w:p w14:paraId="3B796DFD">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tcBorders>
              <w:bottom w:val="single" w:color="auto" w:sz="12" w:space="0"/>
            </w:tcBorders>
            <w:noWrap w:val="0"/>
            <w:vAlign w:val="top"/>
          </w:tcPr>
          <w:p w14:paraId="363602F0">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709" w:type="dxa"/>
            <w:tcBorders>
              <w:bottom w:val="single" w:color="auto" w:sz="12" w:space="0"/>
            </w:tcBorders>
            <w:noWrap w:val="0"/>
            <w:vAlign w:val="top"/>
          </w:tcPr>
          <w:p w14:paraId="20842515">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850" w:type="dxa"/>
            <w:tcBorders>
              <w:bottom w:val="single" w:color="auto" w:sz="12" w:space="0"/>
            </w:tcBorders>
            <w:noWrap w:val="0"/>
            <w:vAlign w:val="top"/>
          </w:tcPr>
          <w:p w14:paraId="0D78B84C">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963" w:type="dxa"/>
            <w:tcBorders>
              <w:bottom w:val="single" w:color="auto" w:sz="12" w:space="0"/>
            </w:tcBorders>
            <w:noWrap w:val="0"/>
            <w:vAlign w:val="top"/>
          </w:tcPr>
          <w:p w14:paraId="73C4F401">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480" w:type="dxa"/>
            <w:tcBorders>
              <w:bottom w:val="single" w:color="auto" w:sz="12" w:space="0"/>
            </w:tcBorders>
            <w:noWrap w:val="0"/>
            <w:vAlign w:val="top"/>
          </w:tcPr>
          <w:p w14:paraId="5FC58DB3">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1020" w:type="dxa"/>
            <w:tcBorders>
              <w:bottom w:val="single" w:color="auto" w:sz="12" w:space="0"/>
            </w:tcBorders>
            <w:noWrap w:val="0"/>
            <w:vAlign w:val="top"/>
          </w:tcPr>
          <w:p w14:paraId="17AA9B18">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c>
          <w:tcPr>
            <w:tcW w:w="932" w:type="dxa"/>
            <w:tcBorders>
              <w:bottom w:val="single" w:color="auto" w:sz="12" w:space="0"/>
            </w:tcBorders>
            <w:noWrap w:val="0"/>
            <w:vAlign w:val="top"/>
          </w:tcPr>
          <w:p w14:paraId="717A3E92">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r>
    </w:tbl>
    <w:p w14:paraId="1EF26413">
      <w:pPr>
        <w:rPr>
          <w:rFonts w:hint="eastAsia" w:ascii="宋体" w:hAnsi="宋体" w:cs="宋体"/>
          <w:color w:val="auto"/>
          <w:szCs w:val="21"/>
          <w:highlight w:val="none"/>
        </w:rPr>
      </w:pPr>
    </w:p>
    <w:p w14:paraId="6AE2E8E0">
      <w:pPr>
        <w:widowControl/>
        <w:spacing w:line="360" w:lineRule="auto"/>
        <w:rPr>
          <w:rFonts w:hint="eastAsia" w:ascii="宋体" w:hAnsi="宋体" w:cs="宋体"/>
          <w:color w:val="auto"/>
          <w:sz w:val="24"/>
          <w:highlight w:val="none"/>
        </w:rPr>
      </w:pPr>
    </w:p>
    <w:p w14:paraId="2F26A899">
      <w:pPr>
        <w:keepNext/>
        <w:keepLines/>
        <w:spacing w:before="120" w:after="120" w:line="360" w:lineRule="auto"/>
        <w:jc w:val="left"/>
        <w:outlineLvl w:val="2"/>
        <w:rPr>
          <w:rFonts w:ascii="宋体" w:hAnsi="宋体" w:cs="宋体"/>
          <w:bCs/>
          <w:color w:val="auto"/>
          <w:sz w:val="24"/>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929" w:name="_Toc95223492"/>
    </w:p>
    <w:p w14:paraId="6063118C">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30" w:name="_Toc296347227"/>
      <w:bookmarkStart w:id="931" w:name="_Toc296944567"/>
      <w:bookmarkStart w:id="932" w:name="_Toc267261699"/>
      <w:bookmarkStart w:id="933" w:name="_Toc296503228"/>
      <w:bookmarkStart w:id="934" w:name="_Toc296891056"/>
      <w:bookmarkStart w:id="935" w:name="_Toc296346729"/>
      <w:bookmarkStart w:id="936" w:name="_Toc296891268"/>
      <w:r>
        <w:rPr>
          <w:rFonts w:hint="eastAsia" w:ascii="宋体" w:hAnsi="宋体" w:cs="宋体"/>
          <w:bCs/>
          <w:color w:val="auto"/>
          <w:sz w:val="24"/>
          <w:highlight w:val="none"/>
        </w:rPr>
        <w:t>件</w:t>
      </w:r>
      <w:bookmarkEnd w:id="930"/>
      <w:bookmarkEnd w:id="931"/>
      <w:bookmarkEnd w:id="932"/>
      <w:bookmarkEnd w:id="933"/>
      <w:bookmarkEnd w:id="934"/>
      <w:bookmarkEnd w:id="935"/>
      <w:bookmarkEnd w:id="936"/>
      <w:r>
        <w:rPr>
          <w:rFonts w:hint="eastAsia" w:ascii="宋体" w:hAnsi="宋体" w:cs="宋体"/>
          <w:bCs/>
          <w:color w:val="auto"/>
          <w:sz w:val="24"/>
          <w:highlight w:val="none"/>
        </w:rPr>
        <w:t>6：承包人主要施工管理人员表</w:t>
      </w:r>
      <w:bookmarkEnd w:id="929"/>
    </w:p>
    <w:p w14:paraId="21BEAD4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47"/>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14:paraId="5E97E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619F2111">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名    称</w:t>
            </w:r>
          </w:p>
        </w:tc>
        <w:tc>
          <w:tcPr>
            <w:tcW w:w="627" w:type="pct"/>
            <w:tcBorders>
              <w:top w:val="single" w:color="auto" w:sz="12" w:space="0"/>
              <w:bottom w:val="double" w:color="auto" w:sz="6" w:space="0"/>
            </w:tcBorders>
            <w:noWrap w:val="0"/>
            <w:vAlign w:val="center"/>
          </w:tcPr>
          <w:p w14:paraId="72B0F1EA">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姓名</w:t>
            </w:r>
          </w:p>
        </w:tc>
        <w:tc>
          <w:tcPr>
            <w:tcW w:w="502" w:type="pct"/>
            <w:tcBorders>
              <w:top w:val="single" w:color="auto" w:sz="12" w:space="0"/>
              <w:bottom w:val="double" w:color="auto" w:sz="6" w:space="0"/>
            </w:tcBorders>
            <w:noWrap w:val="0"/>
            <w:vAlign w:val="center"/>
          </w:tcPr>
          <w:p w14:paraId="7DBF5F27">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职务</w:t>
            </w:r>
          </w:p>
        </w:tc>
        <w:tc>
          <w:tcPr>
            <w:tcW w:w="502" w:type="pct"/>
            <w:tcBorders>
              <w:top w:val="single" w:color="auto" w:sz="12" w:space="0"/>
              <w:bottom w:val="double" w:color="auto" w:sz="6" w:space="0"/>
            </w:tcBorders>
            <w:noWrap w:val="0"/>
            <w:vAlign w:val="center"/>
          </w:tcPr>
          <w:p w14:paraId="7B5A8374">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职称</w:t>
            </w:r>
          </w:p>
        </w:tc>
        <w:tc>
          <w:tcPr>
            <w:tcW w:w="1279" w:type="pct"/>
            <w:tcBorders>
              <w:top w:val="single" w:color="auto" w:sz="12" w:space="0"/>
              <w:bottom w:val="double" w:color="auto" w:sz="6" w:space="0"/>
            </w:tcBorders>
            <w:noWrap w:val="0"/>
            <w:vAlign w:val="center"/>
          </w:tcPr>
          <w:p w14:paraId="62A0EA22">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主要资历、经验及承担过的项目</w:t>
            </w:r>
          </w:p>
        </w:tc>
        <w:tc>
          <w:tcPr>
            <w:tcW w:w="1153" w:type="pct"/>
            <w:tcBorders>
              <w:top w:val="single" w:color="auto" w:sz="12" w:space="0"/>
              <w:bottom w:val="double" w:color="auto" w:sz="6" w:space="0"/>
            </w:tcBorders>
            <w:noWrap w:val="0"/>
            <w:vAlign w:val="top"/>
          </w:tcPr>
          <w:p w14:paraId="013B9547">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身份证号码</w:t>
            </w:r>
          </w:p>
        </w:tc>
      </w:tr>
      <w:tr w14:paraId="645D7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73FC016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一、总部人员</w:t>
            </w:r>
          </w:p>
        </w:tc>
        <w:tc>
          <w:tcPr>
            <w:tcW w:w="1153" w:type="pct"/>
            <w:tcBorders>
              <w:top w:val="double" w:color="auto" w:sz="6" w:space="0"/>
            </w:tcBorders>
            <w:noWrap w:val="0"/>
            <w:vAlign w:val="top"/>
          </w:tcPr>
          <w:p w14:paraId="633F8883">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01C49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10B2F70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项目主管</w:t>
            </w:r>
          </w:p>
        </w:tc>
        <w:tc>
          <w:tcPr>
            <w:tcW w:w="627" w:type="pct"/>
            <w:tcBorders>
              <w:top w:val="nil"/>
            </w:tcBorders>
            <w:noWrap w:val="0"/>
            <w:vAlign w:val="center"/>
          </w:tcPr>
          <w:p w14:paraId="7985D85E">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tcBorders>
              <w:top w:val="nil"/>
            </w:tcBorders>
            <w:noWrap w:val="0"/>
            <w:vAlign w:val="center"/>
          </w:tcPr>
          <w:p w14:paraId="4FEE9672">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tcBorders>
              <w:top w:val="nil"/>
            </w:tcBorders>
            <w:noWrap w:val="0"/>
            <w:vAlign w:val="center"/>
          </w:tcPr>
          <w:p w14:paraId="5F303204">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tcBorders>
              <w:top w:val="nil"/>
            </w:tcBorders>
            <w:noWrap w:val="0"/>
            <w:vAlign w:val="center"/>
          </w:tcPr>
          <w:p w14:paraId="484F66B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tcBorders>
              <w:top w:val="nil"/>
            </w:tcBorders>
            <w:noWrap w:val="0"/>
            <w:vAlign w:val="top"/>
          </w:tcPr>
          <w:p w14:paraId="4AA1AA11">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2B748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2BF025A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627" w:type="pct"/>
            <w:noWrap w:val="0"/>
            <w:vAlign w:val="center"/>
          </w:tcPr>
          <w:p w14:paraId="322505A8">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5F6E7B3A">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3A0DE8B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0701342B">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559828B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68312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178F602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26AD0B5B">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36F2386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2096DCE2">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6A03232C">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3C30594A">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7C783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351CD89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627" w:type="pct"/>
            <w:noWrap w:val="0"/>
            <w:vAlign w:val="center"/>
          </w:tcPr>
          <w:p w14:paraId="17AEB4D1">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18C1FED9">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5640F048">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37888698">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63D3B98B">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4EC0F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4BB47F23">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二、现场人员</w:t>
            </w:r>
          </w:p>
        </w:tc>
        <w:tc>
          <w:tcPr>
            <w:tcW w:w="1153" w:type="pct"/>
            <w:noWrap w:val="0"/>
            <w:vAlign w:val="top"/>
          </w:tcPr>
          <w:p w14:paraId="00193D2A">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42A07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789605A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项目经理</w:t>
            </w:r>
          </w:p>
        </w:tc>
        <w:tc>
          <w:tcPr>
            <w:tcW w:w="627" w:type="pct"/>
            <w:noWrap w:val="0"/>
            <w:vAlign w:val="center"/>
          </w:tcPr>
          <w:p w14:paraId="39B381F0">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23205B86">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12F88A4C">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67676700">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0D777F4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62839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5FEE929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项目副经理</w:t>
            </w:r>
          </w:p>
        </w:tc>
        <w:tc>
          <w:tcPr>
            <w:tcW w:w="627" w:type="pct"/>
            <w:noWrap w:val="0"/>
            <w:vAlign w:val="center"/>
          </w:tcPr>
          <w:p w14:paraId="5798D9BC">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0E1C9A32">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6822CAA2">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488BC659">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5C9A78EE">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74A63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70D7254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项目技术负责人</w:t>
            </w:r>
          </w:p>
        </w:tc>
        <w:tc>
          <w:tcPr>
            <w:tcW w:w="627" w:type="pct"/>
            <w:noWrap w:val="0"/>
            <w:vAlign w:val="center"/>
          </w:tcPr>
          <w:p w14:paraId="506822CD">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4401E6A5">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39B40029">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7643101D">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5E4F395B">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1A96F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90B253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施工员</w:t>
            </w:r>
          </w:p>
        </w:tc>
        <w:tc>
          <w:tcPr>
            <w:tcW w:w="627" w:type="pct"/>
            <w:noWrap w:val="0"/>
            <w:vAlign w:val="center"/>
          </w:tcPr>
          <w:p w14:paraId="1D3695AE">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7332580E">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67C6D16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3D04D1D6">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4EE6DE6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77A2C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76304B9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质检员（质量员）</w:t>
            </w:r>
          </w:p>
        </w:tc>
        <w:tc>
          <w:tcPr>
            <w:tcW w:w="627" w:type="pct"/>
            <w:noWrap w:val="0"/>
            <w:vAlign w:val="center"/>
          </w:tcPr>
          <w:p w14:paraId="17B6124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021A7E01">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1CCDF7AD">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10D8510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6CCE8E91">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2D46B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EB7B9E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安全员</w:t>
            </w:r>
          </w:p>
        </w:tc>
        <w:tc>
          <w:tcPr>
            <w:tcW w:w="627" w:type="pct"/>
            <w:noWrap w:val="0"/>
            <w:vAlign w:val="center"/>
          </w:tcPr>
          <w:p w14:paraId="7E57E4A5">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76FB1540">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635820F4">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42779CD6">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60C2A54C">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449C1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7504BF1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资料员</w:t>
            </w:r>
          </w:p>
        </w:tc>
        <w:tc>
          <w:tcPr>
            <w:tcW w:w="627" w:type="pct"/>
            <w:noWrap w:val="0"/>
            <w:vAlign w:val="center"/>
          </w:tcPr>
          <w:p w14:paraId="31E9BF73">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65CDF58D">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277D97B2">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7FF1BC62">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78A07620">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1522E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1306757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0A0B55A0">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60F416BC">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5AA1D7DA">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3904B639">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41D366E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7C945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7C00D5BC">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627" w:type="pct"/>
            <w:tcBorders>
              <w:bottom w:val="nil"/>
            </w:tcBorders>
            <w:noWrap w:val="0"/>
            <w:vAlign w:val="center"/>
          </w:tcPr>
          <w:p w14:paraId="6F7DFEA4">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tcBorders>
              <w:bottom w:val="nil"/>
            </w:tcBorders>
            <w:noWrap w:val="0"/>
            <w:vAlign w:val="center"/>
          </w:tcPr>
          <w:p w14:paraId="46F7FEDD">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tcBorders>
              <w:bottom w:val="nil"/>
            </w:tcBorders>
            <w:noWrap w:val="0"/>
            <w:vAlign w:val="center"/>
          </w:tcPr>
          <w:p w14:paraId="05F9D667">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tcBorders>
              <w:bottom w:val="nil"/>
            </w:tcBorders>
            <w:noWrap w:val="0"/>
            <w:vAlign w:val="center"/>
          </w:tcPr>
          <w:p w14:paraId="6A767720">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tcBorders>
              <w:bottom w:val="nil"/>
            </w:tcBorders>
            <w:noWrap w:val="0"/>
            <w:vAlign w:val="top"/>
          </w:tcPr>
          <w:p w14:paraId="2FEF6D7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1E722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345036CB">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627" w:type="pct"/>
            <w:noWrap w:val="0"/>
            <w:vAlign w:val="center"/>
          </w:tcPr>
          <w:p w14:paraId="50AF7ED8">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5BB7C9D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761E15F8">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6409A867">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505A5F37">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5BF6B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5C7C366B">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627" w:type="pct"/>
            <w:noWrap w:val="0"/>
            <w:vAlign w:val="center"/>
          </w:tcPr>
          <w:p w14:paraId="2F165DB6">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6DB4F168">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563FA5D0">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293E8FB2">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58733A40">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37582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627D566A">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627" w:type="pct"/>
            <w:noWrap w:val="0"/>
            <w:vAlign w:val="center"/>
          </w:tcPr>
          <w:p w14:paraId="63399043">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15A3782C">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noWrap w:val="0"/>
            <w:vAlign w:val="center"/>
          </w:tcPr>
          <w:p w14:paraId="2D65AF4A">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noWrap w:val="0"/>
            <w:vAlign w:val="center"/>
          </w:tcPr>
          <w:p w14:paraId="3D569E24">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noWrap w:val="0"/>
            <w:vAlign w:val="top"/>
          </w:tcPr>
          <w:p w14:paraId="47AC808E">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6140E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64562052">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627" w:type="pct"/>
            <w:tcBorders>
              <w:bottom w:val="single" w:color="auto" w:sz="12" w:space="0"/>
            </w:tcBorders>
            <w:noWrap w:val="0"/>
            <w:vAlign w:val="center"/>
          </w:tcPr>
          <w:p w14:paraId="1B03F011">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tcBorders>
              <w:bottom w:val="single" w:color="auto" w:sz="12" w:space="0"/>
            </w:tcBorders>
            <w:noWrap w:val="0"/>
            <w:vAlign w:val="center"/>
          </w:tcPr>
          <w:p w14:paraId="7A89F0BA">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02" w:type="pct"/>
            <w:tcBorders>
              <w:bottom w:val="single" w:color="auto" w:sz="12" w:space="0"/>
            </w:tcBorders>
            <w:noWrap w:val="0"/>
            <w:vAlign w:val="center"/>
          </w:tcPr>
          <w:p w14:paraId="60B5B47B">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279" w:type="pct"/>
            <w:tcBorders>
              <w:bottom w:val="single" w:color="auto" w:sz="12" w:space="0"/>
            </w:tcBorders>
            <w:noWrap w:val="0"/>
            <w:vAlign w:val="center"/>
          </w:tcPr>
          <w:p w14:paraId="403CEC73">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53" w:type="pct"/>
            <w:tcBorders>
              <w:bottom w:val="single" w:color="auto" w:sz="12" w:space="0"/>
            </w:tcBorders>
            <w:noWrap w:val="0"/>
            <w:vAlign w:val="top"/>
          </w:tcPr>
          <w:p w14:paraId="0283F8F0">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bl>
    <w:p w14:paraId="0F2FB840">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br w:type="page"/>
      </w:r>
      <w:bookmarkStart w:id="937" w:name="_Toc95223493"/>
      <w:r>
        <w:rPr>
          <w:rFonts w:hint="eastAsia" w:ascii="宋体" w:hAnsi="宋体" w:cs="宋体"/>
          <w:bCs/>
          <w:color w:val="auto"/>
          <w:sz w:val="24"/>
          <w:highlight w:val="none"/>
        </w:rPr>
        <w:t>附</w:t>
      </w:r>
      <w:bookmarkStart w:id="938" w:name="_Toc296944568"/>
      <w:bookmarkStart w:id="939" w:name="_Toc296346730"/>
      <w:bookmarkStart w:id="940" w:name="_Toc296503229"/>
      <w:bookmarkStart w:id="941" w:name="_Toc296891057"/>
      <w:bookmarkStart w:id="942" w:name="_Toc296891269"/>
      <w:bookmarkStart w:id="943" w:name="_Toc296347228"/>
      <w:r>
        <w:rPr>
          <w:rFonts w:hint="eastAsia" w:ascii="宋体" w:hAnsi="宋体" w:cs="宋体"/>
          <w:bCs/>
          <w:color w:val="auto"/>
          <w:sz w:val="24"/>
          <w:highlight w:val="none"/>
        </w:rPr>
        <w:t>件7：分包人主要施工管理人员表</w:t>
      </w:r>
      <w:bookmarkEnd w:id="937"/>
    </w:p>
    <w:bookmarkEnd w:id="938"/>
    <w:bookmarkEnd w:id="939"/>
    <w:bookmarkEnd w:id="940"/>
    <w:bookmarkEnd w:id="941"/>
    <w:bookmarkEnd w:id="942"/>
    <w:bookmarkEnd w:id="943"/>
    <w:p w14:paraId="6A779F45">
      <w:pPr>
        <w:spacing w:before="120" w:beforeLines="50" w:after="120" w:afterLines="50" w:line="360" w:lineRule="auto"/>
        <w:jc w:val="center"/>
        <w:rPr>
          <w:rFonts w:hint="eastAsia" w:ascii="宋体" w:hAnsi="宋体" w:cs="宋体"/>
          <w:b/>
          <w:color w:val="auto"/>
          <w:szCs w:val="21"/>
          <w:highlight w:val="none"/>
        </w:rPr>
      </w:pPr>
      <w:bookmarkStart w:id="944" w:name="_Toc22101"/>
      <w:bookmarkStart w:id="945" w:name="_Toc179"/>
      <w:bookmarkStart w:id="946" w:name="_Toc95223494"/>
      <w:r>
        <w:rPr>
          <w:rFonts w:hint="eastAsia" w:ascii="宋体" w:hAnsi="宋体" w:cs="宋体"/>
          <w:b/>
          <w:color w:val="auto"/>
          <w:szCs w:val="21"/>
          <w:highlight w:val="none"/>
        </w:rPr>
        <w:t>分包人主要施工管理人员表</w:t>
      </w:r>
      <w:bookmarkEnd w:id="944"/>
      <w:bookmarkEnd w:id="945"/>
      <w:bookmarkEnd w:id="946"/>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25"/>
        <w:gridCol w:w="1156"/>
        <w:gridCol w:w="925"/>
        <w:gridCol w:w="674"/>
        <w:gridCol w:w="3119"/>
        <w:gridCol w:w="1616"/>
      </w:tblGrid>
      <w:tr w14:paraId="22A95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single" w:color="auto" w:sz="12" w:space="0"/>
              <w:bottom w:val="double" w:color="auto" w:sz="6" w:space="0"/>
            </w:tcBorders>
            <w:noWrap w:val="0"/>
            <w:vAlign w:val="center"/>
          </w:tcPr>
          <w:p w14:paraId="30D11DD3">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名    称</w:t>
            </w:r>
          </w:p>
        </w:tc>
        <w:tc>
          <w:tcPr>
            <w:tcW w:w="641" w:type="pct"/>
            <w:tcBorders>
              <w:top w:val="single" w:color="auto" w:sz="12" w:space="0"/>
              <w:bottom w:val="double" w:color="auto" w:sz="6" w:space="0"/>
            </w:tcBorders>
            <w:noWrap w:val="0"/>
            <w:vAlign w:val="center"/>
          </w:tcPr>
          <w:p w14:paraId="6EC8330D">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姓名</w:t>
            </w:r>
          </w:p>
        </w:tc>
        <w:tc>
          <w:tcPr>
            <w:tcW w:w="513" w:type="pct"/>
            <w:tcBorders>
              <w:top w:val="single" w:color="auto" w:sz="12" w:space="0"/>
              <w:bottom w:val="double" w:color="auto" w:sz="6" w:space="0"/>
            </w:tcBorders>
            <w:noWrap w:val="0"/>
            <w:vAlign w:val="center"/>
          </w:tcPr>
          <w:p w14:paraId="250EC9D9">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职务</w:t>
            </w:r>
          </w:p>
        </w:tc>
        <w:tc>
          <w:tcPr>
            <w:tcW w:w="374" w:type="pct"/>
            <w:tcBorders>
              <w:top w:val="single" w:color="auto" w:sz="12" w:space="0"/>
              <w:bottom w:val="double" w:color="auto" w:sz="6" w:space="0"/>
            </w:tcBorders>
            <w:noWrap w:val="0"/>
            <w:vAlign w:val="center"/>
          </w:tcPr>
          <w:p w14:paraId="64C4FF23">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职称</w:t>
            </w:r>
          </w:p>
        </w:tc>
        <w:tc>
          <w:tcPr>
            <w:tcW w:w="1730" w:type="pct"/>
            <w:tcBorders>
              <w:top w:val="single" w:color="auto" w:sz="12" w:space="0"/>
              <w:bottom w:val="double" w:color="auto" w:sz="6" w:space="0"/>
            </w:tcBorders>
            <w:noWrap w:val="0"/>
            <w:vAlign w:val="center"/>
          </w:tcPr>
          <w:p w14:paraId="23847513">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主要资历、经验及承担过的项目</w:t>
            </w:r>
          </w:p>
        </w:tc>
        <w:tc>
          <w:tcPr>
            <w:tcW w:w="896" w:type="pct"/>
            <w:tcBorders>
              <w:top w:val="single" w:color="auto" w:sz="12" w:space="0"/>
              <w:bottom w:val="double" w:color="auto" w:sz="6" w:space="0"/>
            </w:tcBorders>
            <w:noWrap w:val="0"/>
            <w:vAlign w:val="center"/>
          </w:tcPr>
          <w:p w14:paraId="60B683FF">
            <w:pPr>
              <w:keepNext/>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身份证号码</w:t>
            </w:r>
          </w:p>
        </w:tc>
      </w:tr>
      <w:tr w14:paraId="5ABBF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noWrap w:val="0"/>
            <w:vAlign w:val="center"/>
          </w:tcPr>
          <w:p w14:paraId="374A2F27">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一、总部人员</w:t>
            </w:r>
          </w:p>
        </w:tc>
        <w:tc>
          <w:tcPr>
            <w:tcW w:w="896" w:type="pct"/>
            <w:tcBorders>
              <w:top w:val="double" w:color="auto" w:sz="6" w:space="0"/>
            </w:tcBorders>
            <w:noWrap w:val="0"/>
            <w:vAlign w:val="top"/>
          </w:tcPr>
          <w:p w14:paraId="01DA5163">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117D1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0A9DB7A9">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项目主管</w:t>
            </w:r>
          </w:p>
        </w:tc>
        <w:tc>
          <w:tcPr>
            <w:tcW w:w="641" w:type="pct"/>
            <w:tcBorders>
              <w:top w:val="nil"/>
            </w:tcBorders>
            <w:noWrap w:val="0"/>
            <w:vAlign w:val="center"/>
          </w:tcPr>
          <w:p w14:paraId="378EF589">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tcBorders>
              <w:top w:val="nil"/>
            </w:tcBorders>
            <w:noWrap w:val="0"/>
            <w:vAlign w:val="center"/>
          </w:tcPr>
          <w:p w14:paraId="2207B7AF">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tcBorders>
              <w:top w:val="nil"/>
            </w:tcBorders>
            <w:noWrap w:val="0"/>
            <w:vAlign w:val="center"/>
          </w:tcPr>
          <w:p w14:paraId="1EFA3526">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tcBorders>
              <w:top w:val="nil"/>
            </w:tcBorders>
            <w:noWrap w:val="0"/>
            <w:vAlign w:val="center"/>
          </w:tcPr>
          <w:p w14:paraId="5969708E">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tcBorders>
              <w:top w:val="nil"/>
            </w:tcBorders>
            <w:noWrap w:val="0"/>
            <w:vAlign w:val="top"/>
          </w:tcPr>
          <w:p w14:paraId="7760E4A1">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28DC6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bottom w:val="nil"/>
            </w:tcBorders>
            <w:noWrap w:val="0"/>
            <w:vAlign w:val="center"/>
          </w:tcPr>
          <w:p w14:paraId="01E097EE">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641" w:type="pct"/>
            <w:noWrap w:val="0"/>
            <w:vAlign w:val="center"/>
          </w:tcPr>
          <w:p w14:paraId="48EEDB61">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6ECD11D4">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49003D75">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041CA4A5">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310AC0CA">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087C9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5A52F6AD">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其他人员</w:t>
            </w:r>
          </w:p>
        </w:tc>
        <w:tc>
          <w:tcPr>
            <w:tcW w:w="641" w:type="pct"/>
            <w:noWrap w:val="0"/>
            <w:vAlign w:val="center"/>
          </w:tcPr>
          <w:p w14:paraId="3401B581">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44565D8E">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0F48FA9B">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382B4837">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0944F0D2">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6E432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noWrap w:val="0"/>
            <w:vAlign w:val="center"/>
          </w:tcPr>
          <w:p w14:paraId="3E8735EF">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641" w:type="pct"/>
            <w:noWrap w:val="0"/>
            <w:vAlign w:val="center"/>
          </w:tcPr>
          <w:p w14:paraId="73B62A58">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02491203">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078741D9">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43DC3411">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6107B9FF">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65AE5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noWrap w:val="0"/>
            <w:vAlign w:val="center"/>
          </w:tcPr>
          <w:p w14:paraId="51DDEA28">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二、现场人员</w:t>
            </w:r>
          </w:p>
        </w:tc>
        <w:tc>
          <w:tcPr>
            <w:tcW w:w="896" w:type="pct"/>
            <w:noWrap w:val="0"/>
            <w:vAlign w:val="top"/>
          </w:tcPr>
          <w:p w14:paraId="1939365C">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74A93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2CD65531">
            <w:pPr>
              <w:keepNext w:val="0"/>
              <w:keepLines w:val="0"/>
              <w:suppressLineNumbers w:val="0"/>
              <w:spacing w:before="0" w:beforeAutospacing="0" w:after="0" w:afterAutospacing="0" w:line="360" w:lineRule="auto"/>
              <w:ind w:left="0" w:right="0"/>
              <w:rPr>
                <w:rFonts w:hint="default" w:ascii="宋体" w:hAnsi="宋体" w:cs="宋体"/>
                <w:color w:val="auto"/>
                <w:szCs w:val="22"/>
                <w:highlight w:val="none"/>
              </w:rPr>
            </w:pPr>
            <w:r>
              <w:rPr>
                <w:rFonts w:hint="eastAsia" w:ascii="宋体" w:hAnsi="宋体" w:cs="宋体"/>
                <w:color w:val="auto"/>
                <w:szCs w:val="22"/>
                <w:highlight w:val="none"/>
              </w:rPr>
              <w:t>项目经理</w:t>
            </w:r>
          </w:p>
        </w:tc>
        <w:tc>
          <w:tcPr>
            <w:tcW w:w="641" w:type="pct"/>
            <w:noWrap w:val="0"/>
            <w:vAlign w:val="center"/>
          </w:tcPr>
          <w:p w14:paraId="62132A75">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5DE7DFD8">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303BB912">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7ABCAFBF">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688BE39B">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37B57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192F6C49">
            <w:pPr>
              <w:keepNext w:val="0"/>
              <w:keepLines w:val="0"/>
              <w:suppressLineNumbers w:val="0"/>
              <w:spacing w:before="0" w:beforeAutospacing="0" w:after="0" w:afterAutospacing="0" w:line="360" w:lineRule="auto"/>
              <w:ind w:left="0" w:right="0"/>
              <w:rPr>
                <w:rFonts w:hint="default" w:ascii="宋体" w:hAnsi="宋体" w:cs="宋体"/>
                <w:color w:val="auto"/>
                <w:szCs w:val="22"/>
                <w:highlight w:val="none"/>
              </w:rPr>
            </w:pPr>
            <w:r>
              <w:rPr>
                <w:rFonts w:hint="eastAsia" w:ascii="宋体" w:hAnsi="宋体" w:cs="宋体"/>
                <w:color w:val="auto"/>
                <w:szCs w:val="22"/>
                <w:highlight w:val="none"/>
              </w:rPr>
              <w:t>项目副经理</w:t>
            </w:r>
          </w:p>
        </w:tc>
        <w:tc>
          <w:tcPr>
            <w:tcW w:w="641" w:type="pct"/>
            <w:noWrap w:val="0"/>
            <w:vAlign w:val="center"/>
          </w:tcPr>
          <w:p w14:paraId="1B4243FF">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37F5546A">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753B31C6">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1CD3AAB0">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0BF7C43C">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0895F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6629ED8D">
            <w:pPr>
              <w:keepNext w:val="0"/>
              <w:keepLines w:val="0"/>
              <w:suppressLineNumbers w:val="0"/>
              <w:spacing w:before="0" w:beforeAutospacing="0" w:after="0" w:afterAutospacing="0" w:line="360" w:lineRule="auto"/>
              <w:ind w:left="0" w:right="0"/>
              <w:rPr>
                <w:rFonts w:hint="default" w:ascii="宋体" w:hAnsi="宋体" w:cs="宋体"/>
                <w:color w:val="auto"/>
                <w:szCs w:val="22"/>
                <w:highlight w:val="none"/>
              </w:rPr>
            </w:pPr>
            <w:r>
              <w:rPr>
                <w:rFonts w:hint="eastAsia" w:ascii="宋体" w:hAnsi="宋体" w:cs="宋体"/>
                <w:color w:val="auto"/>
                <w:szCs w:val="22"/>
                <w:highlight w:val="none"/>
              </w:rPr>
              <w:t>项目技术负责人</w:t>
            </w:r>
          </w:p>
        </w:tc>
        <w:tc>
          <w:tcPr>
            <w:tcW w:w="641" w:type="pct"/>
            <w:noWrap w:val="0"/>
            <w:vAlign w:val="center"/>
          </w:tcPr>
          <w:p w14:paraId="04499532">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24CE84C6">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766AB3FE">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179D3CB2">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239785D3">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06B88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196F34B8">
            <w:pPr>
              <w:keepNext w:val="0"/>
              <w:keepLines w:val="0"/>
              <w:suppressLineNumbers w:val="0"/>
              <w:spacing w:before="0" w:beforeAutospacing="0" w:after="0" w:afterAutospacing="0" w:line="360" w:lineRule="auto"/>
              <w:ind w:left="0" w:right="0"/>
              <w:rPr>
                <w:rFonts w:hint="default" w:ascii="宋体" w:hAnsi="宋体" w:cs="宋体"/>
                <w:color w:val="auto"/>
                <w:szCs w:val="22"/>
                <w:highlight w:val="none"/>
              </w:rPr>
            </w:pPr>
            <w:r>
              <w:rPr>
                <w:rFonts w:hint="eastAsia" w:ascii="宋体" w:hAnsi="宋体" w:cs="宋体"/>
                <w:color w:val="auto"/>
                <w:szCs w:val="22"/>
                <w:highlight w:val="none"/>
              </w:rPr>
              <w:t>施工员</w:t>
            </w:r>
          </w:p>
        </w:tc>
        <w:tc>
          <w:tcPr>
            <w:tcW w:w="641" w:type="pct"/>
            <w:noWrap w:val="0"/>
            <w:vAlign w:val="center"/>
          </w:tcPr>
          <w:p w14:paraId="417B675A">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151C4FCB">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0968AA8C">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78ED5BA0">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166BD07A">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6FF51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08A4A4C1">
            <w:pPr>
              <w:keepNext w:val="0"/>
              <w:keepLines w:val="0"/>
              <w:suppressLineNumbers w:val="0"/>
              <w:spacing w:before="0" w:beforeAutospacing="0" w:after="0" w:afterAutospacing="0" w:line="360" w:lineRule="auto"/>
              <w:ind w:left="0" w:right="0"/>
              <w:rPr>
                <w:rFonts w:hint="default" w:ascii="宋体" w:hAnsi="宋体" w:cs="宋体"/>
                <w:color w:val="auto"/>
                <w:szCs w:val="22"/>
                <w:highlight w:val="none"/>
              </w:rPr>
            </w:pPr>
            <w:r>
              <w:rPr>
                <w:rFonts w:hint="eastAsia" w:ascii="宋体" w:hAnsi="宋体" w:cs="宋体"/>
                <w:color w:val="auto"/>
                <w:szCs w:val="22"/>
                <w:highlight w:val="none"/>
              </w:rPr>
              <w:t>质检员（质量员）</w:t>
            </w:r>
          </w:p>
        </w:tc>
        <w:tc>
          <w:tcPr>
            <w:tcW w:w="641" w:type="pct"/>
            <w:noWrap w:val="0"/>
            <w:vAlign w:val="center"/>
          </w:tcPr>
          <w:p w14:paraId="2AD3DDAD">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0E62F710">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2DD90F91">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1838DA04">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73A2D8CD">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64610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5795CF87">
            <w:pPr>
              <w:keepNext w:val="0"/>
              <w:keepLines w:val="0"/>
              <w:suppressLineNumbers w:val="0"/>
              <w:spacing w:before="0" w:beforeAutospacing="0" w:after="0" w:afterAutospacing="0" w:line="360" w:lineRule="auto"/>
              <w:ind w:left="0" w:right="0"/>
              <w:rPr>
                <w:rFonts w:hint="default" w:ascii="宋体" w:hAnsi="宋体" w:cs="宋体"/>
                <w:color w:val="auto"/>
                <w:szCs w:val="22"/>
                <w:highlight w:val="none"/>
              </w:rPr>
            </w:pPr>
            <w:r>
              <w:rPr>
                <w:rFonts w:hint="eastAsia" w:ascii="宋体" w:hAnsi="宋体" w:cs="宋体"/>
                <w:color w:val="auto"/>
                <w:szCs w:val="22"/>
                <w:highlight w:val="none"/>
              </w:rPr>
              <w:t>安全员</w:t>
            </w:r>
          </w:p>
        </w:tc>
        <w:tc>
          <w:tcPr>
            <w:tcW w:w="641" w:type="pct"/>
            <w:noWrap w:val="0"/>
            <w:vAlign w:val="center"/>
          </w:tcPr>
          <w:p w14:paraId="0EB76D38">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247CF5B2">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4D9AABC6">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693A9BFE">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431A67A6">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2532E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noWrap w:val="0"/>
            <w:vAlign w:val="top"/>
          </w:tcPr>
          <w:p w14:paraId="138F126D">
            <w:pPr>
              <w:keepNext w:val="0"/>
              <w:keepLines w:val="0"/>
              <w:suppressLineNumbers w:val="0"/>
              <w:spacing w:before="0" w:beforeAutospacing="0" w:after="0" w:afterAutospacing="0" w:line="360" w:lineRule="auto"/>
              <w:ind w:left="0" w:right="0"/>
              <w:rPr>
                <w:rFonts w:hint="default" w:ascii="宋体" w:hAnsi="宋体" w:cs="宋体"/>
                <w:color w:val="auto"/>
                <w:szCs w:val="22"/>
                <w:highlight w:val="none"/>
              </w:rPr>
            </w:pPr>
            <w:r>
              <w:rPr>
                <w:rFonts w:hint="eastAsia" w:ascii="宋体" w:hAnsi="宋体" w:cs="宋体"/>
                <w:color w:val="auto"/>
                <w:szCs w:val="22"/>
                <w:highlight w:val="none"/>
              </w:rPr>
              <w:t>资料员</w:t>
            </w:r>
          </w:p>
        </w:tc>
        <w:tc>
          <w:tcPr>
            <w:tcW w:w="641" w:type="pct"/>
            <w:noWrap w:val="0"/>
            <w:vAlign w:val="center"/>
          </w:tcPr>
          <w:p w14:paraId="58697332">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587141C3">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4FBCE1D1">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4C2EA1FE">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62D542E7">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06796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restart"/>
            <w:noWrap w:val="0"/>
            <w:vAlign w:val="center"/>
          </w:tcPr>
          <w:p w14:paraId="6664CA87">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其他人员</w:t>
            </w:r>
          </w:p>
        </w:tc>
        <w:tc>
          <w:tcPr>
            <w:tcW w:w="641" w:type="pct"/>
            <w:noWrap w:val="0"/>
            <w:vAlign w:val="center"/>
          </w:tcPr>
          <w:p w14:paraId="3A55F990">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2AB6EBD9">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1E0AAED5">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32186CDF">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3D7C33C2">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56C3B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28046391">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641" w:type="pct"/>
            <w:tcBorders>
              <w:bottom w:val="nil"/>
            </w:tcBorders>
            <w:noWrap w:val="0"/>
            <w:vAlign w:val="center"/>
          </w:tcPr>
          <w:p w14:paraId="1F77A6D2">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tcBorders>
              <w:bottom w:val="nil"/>
            </w:tcBorders>
            <w:noWrap w:val="0"/>
            <w:vAlign w:val="center"/>
          </w:tcPr>
          <w:p w14:paraId="6CB0092D">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tcBorders>
              <w:bottom w:val="nil"/>
            </w:tcBorders>
            <w:noWrap w:val="0"/>
            <w:vAlign w:val="center"/>
          </w:tcPr>
          <w:p w14:paraId="5EF13CF3">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tcBorders>
              <w:bottom w:val="nil"/>
            </w:tcBorders>
            <w:noWrap w:val="0"/>
            <w:vAlign w:val="center"/>
          </w:tcPr>
          <w:p w14:paraId="1B23C840">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tcBorders>
              <w:bottom w:val="nil"/>
            </w:tcBorders>
            <w:noWrap w:val="0"/>
            <w:vAlign w:val="top"/>
          </w:tcPr>
          <w:p w14:paraId="58B73D5F">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621FE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058172C0">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641" w:type="pct"/>
            <w:noWrap w:val="0"/>
            <w:vAlign w:val="center"/>
          </w:tcPr>
          <w:p w14:paraId="104C2453">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1B93ED4A">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6686C7B8">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7E8B5E4A">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6674111F">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3E5E5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46BC8E59">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641" w:type="pct"/>
            <w:noWrap w:val="0"/>
            <w:vAlign w:val="center"/>
          </w:tcPr>
          <w:p w14:paraId="208A8503">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0C7E12D1">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70F6C6B0">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2C4B1506">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5A52118A">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50C8F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noWrap w:val="0"/>
            <w:vAlign w:val="center"/>
          </w:tcPr>
          <w:p w14:paraId="03AE6463">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641" w:type="pct"/>
            <w:noWrap w:val="0"/>
            <w:vAlign w:val="center"/>
          </w:tcPr>
          <w:p w14:paraId="44964627">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noWrap w:val="0"/>
            <w:vAlign w:val="center"/>
          </w:tcPr>
          <w:p w14:paraId="648D5284">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noWrap w:val="0"/>
            <w:vAlign w:val="center"/>
          </w:tcPr>
          <w:p w14:paraId="403B14EA">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noWrap w:val="0"/>
            <w:vAlign w:val="center"/>
          </w:tcPr>
          <w:p w14:paraId="1B869798">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noWrap w:val="0"/>
            <w:vAlign w:val="top"/>
          </w:tcPr>
          <w:p w14:paraId="7B0CE7B4">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r w14:paraId="34842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tcBorders>
              <w:bottom w:val="single" w:color="auto" w:sz="12" w:space="0"/>
            </w:tcBorders>
            <w:noWrap w:val="0"/>
            <w:vAlign w:val="center"/>
          </w:tcPr>
          <w:p w14:paraId="467B15BB">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641" w:type="pct"/>
            <w:tcBorders>
              <w:bottom w:val="single" w:color="auto" w:sz="12" w:space="0"/>
            </w:tcBorders>
            <w:noWrap w:val="0"/>
            <w:vAlign w:val="center"/>
          </w:tcPr>
          <w:p w14:paraId="267988BD">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513" w:type="pct"/>
            <w:tcBorders>
              <w:bottom w:val="single" w:color="auto" w:sz="12" w:space="0"/>
            </w:tcBorders>
            <w:noWrap w:val="0"/>
            <w:vAlign w:val="center"/>
          </w:tcPr>
          <w:p w14:paraId="7E49C2A4">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374" w:type="pct"/>
            <w:tcBorders>
              <w:bottom w:val="single" w:color="auto" w:sz="12" w:space="0"/>
            </w:tcBorders>
            <w:noWrap w:val="0"/>
            <w:vAlign w:val="center"/>
          </w:tcPr>
          <w:p w14:paraId="7AEAF5EA">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1730" w:type="pct"/>
            <w:tcBorders>
              <w:bottom w:val="single" w:color="auto" w:sz="12" w:space="0"/>
            </w:tcBorders>
            <w:noWrap w:val="0"/>
            <w:vAlign w:val="center"/>
          </w:tcPr>
          <w:p w14:paraId="1BC35919">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96" w:type="pct"/>
            <w:tcBorders>
              <w:bottom w:val="single" w:color="auto" w:sz="12" w:space="0"/>
            </w:tcBorders>
            <w:noWrap w:val="0"/>
            <w:vAlign w:val="top"/>
          </w:tcPr>
          <w:p w14:paraId="25143860">
            <w:pPr>
              <w:keepNext/>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r>
    </w:tbl>
    <w:p w14:paraId="7AD449D2">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br w:type="page"/>
      </w:r>
      <w:bookmarkStart w:id="947" w:name="_Toc95223495"/>
      <w:bookmarkStart w:id="948" w:name="_Toc25726"/>
      <w:bookmarkStart w:id="949" w:name="_Toc7655"/>
      <w:r>
        <w:rPr>
          <w:rFonts w:hint="eastAsia" w:ascii="宋体" w:hAnsi="宋体" w:cs="宋体"/>
          <w:bCs/>
          <w:color w:val="auto"/>
          <w:sz w:val="24"/>
          <w:highlight w:val="none"/>
        </w:rPr>
        <w:t>附</w:t>
      </w:r>
      <w:bookmarkStart w:id="950" w:name="_Toc296891271"/>
      <w:bookmarkStart w:id="951" w:name="_Toc296891059"/>
      <w:bookmarkStart w:id="952" w:name="_Toc296944570"/>
      <w:bookmarkStart w:id="953" w:name="_Toc296346732"/>
      <w:bookmarkStart w:id="954" w:name="_Toc296503231"/>
      <w:bookmarkStart w:id="955" w:name="_Toc296347230"/>
      <w:r>
        <w:rPr>
          <w:rFonts w:hint="eastAsia" w:ascii="宋体" w:hAnsi="宋体" w:cs="宋体"/>
          <w:bCs/>
          <w:color w:val="auto"/>
          <w:sz w:val="24"/>
          <w:highlight w:val="none"/>
        </w:rPr>
        <w:t>件8：廉政协议</w:t>
      </w:r>
      <w:bookmarkEnd w:id="947"/>
      <w:bookmarkEnd w:id="948"/>
      <w:bookmarkEnd w:id="949"/>
    </w:p>
    <w:bookmarkEnd w:id="950"/>
    <w:bookmarkEnd w:id="951"/>
    <w:bookmarkEnd w:id="952"/>
    <w:bookmarkEnd w:id="953"/>
    <w:bookmarkEnd w:id="954"/>
    <w:bookmarkEnd w:id="955"/>
    <w:p w14:paraId="50971385">
      <w:pPr>
        <w:widowControl/>
        <w:spacing w:line="360" w:lineRule="auto"/>
        <w:ind w:firstLine="641"/>
        <w:jc w:val="center"/>
        <w:rPr>
          <w:rFonts w:hint="eastAsia" w:ascii="宋体" w:hAnsi="宋体" w:cs="宋体"/>
          <w:b/>
          <w:bCs/>
          <w:color w:val="auto"/>
          <w:kern w:val="0"/>
          <w:sz w:val="32"/>
          <w:szCs w:val="32"/>
          <w:highlight w:val="none"/>
        </w:rPr>
      </w:pPr>
      <w:bookmarkStart w:id="956" w:name="_Toc7607"/>
      <w:bookmarkStart w:id="957" w:name="_Toc95223496"/>
      <w:bookmarkStart w:id="958" w:name="_Toc9808"/>
      <w:r>
        <w:rPr>
          <w:rFonts w:hint="eastAsia" w:ascii="宋体" w:hAnsi="宋体" w:cs="宋体"/>
          <w:b/>
          <w:bCs/>
          <w:color w:val="auto"/>
          <w:kern w:val="0"/>
          <w:sz w:val="32"/>
          <w:szCs w:val="32"/>
          <w:highlight w:val="none"/>
        </w:rPr>
        <w:t>廉 政 协 议</w:t>
      </w:r>
      <w:bookmarkEnd w:id="956"/>
      <w:bookmarkEnd w:id="957"/>
      <w:bookmarkEnd w:id="958"/>
    </w:p>
    <w:p w14:paraId="2918F35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为促进双方诚信经营、廉洁从业，防范商业贿赂，保护国家、集体和当事人的合法权益，根据国家有关法律法规和安徽省、项目所在地廉政建设的规定，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(以下称甲方)与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(以下称乙方)，特此订立本协议共同遵照执行。</w:t>
      </w:r>
    </w:p>
    <w:p w14:paraId="2B3A2538">
      <w:pPr>
        <w:widowControl/>
        <w:spacing w:line="360" w:lineRule="auto"/>
        <w:ind w:firstLine="420" w:firstLineChars="200"/>
        <w:jc w:val="left"/>
        <w:rPr>
          <w:rFonts w:hint="eastAsia" w:ascii="宋体" w:hAnsi="宋体" w:cs="宋体"/>
          <w:color w:val="auto"/>
          <w:kern w:val="0"/>
          <w:szCs w:val="21"/>
          <w:highlight w:val="none"/>
        </w:rPr>
      </w:pPr>
      <w:bookmarkStart w:id="959" w:name="_Toc95223497"/>
      <w:bookmarkStart w:id="960" w:name="_Toc9888"/>
      <w:bookmarkStart w:id="961" w:name="_Toc21306"/>
      <w:r>
        <w:rPr>
          <w:rFonts w:hint="eastAsia" w:ascii="宋体" w:hAnsi="宋体" w:cs="宋体"/>
          <w:color w:val="auto"/>
          <w:kern w:val="0"/>
          <w:szCs w:val="21"/>
          <w:highlight w:val="none"/>
        </w:rPr>
        <w:t>第一条 甲乙双方的权利和义务</w:t>
      </w:r>
      <w:bookmarkEnd w:id="959"/>
      <w:bookmarkEnd w:id="960"/>
      <w:bookmarkEnd w:id="961"/>
    </w:p>
    <w:p w14:paraId="33A19A6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0E6F5B3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（二）严格执行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的合同要求，自觉履行合同约定的相关义务。</w:t>
      </w:r>
    </w:p>
    <w:p w14:paraId="2356380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（三）在业务活动中坚持公开、公正、诚信、透明的原则，不得损害国家、集体利益。</w:t>
      </w:r>
    </w:p>
    <w:p w14:paraId="153592A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（四）建立健全廉政制度，开展廉政教育，公布举报电话，监督并认真查处违法违纪行为。</w:t>
      </w:r>
    </w:p>
    <w:p w14:paraId="01B6806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62665EA7">
      <w:pPr>
        <w:widowControl/>
        <w:spacing w:line="360" w:lineRule="auto"/>
        <w:ind w:firstLine="420" w:firstLineChars="200"/>
        <w:jc w:val="left"/>
        <w:rPr>
          <w:rFonts w:hint="eastAsia" w:ascii="宋体" w:hAnsi="宋体" w:cs="宋体"/>
          <w:color w:val="auto"/>
          <w:kern w:val="0"/>
          <w:szCs w:val="21"/>
          <w:highlight w:val="none"/>
        </w:rPr>
      </w:pPr>
      <w:bookmarkStart w:id="962" w:name="_Toc1917"/>
      <w:bookmarkStart w:id="963" w:name="_Toc3866"/>
      <w:bookmarkStart w:id="964" w:name="_Toc95223498"/>
      <w:r>
        <w:rPr>
          <w:rFonts w:hint="eastAsia" w:ascii="宋体" w:hAnsi="宋体" w:cs="宋体"/>
          <w:color w:val="auto"/>
          <w:kern w:val="0"/>
          <w:szCs w:val="21"/>
          <w:highlight w:val="none"/>
        </w:rPr>
        <w:t>第二条 甲方的义务</w:t>
      </w:r>
      <w:bookmarkEnd w:id="962"/>
      <w:bookmarkEnd w:id="963"/>
      <w:bookmarkEnd w:id="964"/>
    </w:p>
    <w:p w14:paraId="5BDA1747">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(一)甲方及其工作人员不得索要或接受乙方的礼金、有价证券和贵重物品，不得在乙方报销任何应由甲方单位或个人支付的费用等。</w:t>
      </w:r>
    </w:p>
    <w:p w14:paraId="40EDB5C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612BE58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 甲方及其工作人员不得要求或者接受乙方为其住房装修、婚丧嫁娶活动、配偶子女工作安排以及出国出境、旅游等提供方便等。</w:t>
      </w:r>
    </w:p>
    <w:p w14:paraId="300DD77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 甲方工作人员不得在乙方有股权关联的企业兼职，不得向乙方介绍家属或者亲友从事与甲方业务有关的经济活动。</w:t>
      </w:r>
    </w:p>
    <w:p w14:paraId="5E69FCD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205DF72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（六）甲方工作人员不得利用职务之便收受乙方以回扣、手续费、加班费、咨询费、劳务费、协调费、辛苦费等各种名义给予或赠送的钱物。</w:t>
      </w:r>
    </w:p>
    <w:p w14:paraId="604F9B4B">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（七）甲方工作人员不得接受乙方给予或赠送的干股或红利。</w:t>
      </w:r>
    </w:p>
    <w:p w14:paraId="4EE3D04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（八）甲方任何人不得以个人的名义向乙方推荐设备、部件等供货商以及其他合作单位。</w:t>
      </w:r>
    </w:p>
    <w:p w14:paraId="2D0E7E76">
      <w:pPr>
        <w:widowControl/>
        <w:spacing w:line="360" w:lineRule="auto"/>
        <w:ind w:firstLine="420" w:firstLineChars="200"/>
        <w:jc w:val="left"/>
        <w:rPr>
          <w:rFonts w:hint="eastAsia" w:ascii="宋体" w:hAnsi="宋体" w:cs="宋体"/>
          <w:color w:val="auto"/>
          <w:kern w:val="0"/>
          <w:szCs w:val="21"/>
          <w:highlight w:val="none"/>
        </w:rPr>
      </w:pPr>
      <w:bookmarkStart w:id="965" w:name="_Toc10556"/>
      <w:bookmarkStart w:id="966" w:name="_Toc95223499"/>
      <w:bookmarkStart w:id="967" w:name="_Toc20831"/>
      <w:r>
        <w:rPr>
          <w:rFonts w:hint="eastAsia" w:ascii="宋体" w:hAnsi="宋体" w:cs="宋体"/>
          <w:color w:val="auto"/>
          <w:kern w:val="0"/>
          <w:szCs w:val="21"/>
          <w:highlight w:val="none"/>
        </w:rPr>
        <w:t>第三条 乙方的义务</w:t>
      </w:r>
      <w:bookmarkEnd w:id="965"/>
      <w:bookmarkEnd w:id="966"/>
      <w:bookmarkEnd w:id="967"/>
    </w:p>
    <w:p w14:paraId="38AB79F7">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(一)乙方不得以任何理由向甲方及其工作人员行贿或馈赠礼金、有价证券、贵重礼品。</w:t>
      </w:r>
    </w:p>
    <w:p w14:paraId="1C0A0FC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（二)乙方不得以任何名义为甲方及其工作人员报销应由甲方单位或个人支付的任何费用。</w:t>
      </w:r>
    </w:p>
    <w:p w14:paraId="510F8B3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(三)乙方不得以任何理由安排甲方工作人员参加可能影响相关业务公开、公正、公平性的宴请及娱乐活动。</w:t>
      </w:r>
    </w:p>
    <w:p w14:paraId="7CD217E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（四）乙方不得为甲方单位和个人购置或提供通讯工具和高档办公用品等物品，也不得为甲方提供与工作无关的房屋、汽车等。</w:t>
      </w:r>
    </w:p>
    <w:p w14:paraId="7A8F63A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（五）乙方不得与甲方工作人员就合同中的质量、数量、价格、工程量、验收等条款进行私下商谈或者达成默契。</w:t>
      </w:r>
    </w:p>
    <w:p w14:paraId="2FEA345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（六）乙方不得以回扣、手续费、加班费、咨询费、劳务费、协调费、辛苦费等各种名义向甲方工作人员给予或赠送钱物。</w:t>
      </w:r>
    </w:p>
    <w:p w14:paraId="4CE979C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（七）乙方不得向甲方工作人员提供干股或红利。</w:t>
      </w:r>
    </w:p>
    <w:p w14:paraId="395EB10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（八）乙方须按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专项纪检监察工作组(如有)要求开展相关工作。</w:t>
      </w:r>
    </w:p>
    <w:p w14:paraId="473B653E">
      <w:pPr>
        <w:widowControl/>
        <w:spacing w:line="360" w:lineRule="auto"/>
        <w:ind w:firstLine="420" w:firstLineChars="200"/>
        <w:jc w:val="left"/>
        <w:rPr>
          <w:rFonts w:hint="eastAsia" w:ascii="宋体" w:hAnsi="宋体" w:cs="宋体"/>
          <w:color w:val="auto"/>
          <w:kern w:val="0"/>
          <w:szCs w:val="21"/>
          <w:highlight w:val="none"/>
        </w:rPr>
      </w:pPr>
      <w:bookmarkStart w:id="968" w:name="_Toc2198"/>
      <w:bookmarkStart w:id="969" w:name="_Toc14507"/>
      <w:bookmarkStart w:id="970" w:name="_Toc95223500"/>
      <w:r>
        <w:rPr>
          <w:rFonts w:hint="eastAsia" w:ascii="宋体" w:hAnsi="宋体" w:cs="宋体"/>
          <w:color w:val="auto"/>
          <w:kern w:val="0"/>
          <w:szCs w:val="21"/>
          <w:highlight w:val="none"/>
        </w:rPr>
        <w:t>第四条 违约责任</w:t>
      </w:r>
      <w:bookmarkEnd w:id="968"/>
      <w:bookmarkEnd w:id="969"/>
      <w:bookmarkEnd w:id="970"/>
    </w:p>
    <w:p w14:paraId="11BC052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64552D95">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甲方投诉联系部门：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B5C16C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（二）乙方及其工作人员违反本协议第一、三条规定。根据具体情节和造成的后果，甲方有权对乙方采取以下一种或多种处理办法：</w:t>
      </w:r>
    </w:p>
    <w:p w14:paraId="14E0E27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全额收取乙方合同履约保证金不予退还； </w:t>
      </w:r>
    </w:p>
    <w:p w14:paraId="0A67D3F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追究乙方其他违约责任；</w:t>
      </w:r>
    </w:p>
    <w:p w14:paraId="5CFD3B05">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终止或解除双方已签订的包括本合同在内的所有合同；</w:t>
      </w:r>
    </w:p>
    <w:p w14:paraId="509CEB0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乙方一定期限内（6个月至3年，具体由甲方根据情况而定）不得参与甲方作为发包人（业主）的工程项目投标。</w:t>
      </w:r>
    </w:p>
    <w:p w14:paraId="482AA695">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甲方作出的处理意见，乙方应无条件接受并承担给甲方造成的损失，全额返还通过不正当手段从甲方获取的非法所得，并承担相应的法律责任。</w:t>
      </w:r>
    </w:p>
    <w:p w14:paraId="4F92C229">
      <w:pPr>
        <w:widowControl/>
        <w:spacing w:line="360" w:lineRule="auto"/>
        <w:ind w:firstLine="420" w:firstLineChars="200"/>
        <w:jc w:val="left"/>
        <w:rPr>
          <w:rFonts w:hint="eastAsia" w:ascii="宋体" w:hAnsi="宋体" w:cs="宋体"/>
          <w:color w:val="auto"/>
          <w:kern w:val="0"/>
          <w:szCs w:val="21"/>
          <w:highlight w:val="none"/>
        </w:rPr>
      </w:pPr>
      <w:bookmarkStart w:id="971" w:name="_Toc2334"/>
      <w:bookmarkStart w:id="972" w:name="_Toc10228"/>
      <w:bookmarkStart w:id="973" w:name="_Toc95223501"/>
      <w:r>
        <w:rPr>
          <w:rFonts w:hint="eastAsia" w:ascii="宋体" w:hAnsi="宋体" w:cs="宋体"/>
          <w:color w:val="auto"/>
          <w:kern w:val="0"/>
          <w:szCs w:val="21"/>
          <w:highlight w:val="none"/>
        </w:rPr>
        <w:t>第五条 双方约定</w:t>
      </w:r>
      <w:bookmarkEnd w:id="971"/>
      <w:bookmarkEnd w:id="972"/>
      <w:bookmarkEnd w:id="973"/>
    </w:p>
    <w:p w14:paraId="506D31F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2378769F">
      <w:pPr>
        <w:widowControl/>
        <w:spacing w:line="360" w:lineRule="auto"/>
        <w:ind w:firstLine="420" w:firstLineChars="200"/>
        <w:jc w:val="left"/>
        <w:rPr>
          <w:rFonts w:hint="eastAsia" w:ascii="宋体" w:hAnsi="宋体" w:cs="宋体"/>
          <w:color w:val="auto"/>
          <w:kern w:val="0"/>
          <w:szCs w:val="21"/>
          <w:highlight w:val="none"/>
        </w:rPr>
      </w:pPr>
      <w:bookmarkStart w:id="974" w:name="_Toc17717"/>
      <w:bookmarkStart w:id="975" w:name="_Toc32140"/>
      <w:bookmarkStart w:id="976" w:name="_Toc95223502"/>
      <w:r>
        <w:rPr>
          <w:rFonts w:hint="eastAsia" w:ascii="宋体" w:hAnsi="宋体" w:cs="宋体"/>
          <w:color w:val="auto"/>
          <w:kern w:val="0"/>
          <w:szCs w:val="21"/>
          <w:highlight w:val="none"/>
        </w:rPr>
        <w:t>第六条  本协议有效期为甲乙双方签署之日起至合同终止。</w:t>
      </w:r>
      <w:bookmarkEnd w:id="974"/>
      <w:bookmarkEnd w:id="975"/>
      <w:bookmarkEnd w:id="976"/>
      <w:r>
        <w:rPr>
          <w:rFonts w:hint="eastAsia" w:ascii="宋体" w:hAnsi="宋体" w:cs="宋体"/>
          <w:color w:val="auto"/>
          <w:kern w:val="0"/>
          <w:szCs w:val="21"/>
          <w:highlight w:val="none"/>
        </w:rPr>
        <w:t xml:space="preserve">  </w:t>
      </w:r>
    </w:p>
    <w:p w14:paraId="5DE74667">
      <w:pPr>
        <w:widowControl/>
        <w:spacing w:line="360" w:lineRule="auto"/>
        <w:ind w:firstLine="420" w:firstLineChars="200"/>
        <w:jc w:val="left"/>
        <w:rPr>
          <w:rFonts w:hint="eastAsia" w:ascii="宋体" w:hAnsi="宋体" w:cs="宋体"/>
          <w:color w:val="auto"/>
          <w:kern w:val="0"/>
          <w:szCs w:val="21"/>
          <w:highlight w:val="none"/>
        </w:rPr>
      </w:pPr>
      <w:bookmarkStart w:id="977" w:name="_Toc24032"/>
      <w:bookmarkStart w:id="978" w:name="_Toc95223503"/>
      <w:bookmarkStart w:id="979" w:name="_Toc1871"/>
      <w:r>
        <w:rPr>
          <w:rFonts w:hint="eastAsia" w:ascii="宋体" w:hAnsi="宋体" w:cs="宋体"/>
          <w:color w:val="auto"/>
          <w:kern w:val="0"/>
          <w:szCs w:val="21"/>
          <w:highlight w:val="none"/>
        </w:rPr>
        <w:t>第七条  本协议作为合同的附件，与本合同具有同等法律效力。</w:t>
      </w:r>
      <w:bookmarkEnd w:id="977"/>
      <w:bookmarkEnd w:id="978"/>
      <w:bookmarkEnd w:id="979"/>
    </w:p>
    <w:p w14:paraId="5A9D2D5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5EFF474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甲方（盖章）：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乙方（盖章）：</w:t>
      </w:r>
      <w:r>
        <w:rPr>
          <w:rFonts w:hint="eastAsia" w:ascii="宋体" w:hAnsi="宋体" w:cs="宋体"/>
          <w:color w:val="auto"/>
          <w:kern w:val="0"/>
          <w:szCs w:val="21"/>
          <w:highlight w:val="none"/>
          <w:u w:val="single"/>
        </w:rPr>
        <w:t xml:space="preserve">                      </w:t>
      </w:r>
    </w:p>
    <w:p w14:paraId="392213EE">
      <w:pPr>
        <w:widowControl/>
        <w:spacing w:line="360" w:lineRule="auto"/>
        <w:ind w:firstLine="420" w:firstLineChars="200"/>
        <w:jc w:val="left"/>
        <w:rPr>
          <w:rFonts w:hint="eastAsia" w:ascii="宋体" w:hAnsi="宋体" w:cs="宋体"/>
          <w:color w:val="auto"/>
          <w:kern w:val="0"/>
          <w:szCs w:val="21"/>
          <w:highlight w:val="none"/>
        </w:rPr>
      </w:pPr>
    </w:p>
    <w:p w14:paraId="001670C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                                法定代表人或</w:t>
      </w:r>
    </w:p>
    <w:p w14:paraId="74CCAE5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              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p>
    <w:p w14:paraId="63308EF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5F37286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6FBCE70A">
      <w:pPr>
        <w:widowControl/>
        <w:spacing w:line="360" w:lineRule="auto"/>
        <w:ind w:firstLine="420" w:firstLineChars="200"/>
        <w:jc w:val="left"/>
        <w:rPr>
          <w:rFonts w:hint="eastAsia" w:ascii="宋体" w:hAnsi="宋体" w:cs="宋体"/>
          <w:color w:val="auto"/>
          <w:kern w:val="0"/>
          <w:szCs w:val="21"/>
          <w:highlight w:val="none"/>
        </w:rPr>
      </w:pPr>
    </w:p>
    <w:p w14:paraId="05BDC7A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廉政监督联系人                              廉政监督联系人</w:t>
      </w:r>
    </w:p>
    <w:p w14:paraId="271D094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37AE405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39AF398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电话：</w:t>
      </w:r>
      <w:r>
        <w:rPr>
          <w:rFonts w:hint="eastAsia" w:ascii="宋体" w:hAnsi="宋体" w:cs="宋体"/>
          <w:color w:val="auto"/>
          <w:kern w:val="0"/>
          <w:szCs w:val="21"/>
          <w:highlight w:val="none"/>
          <w:u w:val="single"/>
        </w:rPr>
        <w:t xml:space="preserve">                       </w:t>
      </w:r>
    </w:p>
    <w:p w14:paraId="68921A9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地址：</w:t>
      </w:r>
      <w:r>
        <w:rPr>
          <w:rFonts w:hint="eastAsia" w:ascii="宋体" w:hAnsi="宋体" w:cs="宋体"/>
          <w:color w:val="auto"/>
          <w:kern w:val="0"/>
          <w:szCs w:val="21"/>
          <w:highlight w:val="none"/>
          <w:u w:val="single"/>
        </w:rPr>
        <w:t xml:space="preserve">                       </w:t>
      </w:r>
    </w:p>
    <w:p w14:paraId="04E1CFA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日期：</w:t>
      </w:r>
      <w:r>
        <w:rPr>
          <w:rFonts w:hint="eastAsia" w:ascii="宋体" w:hAnsi="宋体" w:cs="宋体"/>
          <w:color w:val="auto"/>
          <w:kern w:val="0"/>
          <w:szCs w:val="21"/>
          <w:highlight w:val="none"/>
          <w:u w:val="single"/>
        </w:rPr>
        <w:t xml:space="preserve">                       </w:t>
      </w:r>
    </w:p>
    <w:p w14:paraId="51AB2410">
      <w:pPr>
        <w:keepNext/>
        <w:keepLines/>
        <w:spacing w:before="120" w:after="120" w:line="360" w:lineRule="auto"/>
        <w:jc w:val="left"/>
        <w:outlineLvl w:val="2"/>
        <w:rPr>
          <w:rFonts w:hint="eastAsia" w:ascii="宋体" w:hAnsi="宋体" w:cs="宋体"/>
          <w:color w:val="auto"/>
          <w:szCs w:val="21"/>
          <w:highlight w:val="none"/>
        </w:rPr>
      </w:pPr>
      <w:r>
        <w:rPr>
          <w:rFonts w:hint="eastAsia" w:ascii="宋体" w:hAnsi="宋体" w:cs="宋体"/>
          <w:bCs/>
          <w:color w:val="auto"/>
          <w:kern w:val="0"/>
          <w:sz w:val="24"/>
          <w:szCs w:val="21"/>
          <w:highlight w:val="none"/>
        </w:rPr>
        <w:br w:type="page"/>
      </w:r>
      <w:bookmarkStart w:id="980" w:name="_Toc95223504"/>
      <w:r>
        <w:rPr>
          <w:rFonts w:hint="eastAsia" w:ascii="宋体" w:hAnsi="宋体" w:cs="宋体"/>
          <w:bCs/>
          <w:color w:val="auto"/>
          <w:sz w:val="24"/>
          <w:highlight w:val="none"/>
        </w:rPr>
        <w:t>附件9：履约保证金</w:t>
      </w:r>
      <w:bookmarkEnd w:id="980"/>
    </w:p>
    <w:p w14:paraId="05102190">
      <w:pPr>
        <w:adjustRightInd w:val="0"/>
        <w:snapToGrid w:val="0"/>
        <w:spacing w:line="360" w:lineRule="auto"/>
        <w:jc w:val="center"/>
        <w:rPr>
          <w:rFonts w:hint="eastAsia" w:ascii="宋体" w:hAnsi="宋体" w:cs="宋体"/>
          <w:b/>
          <w:bCs/>
          <w:color w:val="auto"/>
          <w:sz w:val="32"/>
          <w:szCs w:val="32"/>
          <w:highlight w:val="none"/>
        </w:rPr>
      </w:pPr>
      <w:bookmarkStart w:id="981" w:name="_Toc25855"/>
      <w:bookmarkStart w:id="982" w:name="_Toc8655"/>
      <w:bookmarkStart w:id="983" w:name="_Toc95223505"/>
      <w:r>
        <w:rPr>
          <w:rFonts w:hint="eastAsia" w:ascii="宋体" w:hAnsi="宋体" w:cs="宋体"/>
          <w:b/>
          <w:bCs/>
          <w:color w:val="auto"/>
          <w:sz w:val="32"/>
          <w:szCs w:val="32"/>
          <w:highlight w:val="none"/>
        </w:rPr>
        <w:t>履约保函示范文本</w:t>
      </w:r>
      <w:bookmarkEnd w:id="981"/>
      <w:bookmarkEnd w:id="982"/>
      <w:bookmarkEnd w:id="983"/>
    </w:p>
    <w:p w14:paraId="1F69B186">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3420F77E">
      <w:pPr>
        <w:adjustRightInd w:val="0"/>
        <w:snapToGrid w:val="0"/>
        <w:spacing w:line="360" w:lineRule="auto"/>
        <w:rPr>
          <w:rFonts w:hint="eastAsia" w:ascii="宋体" w:hAnsi="宋体" w:cs="宋体"/>
          <w:color w:val="auto"/>
          <w:szCs w:val="21"/>
          <w:highlight w:val="none"/>
        </w:rPr>
      </w:pPr>
    </w:p>
    <w:p w14:paraId="75D9936F">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p w14:paraId="6D27892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（标段编号）的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（标段名称）</w:t>
      </w:r>
      <w:r>
        <w:rPr>
          <w:rFonts w:hint="eastAsia" w:ascii="宋体" w:hAnsi="宋体" w:cs="宋体"/>
          <w:color w:val="auto"/>
          <w:szCs w:val="21"/>
          <w:highlight w:val="none"/>
        </w:rPr>
        <w:t>有关事项协商一致共同签订</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63815A4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一、本保函担保范围：承包人未按照基础合同的约定履行义务，应当向受益人承担的违约责任和赔偿因此造成的损失、利息、律师费、诉讼费用等实现债权的费用。</w:t>
      </w:r>
    </w:p>
    <w:p w14:paraId="46AB3B6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1F462C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三、本保函有效期自开立之日起至基础合同约定的缺陷责任期满之日止。 </w:t>
      </w:r>
    </w:p>
    <w:p w14:paraId="1A3C3513">
      <w:pPr>
        <w:adjustRightInd w:val="0"/>
        <w:snapToGrid w:val="0"/>
        <w:spacing w:line="360" w:lineRule="auto"/>
        <w:ind w:firstLine="480"/>
        <w:rPr>
          <w:rFonts w:hint="eastAsia" w:ascii="宋体" w:hAnsi="宋体" w:cs="宋体"/>
          <w:color w:val="auto"/>
          <w:szCs w:val="21"/>
          <w:highlight w:val="none"/>
        </w:rPr>
      </w:pPr>
      <w:bookmarkStart w:id="984" w:name="_Hlk40302764"/>
      <w:r>
        <w:rPr>
          <w:rFonts w:hint="eastAsia" w:ascii="宋体" w:hAnsi="宋体" w:cs="宋体"/>
          <w:color w:val="auto"/>
          <w:szCs w:val="21"/>
          <w:highlight w:val="none"/>
        </w:rPr>
        <w:t>四、开立人承诺，在收到受益人发来的书面付款通知后的七日内无条件支付，前述书面付款通知即为付款要求之单据，且应满足以下要求：</w:t>
      </w:r>
    </w:p>
    <w:bookmarkEnd w:id="984"/>
    <w:p w14:paraId="5C68569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27599B5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（2）载明要求支付的金额；</w:t>
      </w:r>
    </w:p>
    <w:p w14:paraId="1D9FC8F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1906125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44C64C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0C7DD0">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985" w:name="_Hlk40303486"/>
      <w:r>
        <w:rPr>
          <w:rFonts w:hint="eastAsia" w:ascii="宋体" w:hAnsi="宋体" w:cs="宋体"/>
          <w:color w:val="auto"/>
          <w:szCs w:val="21"/>
          <w:highlight w:val="none"/>
        </w:rPr>
        <w:t>受益人发出的书面付款通知应由其法定代表人（负责人）或授权代理人签字并加盖公章。</w:t>
      </w:r>
      <w:bookmarkEnd w:id="985"/>
    </w:p>
    <w:p w14:paraId="6335DC2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五、本保函项下的权利不得转让，不得设定担保。受益人未经我方书面同意转 让本保函或其项下任何权利，对我方不发生法律效力。 </w:t>
      </w:r>
    </w:p>
    <w:p w14:paraId="7574306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六、与本保函有关的基础合同不成立、不生效、无效、被撤销、被解除，不影响本保函的独立有效。 </w:t>
      </w:r>
    </w:p>
    <w:p w14:paraId="15572DC1">
      <w:pPr>
        <w:adjustRightInd w:val="0"/>
        <w:snapToGrid w:val="0"/>
        <w:spacing w:line="360" w:lineRule="auto"/>
        <w:ind w:firstLine="420" w:firstLineChars="200"/>
        <w:rPr>
          <w:rFonts w:hint="eastAsia" w:ascii="宋体" w:hAnsi="宋体" w:cs="宋体"/>
          <w:color w:val="auto"/>
          <w:szCs w:val="21"/>
          <w:highlight w:val="none"/>
        </w:rPr>
      </w:pPr>
      <w:bookmarkStart w:id="986" w:name="_Hlk40303383"/>
      <w:bookmarkStart w:id="987" w:name="_Hlk40354981"/>
      <w:r>
        <w:rPr>
          <w:rFonts w:hint="eastAsia" w:ascii="宋体" w:hAnsi="宋体" w:cs="宋体"/>
          <w:color w:val="auto"/>
          <w:szCs w:val="21"/>
          <w:highlight w:val="none"/>
        </w:rPr>
        <w:t xml:space="preserve">七、本保函项下的义务和责任均在保函有效期到期后自动消灭。 </w:t>
      </w:r>
    </w:p>
    <w:p w14:paraId="078D858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八、本保函适用的法律为中华人民共和国法律，因本保函产生的纠纷案件，</w:t>
      </w:r>
      <w:bookmarkEnd w:id="986"/>
      <w:r>
        <w:rPr>
          <w:rFonts w:hint="eastAsia" w:ascii="宋体" w:hAnsi="宋体" w:cs="宋体"/>
          <w:color w:val="auto"/>
          <w:szCs w:val="21"/>
          <w:highlight w:val="none"/>
        </w:rPr>
        <w:t xml:space="preserve">由受益人所在地人民法院管辖。 </w:t>
      </w:r>
    </w:p>
    <w:bookmarkEnd w:id="987"/>
    <w:p w14:paraId="0797747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71FBF579">
      <w:pPr>
        <w:adjustRightInd w:val="0"/>
        <w:snapToGrid w:val="0"/>
        <w:spacing w:line="360" w:lineRule="auto"/>
        <w:ind w:firstLine="420" w:firstLineChars="200"/>
        <w:rPr>
          <w:rFonts w:hint="eastAsia" w:ascii="宋体" w:hAnsi="宋体" w:cs="宋体"/>
          <w:color w:val="auto"/>
          <w:szCs w:val="21"/>
          <w:highlight w:val="none"/>
        </w:rPr>
      </w:pPr>
    </w:p>
    <w:p w14:paraId="27454A9C">
      <w:pPr>
        <w:adjustRightInd w:val="0"/>
        <w:snapToGrid w:val="0"/>
        <w:spacing w:line="360" w:lineRule="auto"/>
        <w:ind w:firstLine="420" w:firstLineChars="200"/>
        <w:rPr>
          <w:rFonts w:hint="eastAsia" w:ascii="宋体" w:hAnsi="宋体" w:cs="宋体"/>
          <w:color w:val="auto"/>
          <w:szCs w:val="21"/>
          <w:highlight w:val="none"/>
        </w:rPr>
      </w:pPr>
    </w:p>
    <w:p w14:paraId="67F32715">
      <w:pPr>
        <w:adjustRightInd w:val="0"/>
        <w:snapToGrid w:val="0"/>
        <w:spacing w:line="360" w:lineRule="auto"/>
        <w:ind w:firstLine="420" w:firstLineChars="200"/>
        <w:rPr>
          <w:rFonts w:hint="eastAsia" w:ascii="宋体" w:hAnsi="宋体" w:cs="宋体"/>
          <w:color w:val="auto"/>
          <w:szCs w:val="21"/>
          <w:highlight w:val="none"/>
        </w:rPr>
      </w:pPr>
    </w:p>
    <w:p w14:paraId="47417A7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 立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47DA8E0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3205CA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4A4BD9D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6499E73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6E4AA22">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78AC90E5">
      <w:pPr>
        <w:adjustRightInd w:val="0"/>
        <w:snapToGrid w:val="0"/>
        <w:spacing w:line="360" w:lineRule="auto"/>
        <w:ind w:left="1323" w:leftChars="200" w:hanging="903" w:hangingChars="430"/>
        <w:rPr>
          <w:rFonts w:hint="eastAsia" w:ascii="宋体" w:hAnsi="宋体" w:cs="宋体"/>
          <w:color w:val="auto"/>
          <w:szCs w:val="21"/>
          <w:highlight w:val="none"/>
        </w:rPr>
      </w:pPr>
      <w:r>
        <w:rPr>
          <w:rFonts w:hint="eastAsia" w:ascii="宋体" w:hAnsi="宋体" w:cs="宋体"/>
          <w:color w:val="auto"/>
          <w:szCs w:val="21"/>
          <w:highlight w:val="none"/>
        </w:rPr>
        <w:t>开立时间：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361CA01">
      <w:pPr>
        <w:spacing w:line="360" w:lineRule="auto"/>
        <w:ind w:left="1329" w:hanging="1329" w:hangingChars="633"/>
        <w:rPr>
          <w:rFonts w:hint="eastAsia" w:ascii="宋体" w:hAnsi="宋体" w:cs="宋体"/>
          <w:color w:val="auto"/>
          <w:szCs w:val="21"/>
          <w:highlight w:val="none"/>
        </w:rPr>
      </w:pPr>
    </w:p>
    <w:p w14:paraId="1BEB2E95">
      <w:pPr>
        <w:spacing w:line="360" w:lineRule="auto"/>
        <w:ind w:left="1329" w:hanging="1329" w:hangingChars="633"/>
        <w:rPr>
          <w:rFonts w:hint="eastAsia" w:ascii="宋体" w:hAnsi="宋体" w:cs="宋体"/>
          <w:color w:val="auto"/>
          <w:szCs w:val="21"/>
          <w:highlight w:val="none"/>
        </w:rPr>
      </w:pPr>
    </w:p>
    <w:p w14:paraId="2CD49F62">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br w:type="page"/>
      </w:r>
      <w:bookmarkStart w:id="988" w:name="_Toc95223508"/>
      <w:r>
        <w:rPr>
          <w:rFonts w:hint="eastAsia" w:ascii="宋体" w:hAnsi="宋体" w:cs="宋体"/>
          <w:bCs/>
          <w:color w:val="auto"/>
          <w:sz w:val="24"/>
          <w:highlight w:val="none"/>
        </w:rPr>
        <w:t>附</w:t>
      </w:r>
      <w:bookmarkStart w:id="989" w:name="_Toc296891061"/>
      <w:bookmarkStart w:id="990" w:name="_Toc296503233"/>
      <w:bookmarkStart w:id="991" w:name="_Toc296944572"/>
      <w:bookmarkStart w:id="992" w:name="_Toc296347232"/>
      <w:bookmarkStart w:id="993" w:name="_Toc296346734"/>
      <w:bookmarkStart w:id="994" w:name="_Toc296891273"/>
      <w:r>
        <w:rPr>
          <w:rFonts w:hint="eastAsia" w:ascii="宋体" w:hAnsi="宋体" w:cs="宋体"/>
          <w:bCs/>
          <w:color w:val="auto"/>
          <w:sz w:val="24"/>
          <w:highlight w:val="none"/>
        </w:rPr>
        <w:t>件10：支付担保</w:t>
      </w:r>
      <w:bookmarkEnd w:id="988"/>
      <w:bookmarkEnd w:id="989"/>
      <w:bookmarkEnd w:id="990"/>
      <w:bookmarkEnd w:id="991"/>
      <w:bookmarkEnd w:id="992"/>
      <w:bookmarkEnd w:id="993"/>
      <w:bookmarkEnd w:id="994"/>
    </w:p>
    <w:p w14:paraId="3C14953E">
      <w:pPr>
        <w:adjustRightInd w:val="0"/>
        <w:snapToGrid w:val="0"/>
        <w:spacing w:line="360" w:lineRule="auto"/>
        <w:jc w:val="center"/>
        <w:rPr>
          <w:rFonts w:hint="eastAsia" w:ascii="宋体" w:hAnsi="宋体" w:cs="宋体"/>
          <w:b/>
          <w:bCs/>
          <w:color w:val="auto"/>
          <w:sz w:val="32"/>
          <w:szCs w:val="32"/>
          <w:highlight w:val="none"/>
        </w:rPr>
      </w:pPr>
      <w:bookmarkStart w:id="995" w:name="_Toc8319"/>
      <w:bookmarkStart w:id="996" w:name="_Toc3562"/>
      <w:bookmarkStart w:id="997" w:name="_Toc95223509"/>
      <w:r>
        <w:rPr>
          <w:rFonts w:hint="eastAsia" w:ascii="宋体" w:hAnsi="宋体" w:cs="宋体"/>
          <w:b/>
          <w:bCs/>
          <w:color w:val="auto"/>
          <w:sz w:val="32"/>
          <w:szCs w:val="32"/>
          <w:highlight w:val="none"/>
        </w:rPr>
        <w:t>支付保函示范文本</w:t>
      </w:r>
      <w:bookmarkEnd w:id="995"/>
      <w:bookmarkEnd w:id="996"/>
      <w:bookmarkEnd w:id="997"/>
    </w:p>
    <w:p w14:paraId="04924874">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19CDB8A3">
      <w:pPr>
        <w:adjustRightInd w:val="0"/>
        <w:snapToGrid w:val="0"/>
        <w:spacing w:line="360" w:lineRule="auto"/>
        <w:rPr>
          <w:rFonts w:hint="eastAsia" w:ascii="宋体" w:hAnsi="宋体" w:cs="宋体"/>
          <w:color w:val="auto"/>
          <w:szCs w:val="21"/>
          <w:highlight w:val="none"/>
        </w:rPr>
      </w:pPr>
    </w:p>
    <w:p w14:paraId="216D2AF4">
      <w:pPr>
        <w:adjustRightInd w:val="0"/>
        <w:snapToGrid w:val="0"/>
        <w:spacing w:line="360" w:lineRule="auto"/>
        <w:rPr>
          <w:rFonts w:hint="eastAsia" w:ascii="宋体" w:hAnsi="宋体" w:cs="宋体"/>
          <w:color w:val="auto"/>
          <w:szCs w:val="21"/>
          <w:highlight w:val="none"/>
        </w:rPr>
      </w:pPr>
      <w:bookmarkStart w:id="998" w:name="_Hlk40355074"/>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bookmarkEnd w:id="998"/>
    <w:p w14:paraId="570A474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（标段编号）的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（标段名称）</w:t>
      </w:r>
      <w:r>
        <w:rPr>
          <w:rFonts w:hint="eastAsia" w:ascii="宋体" w:hAnsi="宋体" w:cs="宋体"/>
          <w:color w:val="auto"/>
          <w:szCs w:val="21"/>
          <w:highlight w:val="none"/>
        </w:rPr>
        <w:t>有关事项协商一致共同签订</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以下简称基础合同”），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760D6D0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一、本保函担保范围：申请人未履行基础合同约定的工程款支付义务，应当向受益人承担的违约责任和赔偿因此造成的损失、利息、律师费、诉讼费用等实现债权的费用。</w:t>
      </w:r>
    </w:p>
    <w:p w14:paraId="289D402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A9824F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三、本保函有效期自开立之日起至基础合同约定的除工程质量保修金以外的全部工程结算款项支付之日后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日止。 </w:t>
      </w:r>
    </w:p>
    <w:p w14:paraId="4C19DBAE">
      <w:pPr>
        <w:adjustRightInd w:val="0"/>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四、开立人承诺，在收到受益人发来的书面付款通知后的七日内无条件支付，前述书面付款通知即为付款要求之单据，且应满足以下要求：</w:t>
      </w:r>
    </w:p>
    <w:p w14:paraId="5984F5B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6BE5C6C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（2）载明要求支付的金额；</w:t>
      </w:r>
    </w:p>
    <w:p w14:paraId="472BDB4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38D7D94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24F5872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678BD7">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受益人发出的书面付款通知应由其法定代表人（负责人）或授权代理人签字并加盖公章。</w:t>
      </w:r>
    </w:p>
    <w:p w14:paraId="2E6A783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五、本保函项下的权利不得转让，不得设定担保。受益人未经开立人书面同意转让本保函或其项下任何权利，对开立人不发生法律效力。 </w:t>
      </w:r>
    </w:p>
    <w:p w14:paraId="62E99E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六、本保函项下的基础交易不成立、不生效、无效、被撤销、被解除，不影响本保函的独立有效。</w:t>
      </w:r>
    </w:p>
    <w:p w14:paraId="6FB4D94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七、本保函项下的义务和责任均在保函有效期到期后自动消灭。 </w:t>
      </w:r>
    </w:p>
    <w:p w14:paraId="5DB3CCA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八、本保函适用的法律为中华人民共和国法律，因本保函产生的纠纷案件，由申请人所在地人民法院管辖。 </w:t>
      </w:r>
    </w:p>
    <w:p w14:paraId="04BC743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143DA789">
      <w:pPr>
        <w:adjustRightInd w:val="0"/>
        <w:snapToGrid w:val="0"/>
        <w:spacing w:line="360" w:lineRule="auto"/>
        <w:ind w:firstLine="420" w:firstLineChars="200"/>
        <w:rPr>
          <w:rFonts w:hint="eastAsia" w:ascii="宋体" w:hAnsi="宋体" w:cs="宋体"/>
          <w:color w:val="auto"/>
          <w:szCs w:val="21"/>
          <w:highlight w:val="none"/>
        </w:rPr>
      </w:pPr>
    </w:p>
    <w:p w14:paraId="0C7C0CA2">
      <w:pPr>
        <w:adjustRightInd w:val="0"/>
        <w:snapToGrid w:val="0"/>
        <w:spacing w:line="360" w:lineRule="auto"/>
        <w:ind w:firstLine="420" w:firstLineChars="200"/>
        <w:rPr>
          <w:rFonts w:hint="eastAsia" w:ascii="宋体" w:hAnsi="宋体" w:cs="宋体"/>
          <w:color w:val="auto"/>
          <w:szCs w:val="21"/>
          <w:highlight w:val="none"/>
        </w:rPr>
      </w:pPr>
    </w:p>
    <w:p w14:paraId="5C0476D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 立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0408F45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4ED113A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1CE26D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6F5127B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32C38055">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45978756">
      <w:pPr>
        <w:adjustRightInd w:val="0"/>
        <w:snapToGrid w:val="0"/>
        <w:spacing w:line="360" w:lineRule="auto"/>
        <w:ind w:left="1323" w:leftChars="200" w:hanging="903" w:hangingChars="430"/>
        <w:rPr>
          <w:rFonts w:hint="eastAsia" w:ascii="宋体" w:hAnsi="宋体" w:cs="宋体"/>
          <w:color w:val="auto"/>
          <w:szCs w:val="21"/>
          <w:highlight w:val="none"/>
        </w:rPr>
      </w:pPr>
      <w:r>
        <w:rPr>
          <w:rFonts w:hint="eastAsia" w:ascii="宋体" w:hAnsi="宋体" w:cs="宋体"/>
          <w:color w:val="auto"/>
          <w:szCs w:val="21"/>
          <w:highlight w:val="none"/>
        </w:rPr>
        <w:t>开立时间：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3CC7F37">
      <w:pPr>
        <w:adjustRightInd w:val="0"/>
        <w:snapToGrid w:val="0"/>
        <w:spacing w:line="360" w:lineRule="auto"/>
        <w:rPr>
          <w:rFonts w:hint="eastAsia" w:ascii="宋体" w:hAnsi="宋体" w:cs="宋体"/>
          <w:color w:val="auto"/>
          <w:szCs w:val="21"/>
          <w:highlight w:val="none"/>
        </w:rPr>
      </w:pPr>
    </w:p>
    <w:p w14:paraId="47EA0543">
      <w:pPr>
        <w:adjustRightInd w:val="0"/>
        <w:snapToGrid w:val="0"/>
        <w:spacing w:line="360" w:lineRule="auto"/>
        <w:rPr>
          <w:rFonts w:hint="eastAsia" w:ascii="宋体" w:hAnsi="宋体" w:cs="宋体"/>
          <w:color w:val="auto"/>
          <w:szCs w:val="21"/>
          <w:highlight w:val="none"/>
        </w:rPr>
      </w:pPr>
    </w:p>
    <w:p w14:paraId="2A8D6148">
      <w:pPr>
        <w:adjustRightInd w:val="0"/>
        <w:snapToGrid w:val="0"/>
        <w:spacing w:line="360" w:lineRule="auto"/>
        <w:rPr>
          <w:rFonts w:hint="eastAsia" w:ascii="宋体" w:hAnsi="宋体" w:cs="宋体"/>
          <w:color w:val="auto"/>
          <w:szCs w:val="21"/>
          <w:highlight w:val="none"/>
        </w:rPr>
      </w:pPr>
    </w:p>
    <w:p w14:paraId="37393144">
      <w:pPr>
        <w:keepNext/>
        <w:keepLines/>
        <w:adjustRightInd w:val="0"/>
        <w:snapToGrid w:val="0"/>
        <w:spacing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br w:type="page"/>
      </w:r>
      <w:bookmarkStart w:id="999" w:name="_Toc95223510"/>
      <w:r>
        <w:rPr>
          <w:rFonts w:hint="eastAsia" w:ascii="宋体" w:hAnsi="宋体" w:cs="宋体"/>
          <w:bCs/>
          <w:color w:val="auto"/>
          <w:sz w:val="24"/>
          <w:highlight w:val="none"/>
        </w:rPr>
        <w:t>附件11：暂估价一览表</w:t>
      </w:r>
      <w:bookmarkEnd w:id="999"/>
    </w:p>
    <w:p w14:paraId="082BFF55">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12-1：材料暂估价表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D974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86E3CC3">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1437EEEB">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5DC37FF4">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7132B4F">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2087EE3F">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2FD668D3">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F9C4FCE">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备注</w:t>
            </w:r>
          </w:p>
        </w:tc>
      </w:tr>
      <w:tr w14:paraId="3E0A0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1772AD98">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tcBorders>
              <w:top w:val="double" w:color="auto" w:sz="6" w:space="0"/>
            </w:tcBorders>
            <w:noWrap w:val="0"/>
            <w:vAlign w:val="top"/>
          </w:tcPr>
          <w:p w14:paraId="7597AD6A">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tcBorders>
              <w:top w:val="double" w:color="auto" w:sz="6" w:space="0"/>
            </w:tcBorders>
            <w:noWrap w:val="0"/>
            <w:vAlign w:val="top"/>
          </w:tcPr>
          <w:p w14:paraId="6B7B4574">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tcBorders>
              <w:top w:val="double" w:color="auto" w:sz="6" w:space="0"/>
            </w:tcBorders>
            <w:noWrap w:val="0"/>
            <w:vAlign w:val="top"/>
          </w:tcPr>
          <w:p w14:paraId="491B2AAC">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tcBorders>
              <w:top w:val="double" w:color="auto" w:sz="6" w:space="0"/>
            </w:tcBorders>
            <w:noWrap w:val="0"/>
            <w:vAlign w:val="top"/>
          </w:tcPr>
          <w:p w14:paraId="7C96433E">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tcBorders>
              <w:top w:val="double" w:color="auto" w:sz="6" w:space="0"/>
            </w:tcBorders>
            <w:noWrap w:val="0"/>
            <w:vAlign w:val="top"/>
          </w:tcPr>
          <w:p w14:paraId="37F221F7">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tcBorders>
              <w:top w:val="double" w:color="auto" w:sz="6" w:space="0"/>
            </w:tcBorders>
            <w:noWrap w:val="0"/>
            <w:vAlign w:val="top"/>
          </w:tcPr>
          <w:p w14:paraId="3DF5082A">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E773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F868111">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tcBorders>
              <w:top w:val="nil"/>
            </w:tcBorders>
            <w:noWrap w:val="0"/>
            <w:vAlign w:val="top"/>
          </w:tcPr>
          <w:p w14:paraId="46F05E1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tcBorders>
              <w:top w:val="nil"/>
            </w:tcBorders>
            <w:noWrap w:val="0"/>
            <w:vAlign w:val="top"/>
          </w:tcPr>
          <w:p w14:paraId="7AEEA750">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tcBorders>
              <w:top w:val="nil"/>
            </w:tcBorders>
            <w:noWrap w:val="0"/>
            <w:vAlign w:val="top"/>
          </w:tcPr>
          <w:p w14:paraId="66A19907">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tcBorders>
              <w:top w:val="nil"/>
            </w:tcBorders>
            <w:noWrap w:val="0"/>
            <w:vAlign w:val="top"/>
          </w:tcPr>
          <w:p w14:paraId="3CCE9E5D">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tcBorders>
              <w:top w:val="nil"/>
            </w:tcBorders>
            <w:noWrap w:val="0"/>
            <w:vAlign w:val="top"/>
          </w:tcPr>
          <w:p w14:paraId="6CAFD6A2">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tcBorders>
              <w:top w:val="nil"/>
            </w:tcBorders>
            <w:noWrap w:val="0"/>
            <w:vAlign w:val="top"/>
          </w:tcPr>
          <w:p w14:paraId="0CC1206F">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8EC8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456480">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noWrap w:val="0"/>
            <w:vAlign w:val="top"/>
          </w:tcPr>
          <w:p w14:paraId="0418D82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noWrap w:val="0"/>
            <w:vAlign w:val="top"/>
          </w:tcPr>
          <w:p w14:paraId="13C0212B">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noWrap w:val="0"/>
            <w:vAlign w:val="top"/>
          </w:tcPr>
          <w:p w14:paraId="1F95FD80">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noWrap w:val="0"/>
            <w:vAlign w:val="top"/>
          </w:tcPr>
          <w:p w14:paraId="21D53BC1">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noWrap w:val="0"/>
            <w:vAlign w:val="top"/>
          </w:tcPr>
          <w:p w14:paraId="50CDBB29">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noWrap w:val="0"/>
            <w:vAlign w:val="top"/>
          </w:tcPr>
          <w:p w14:paraId="4E4A9143">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538EA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25740D">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noWrap w:val="0"/>
            <w:vAlign w:val="top"/>
          </w:tcPr>
          <w:p w14:paraId="54777DA1">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noWrap w:val="0"/>
            <w:vAlign w:val="top"/>
          </w:tcPr>
          <w:p w14:paraId="1DA61835">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noWrap w:val="0"/>
            <w:vAlign w:val="top"/>
          </w:tcPr>
          <w:p w14:paraId="0BEC01FA">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noWrap w:val="0"/>
            <w:vAlign w:val="top"/>
          </w:tcPr>
          <w:p w14:paraId="7AB376F7">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noWrap w:val="0"/>
            <w:vAlign w:val="top"/>
          </w:tcPr>
          <w:p w14:paraId="44DD0933">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noWrap w:val="0"/>
            <w:vAlign w:val="top"/>
          </w:tcPr>
          <w:p w14:paraId="3ED366A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7A2D8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0600CCB2">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tcBorders>
              <w:bottom w:val="single" w:color="auto" w:sz="12" w:space="0"/>
            </w:tcBorders>
            <w:noWrap w:val="0"/>
            <w:vAlign w:val="top"/>
          </w:tcPr>
          <w:p w14:paraId="48DAC82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tcBorders>
              <w:bottom w:val="single" w:color="auto" w:sz="12" w:space="0"/>
            </w:tcBorders>
            <w:noWrap w:val="0"/>
            <w:vAlign w:val="top"/>
          </w:tcPr>
          <w:p w14:paraId="3B05FF70">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tcBorders>
              <w:bottom w:val="single" w:color="auto" w:sz="12" w:space="0"/>
            </w:tcBorders>
            <w:noWrap w:val="0"/>
            <w:vAlign w:val="top"/>
          </w:tcPr>
          <w:p w14:paraId="13427B09">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tcBorders>
              <w:bottom w:val="single" w:color="auto" w:sz="12" w:space="0"/>
            </w:tcBorders>
            <w:noWrap w:val="0"/>
            <w:vAlign w:val="top"/>
          </w:tcPr>
          <w:p w14:paraId="23B71D1A">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tcBorders>
              <w:bottom w:val="single" w:color="auto" w:sz="12" w:space="0"/>
            </w:tcBorders>
            <w:noWrap w:val="0"/>
            <w:vAlign w:val="top"/>
          </w:tcPr>
          <w:p w14:paraId="037F4CD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tcBorders>
              <w:bottom w:val="single" w:color="auto" w:sz="12" w:space="0"/>
            </w:tcBorders>
            <w:noWrap w:val="0"/>
            <w:vAlign w:val="top"/>
          </w:tcPr>
          <w:p w14:paraId="6C83DA8B">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62EEEE5E">
      <w:pPr>
        <w:spacing w:before="120" w:beforeLines="50" w:after="120" w:afterLines="50" w:line="440" w:lineRule="exact"/>
        <w:rPr>
          <w:rFonts w:hint="eastAsia" w:ascii="宋体" w:hAnsi="宋体" w:cs="宋体"/>
          <w:color w:val="auto"/>
          <w:szCs w:val="21"/>
          <w:highlight w:val="none"/>
        </w:rPr>
      </w:pPr>
    </w:p>
    <w:p w14:paraId="61B55EC0">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12-2：工程设备暂估价表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163E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5DF9B7C">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74F1EFA4">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11EB339F">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267D279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735FEB11">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69CABD20">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3CE8EA4B">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备注</w:t>
            </w:r>
          </w:p>
        </w:tc>
      </w:tr>
      <w:tr w14:paraId="40824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76CE9A09">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tcBorders>
              <w:top w:val="double" w:color="auto" w:sz="6" w:space="0"/>
            </w:tcBorders>
            <w:noWrap w:val="0"/>
            <w:vAlign w:val="top"/>
          </w:tcPr>
          <w:p w14:paraId="20DC1177">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tcBorders>
              <w:top w:val="double" w:color="auto" w:sz="6" w:space="0"/>
            </w:tcBorders>
            <w:noWrap w:val="0"/>
            <w:vAlign w:val="top"/>
          </w:tcPr>
          <w:p w14:paraId="089BD28A">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tcBorders>
              <w:top w:val="double" w:color="auto" w:sz="6" w:space="0"/>
            </w:tcBorders>
            <w:noWrap w:val="0"/>
            <w:vAlign w:val="top"/>
          </w:tcPr>
          <w:p w14:paraId="573DD523">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tcBorders>
              <w:top w:val="double" w:color="auto" w:sz="6" w:space="0"/>
            </w:tcBorders>
            <w:noWrap w:val="0"/>
            <w:vAlign w:val="top"/>
          </w:tcPr>
          <w:p w14:paraId="0DF140C4">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tcBorders>
              <w:top w:val="double" w:color="auto" w:sz="6" w:space="0"/>
            </w:tcBorders>
            <w:noWrap w:val="0"/>
            <w:vAlign w:val="top"/>
          </w:tcPr>
          <w:p w14:paraId="22D0ABCD">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tcBorders>
              <w:top w:val="double" w:color="auto" w:sz="6" w:space="0"/>
            </w:tcBorders>
            <w:noWrap w:val="0"/>
            <w:vAlign w:val="top"/>
          </w:tcPr>
          <w:p w14:paraId="152C93A8">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7C9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85D61ED">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tcBorders>
              <w:top w:val="nil"/>
            </w:tcBorders>
            <w:noWrap w:val="0"/>
            <w:vAlign w:val="top"/>
          </w:tcPr>
          <w:p w14:paraId="3556C8E8">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tcBorders>
              <w:top w:val="nil"/>
            </w:tcBorders>
            <w:noWrap w:val="0"/>
            <w:vAlign w:val="top"/>
          </w:tcPr>
          <w:p w14:paraId="7097238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tcBorders>
              <w:top w:val="nil"/>
            </w:tcBorders>
            <w:noWrap w:val="0"/>
            <w:vAlign w:val="top"/>
          </w:tcPr>
          <w:p w14:paraId="0538BA2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tcBorders>
              <w:top w:val="nil"/>
            </w:tcBorders>
            <w:noWrap w:val="0"/>
            <w:vAlign w:val="top"/>
          </w:tcPr>
          <w:p w14:paraId="3500C1DA">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tcBorders>
              <w:top w:val="nil"/>
            </w:tcBorders>
            <w:noWrap w:val="0"/>
            <w:vAlign w:val="top"/>
          </w:tcPr>
          <w:p w14:paraId="2B165E8A">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tcBorders>
              <w:top w:val="nil"/>
            </w:tcBorders>
            <w:noWrap w:val="0"/>
            <w:vAlign w:val="top"/>
          </w:tcPr>
          <w:p w14:paraId="18E01E18">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6635F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854854">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noWrap w:val="0"/>
            <w:vAlign w:val="top"/>
          </w:tcPr>
          <w:p w14:paraId="6CAEB9AA">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noWrap w:val="0"/>
            <w:vAlign w:val="top"/>
          </w:tcPr>
          <w:p w14:paraId="32AEB127">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noWrap w:val="0"/>
            <w:vAlign w:val="top"/>
          </w:tcPr>
          <w:p w14:paraId="756A38C3">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noWrap w:val="0"/>
            <w:vAlign w:val="top"/>
          </w:tcPr>
          <w:p w14:paraId="72FA734B">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noWrap w:val="0"/>
            <w:vAlign w:val="top"/>
          </w:tcPr>
          <w:p w14:paraId="49487DCE">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noWrap w:val="0"/>
            <w:vAlign w:val="top"/>
          </w:tcPr>
          <w:p w14:paraId="095E8BD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731CF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7BACF2C7">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tcBorders>
              <w:bottom w:val="single" w:color="auto" w:sz="12" w:space="0"/>
            </w:tcBorders>
            <w:noWrap w:val="0"/>
            <w:vAlign w:val="top"/>
          </w:tcPr>
          <w:p w14:paraId="3BC7BE1D">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tcBorders>
              <w:bottom w:val="single" w:color="auto" w:sz="12" w:space="0"/>
            </w:tcBorders>
            <w:noWrap w:val="0"/>
            <w:vAlign w:val="top"/>
          </w:tcPr>
          <w:p w14:paraId="27BD1078">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tcBorders>
              <w:bottom w:val="single" w:color="auto" w:sz="12" w:space="0"/>
            </w:tcBorders>
            <w:noWrap w:val="0"/>
            <w:vAlign w:val="top"/>
          </w:tcPr>
          <w:p w14:paraId="4AF047D0">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tcBorders>
              <w:bottom w:val="single" w:color="auto" w:sz="12" w:space="0"/>
            </w:tcBorders>
            <w:noWrap w:val="0"/>
            <w:vAlign w:val="top"/>
          </w:tcPr>
          <w:p w14:paraId="3EA2E848">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tcBorders>
              <w:bottom w:val="single" w:color="auto" w:sz="12" w:space="0"/>
            </w:tcBorders>
            <w:noWrap w:val="0"/>
            <w:vAlign w:val="top"/>
          </w:tcPr>
          <w:p w14:paraId="3EEF4DBB">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tcBorders>
              <w:bottom w:val="single" w:color="auto" w:sz="12" w:space="0"/>
            </w:tcBorders>
            <w:noWrap w:val="0"/>
            <w:vAlign w:val="top"/>
          </w:tcPr>
          <w:p w14:paraId="0628C51E">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391745B4">
      <w:pPr>
        <w:spacing w:line="440" w:lineRule="exact"/>
        <w:rPr>
          <w:rFonts w:hint="eastAsia" w:ascii="宋体" w:hAnsi="宋体" w:cs="宋体"/>
          <w:color w:val="auto"/>
          <w:szCs w:val="21"/>
          <w:highlight w:val="none"/>
        </w:rPr>
      </w:pPr>
    </w:p>
    <w:p w14:paraId="099FAA15">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12-3：专业工程暂估价表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BA1D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D6CA9B5">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16C30683">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26F13984">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1FB36807">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1EE8E8CF">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0EE20B65">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0128CD3B">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备注</w:t>
            </w:r>
          </w:p>
        </w:tc>
      </w:tr>
      <w:tr w14:paraId="6B1E2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0E250008">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tcBorders>
              <w:top w:val="double" w:color="auto" w:sz="6" w:space="0"/>
            </w:tcBorders>
            <w:noWrap w:val="0"/>
            <w:vAlign w:val="top"/>
          </w:tcPr>
          <w:p w14:paraId="7068D27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tcBorders>
              <w:top w:val="double" w:color="auto" w:sz="6" w:space="0"/>
            </w:tcBorders>
            <w:noWrap w:val="0"/>
            <w:vAlign w:val="top"/>
          </w:tcPr>
          <w:p w14:paraId="26F399FC">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tcBorders>
              <w:top w:val="double" w:color="auto" w:sz="6" w:space="0"/>
            </w:tcBorders>
            <w:noWrap w:val="0"/>
            <w:vAlign w:val="top"/>
          </w:tcPr>
          <w:p w14:paraId="215BF2F7">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tcBorders>
              <w:top w:val="double" w:color="auto" w:sz="6" w:space="0"/>
            </w:tcBorders>
            <w:noWrap w:val="0"/>
            <w:vAlign w:val="top"/>
          </w:tcPr>
          <w:p w14:paraId="5F9B1032">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tcBorders>
              <w:top w:val="double" w:color="auto" w:sz="6" w:space="0"/>
            </w:tcBorders>
            <w:noWrap w:val="0"/>
            <w:vAlign w:val="top"/>
          </w:tcPr>
          <w:p w14:paraId="0A7C7D1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tcBorders>
              <w:top w:val="double" w:color="auto" w:sz="6" w:space="0"/>
            </w:tcBorders>
            <w:noWrap w:val="0"/>
            <w:vAlign w:val="top"/>
          </w:tcPr>
          <w:p w14:paraId="0CD86ACD">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7CB91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60F9CBE">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tcBorders>
              <w:top w:val="nil"/>
            </w:tcBorders>
            <w:noWrap w:val="0"/>
            <w:vAlign w:val="top"/>
          </w:tcPr>
          <w:p w14:paraId="78B53BB5">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tcBorders>
              <w:top w:val="nil"/>
            </w:tcBorders>
            <w:noWrap w:val="0"/>
            <w:vAlign w:val="top"/>
          </w:tcPr>
          <w:p w14:paraId="553E9721">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tcBorders>
              <w:top w:val="nil"/>
            </w:tcBorders>
            <w:noWrap w:val="0"/>
            <w:vAlign w:val="top"/>
          </w:tcPr>
          <w:p w14:paraId="1E0524E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tcBorders>
              <w:top w:val="nil"/>
            </w:tcBorders>
            <w:noWrap w:val="0"/>
            <w:vAlign w:val="top"/>
          </w:tcPr>
          <w:p w14:paraId="00BD1B3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tcBorders>
              <w:top w:val="nil"/>
            </w:tcBorders>
            <w:noWrap w:val="0"/>
            <w:vAlign w:val="top"/>
          </w:tcPr>
          <w:p w14:paraId="6F348C5C">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tcBorders>
              <w:top w:val="nil"/>
            </w:tcBorders>
            <w:noWrap w:val="0"/>
            <w:vAlign w:val="top"/>
          </w:tcPr>
          <w:p w14:paraId="674EDC0B">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44FA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2C1FD4">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noWrap w:val="0"/>
            <w:vAlign w:val="top"/>
          </w:tcPr>
          <w:p w14:paraId="43E26F7A">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noWrap w:val="0"/>
            <w:vAlign w:val="top"/>
          </w:tcPr>
          <w:p w14:paraId="212805D2">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noWrap w:val="0"/>
            <w:vAlign w:val="top"/>
          </w:tcPr>
          <w:p w14:paraId="4500D183">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noWrap w:val="0"/>
            <w:vAlign w:val="top"/>
          </w:tcPr>
          <w:p w14:paraId="63E17BEC">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noWrap w:val="0"/>
            <w:vAlign w:val="top"/>
          </w:tcPr>
          <w:p w14:paraId="2D053B5F">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noWrap w:val="0"/>
            <w:vAlign w:val="top"/>
          </w:tcPr>
          <w:p w14:paraId="415CF4F5">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5096D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74125AEF">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984" w:type="dxa"/>
            <w:tcBorders>
              <w:bottom w:val="single" w:color="auto" w:sz="12" w:space="0"/>
            </w:tcBorders>
            <w:noWrap w:val="0"/>
            <w:vAlign w:val="top"/>
          </w:tcPr>
          <w:p w14:paraId="06F27E58">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851" w:type="dxa"/>
            <w:tcBorders>
              <w:bottom w:val="single" w:color="auto" w:sz="12" w:space="0"/>
            </w:tcBorders>
            <w:noWrap w:val="0"/>
            <w:vAlign w:val="top"/>
          </w:tcPr>
          <w:p w14:paraId="2EBB61FF">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774" w:type="dxa"/>
            <w:tcBorders>
              <w:bottom w:val="single" w:color="auto" w:sz="12" w:space="0"/>
            </w:tcBorders>
            <w:noWrap w:val="0"/>
            <w:vAlign w:val="top"/>
          </w:tcPr>
          <w:p w14:paraId="0CACA87E">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352" w:type="dxa"/>
            <w:tcBorders>
              <w:bottom w:val="single" w:color="auto" w:sz="12" w:space="0"/>
            </w:tcBorders>
            <w:noWrap w:val="0"/>
            <w:vAlign w:val="top"/>
          </w:tcPr>
          <w:p w14:paraId="0198A99F">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18" w:type="dxa"/>
            <w:tcBorders>
              <w:bottom w:val="single" w:color="auto" w:sz="12" w:space="0"/>
            </w:tcBorders>
            <w:noWrap w:val="0"/>
            <w:vAlign w:val="top"/>
          </w:tcPr>
          <w:p w14:paraId="0AEA4EF6">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701" w:type="dxa"/>
            <w:tcBorders>
              <w:bottom w:val="single" w:color="auto" w:sz="12" w:space="0"/>
            </w:tcBorders>
            <w:noWrap w:val="0"/>
            <w:vAlign w:val="top"/>
          </w:tcPr>
          <w:p w14:paraId="61B169E2">
            <w:pPr>
              <w:keepNext/>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2599CE2F">
      <w:pPr>
        <w:rPr>
          <w:rFonts w:hint="eastAsia" w:ascii="宋体" w:hAnsi="宋体" w:cs="宋体"/>
          <w:color w:val="auto"/>
          <w:szCs w:val="21"/>
          <w:highlight w:val="none"/>
        </w:rPr>
      </w:pPr>
    </w:p>
    <w:p w14:paraId="1AFAE513">
      <w:pPr>
        <w:rPr>
          <w:rFonts w:hint="eastAsia" w:ascii="宋体" w:hAnsi="宋体" w:cs="宋体"/>
          <w:color w:val="auto"/>
          <w:szCs w:val="22"/>
          <w:highlight w:val="none"/>
        </w:rPr>
      </w:pPr>
    </w:p>
    <w:p w14:paraId="416674AD">
      <w:pPr>
        <w:rPr>
          <w:rFonts w:hint="eastAsia" w:ascii="宋体" w:hAnsi="宋体" w:cs="宋体"/>
          <w:color w:val="auto"/>
          <w:szCs w:val="22"/>
          <w:highlight w:val="none"/>
        </w:rPr>
      </w:pPr>
    </w:p>
    <w:p w14:paraId="51976702">
      <w:pPr>
        <w:keepNext/>
        <w:keepLines/>
        <w:spacing w:before="120" w:after="120" w:line="360" w:lineRule="auto"/>
        <w:jc w:val="left"/>
        <w:outlineLvl w:val="2"/>
        <w:rPr>
          <w:rFonts w:hint="eastAsia" w:ascii="宋体" w:hAnsi="宋体" w:cs="宋体"/>
          <w:color w:val="auto"/>
          <w:highlight w:val="none"/>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14:paraId="02B77603">
      <w:pPr>
        <w:keepNext/>
        <w:keepLines/>
        <w:spacing w:before="120" w:after="120" w:line="360" w:lineRule="auto"/>
        <w:jc w:val="left"/>
        <w:outlineLvl w:val="2"/>
        <w:rPr>
          <w:rFonts w:hint="eastAsia" w:ascii="宋体" w:hAnsi="宋体" w:cs="宋体"/>
          <w:bCs/>
          <w:color w:val="auto"/>
          <w:sz w:val="24"/>
          <w:highlight w:val="none"/>
        </w:rPr>
      </w:pPr>
      <w:bookmarkStart w:id="1000" w:name="_Toc95223511"/>
      <w:r>
        <w:rPr>
          <w:rFonts w:hint="eastAsia" w:ascii="宋体" w:hAnsi="宋体" w:cs="宋体"/>
          <w:bCs/>
          <w:color w:val="auto"/>
          <w:sz w:val="24"/>
          <w:highlight w:val="none"/>
        </w:rPr>
        <w:t>附件12：安全生产合同</w:t>
      </w:r>
      <w:bookmarkEnd w:id="1000"/>
    </w:p>
    <w:p w14:paraId="32665166">
      <w:pPr>
        <w:adjustRightInd w:val="0"/>
        <w:snapToGrid w:val="0"/>
        <w:spacing w:line="360" w:lineRule="auto"/>
        <w:jc w:val="center"/>
        <w:rPr>
          <w:rFonts w:hint="eastAsia" w:ascii="宋体" w:hAnsi="宋体" w:cs="宋体"/>
          <w:b/>
          <w:color w:val="auto"/>
          <w:sz w:val="32"/>
          <w:szCs w:val="32"/>
          <w:highlight w:val="none"/>
        </w:rPr>
      </w:pPr>
      <w:bookmarkStart w:id="1001" w:name="_Toc95223512"/>
      <w:bookmarkStart w:id="1002" w:name="_Toc32439"/>
      <w:bookmarkStart w:id="1003" w:name="_Toc16956"/>
      <w:r>
        <w:rPr>
          <w:rFonts w:hint="eastAsia" w:ascii="宋体" w:hAnsi="宋体" w:cs="宋体"/>
          <w:b/>
          <w:color w:val="auto"/>
          <w:sz w:val="32"/>
          <w:szCs w:val="32"/>
          <w:highlight w:val="none"/>
        </w:rPr>
        <w:t>安全生产合同</w:t>
      </w:r>
      <w:bookmarkEnd w:id="1001"/>
      <w:bookmarkEnd w:id="1002"/>
      <w:bookmarkEnd w:id="1003"/>
    </w:p>
    <w:p w14:paraId="343477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（标段）施工合同的实施过程中创造安全、高效的施工环境，切实搞好本项目的安全管理工作，本项目发包人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（承包人名称，以下简称“承包人”）特此签订安全生产合同：</w:t>
      </w:r>
    </w:p>
    <w:p w14:paraId="4A11A6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1.发包人职责</w:t>
      </w:r>
    </w:p>
    <w:p w14:paraId="27439F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（1）严格遵守国家有关安全生产的法律法规，认真执行工程承包合同中的有关安全要求。</w:t>
      </w:r>
    </w:p>
    <w:p w14:paraId="48934E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14:paraId="2BEC74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（3）重要的安全设施必须坚持与主体工程“三同时”的原则，即：同时设计、审批，同时施工，同时验收，投入使用。</w:t>
      </w:r>
    </w:p>
    <w:p w14:paraId="6C5BE1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14:paraId="468BDB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（5）组织对承包人施工现场安全生产检查，监督承包人及时处理发现的各种安全隐患。</w:t>
      </w:r>
    </w:p>
    <w:p w14:paraId="0D0EED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2.承包人职责</w:t>
      </w:r>
    </w:p>
    <w:p w14:paraId="05DEDE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028488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7113B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265D8B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（4）承包人在任何时候都应采取各种合理的预防措施，防止其员工发生任何违法、违禁、暴力或妨碍治安的行为。</w:t>
      </w:r>
    </w:p>
    <w:p w14:paraId="21A3C3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C21FA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041A3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14:paraId="56187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（8）所有施工机具设备和高空作业的设备均应定期检查，并有安全员的签字记录，保证其经常处于完好状态；不合格的机具、设备和劳动保护用品严禁使用：</w:t>
      </w:r>
    </w:p>
    <w:p w14:paraId="267DA8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（9）施工中采用新技术、新工艺、新设备、新材料时，必须制定相应的安全技术措施，施工现场必须具有相关的安全标志牌。</w:t>
      </w:r>
    </w:p>
    <w:p w14:paraId="4F98C4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6FE41C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（11）安全生产费用按照《建设工程安全生产管理条例》的相关规定使用和管理。</w:t>
      </w:r>
    </w:p>
    <w:p w14:paraId="59E95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3.违约责任</w:t>
      </w:r>
    </w:p>
    <w:p w14:paraId="2D6054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如因发包人或承包人违约造成安全事故，将依法追究责任。</w:t>
      </w:r>
    </w:p>
    <w:p w14:paraId="1979E3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4.本合同由双方法定代表人或其授权的代理人签署并加盖单位章后生效，全部工程竣工验收后失效。</w:t>
      </w:r>
    </w:p>
    <w:p w14:paraId="0BFA91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5.本合同正本—式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份，合同双方各执正本—份，副本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份，当正本与副本的内容不一致时，以正本为准。</w:t>
      </w:r>
    </w:p>
    <w:p w14:paraId="7C44A753">
      <w:pPr>
        <w:spacing w:line="360" w:lineRule="auto"/>
        <w:rPr>
          <w:rFonts w:hint="eastAsia" w:ascii="宋体" w:hAnsi="宋体" w:cs="宋体"/>
          <w:color w:val="auto"/>
          <w:szCs w:val="21"/>
          <w:highlight w:val="none"/>
        </w:rPr>
      </w:pPr>
    </w:p>
    <w:p w14:paraId="22B45A9A">
      <w:pPr>
        <w:spacing w:line="360" w:lineRule="auto"/>
        <w:rPr>
          <w:rFonts w:hint="eastAsia" w:ascii="宋体" w:hAnsi="宋体" w:cs="宋体"/>
          <w:color w:val="auto"/>
          <w:szCs w:val="21"/>
          <w:highlight w:val="none"/>
        </w:rPr>
      </w:pPr>
    </w:p>
    <w:p w14:paraId="526DEB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807DA14">
      <w:pPr>
        <w:spacing w:line="360" w:lineRule="auto"/>
        <w:rPr>
          <w:rFonts w:hint="eastAsia" w:ascii="宋体" w:hAnsi="宋体" w:cs="宋体"/>
          <w:color w:val="auto"/>
          <w:szCs w:val="21"/>
          <w:highlight w:val="none"/>
        </w:rPr>
      </w:pPr>
    </w:p>
    <w:p w14:paraId="2D593F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58BB4EC">
      <w:pPr>
        <w:spacing w:line="360" w:lineRule="auto"/>
        <w:rPr>
          <w:rFonts w:hint="eastAsia" w:ascii="宋体" w:hAnsi="宋体" w:cs="宋体"/>
          <w:color w:val="auto"/>
          <w:szCs w:val="21"/>
          <w:highlight w:val="none"/>
        </w:rPr>
      </w:pPr>
    </w:p>
    <w:p w14:paraId="29782B4F">
      <w:pPr>
        <w:spacing w:line="360" w:lineRule="auto"/>
        <w:ind w:firstLine="840"/>
        <w:rPr>
          <w:rFonts w:ascii="宋体" w:hAnsi="宋体" w:cs="宋体"/>
          <w:bCs/>
          <w:color w:val="auto"/>
          <w:kern w:val="44"/>
          <w:sz w:val="32"/>
          <w:szCs w:val="44"/>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90E2C09">
      <w:pPr>
        <w:rPr>
          <w:rFonts w:ascii="宋体" w:hAnsi="宋体" w:cs="宋体"/>
          <w:color w:val="auto"/>
          <w:sz w:val="32"/>
          <w:szCs w:val="44"/>
          <w:highlight w:val="none"/>
        </w:rPr>
      </w:pPr>
    </w:p>
    <w:p w14:paraId="174D0411">
      <w:pPr>
        <w:rPr>
          <w:rFonts w:ascii="宋体" w:hAnsi="宋体" w:cs="宋体"/>
          <w:color w:val="auto"/>
          <w:sz w:val="32"/>
          <w:szCs w:val="44"/>
          <w:highlight w:val="none"/>
        </w:rPr>
      </w:pPr>
    </w:p>
    <w:p w14:paraId="75480A7C">
      <w:pPr>
        <w:tabs>
          <w:tab w:val="left" w:pos="2820"/>
        </w:tabs>
        <w:outlineLvl w:val="2"/>
        <w:rPr>
          <w:rFonts w:hint="eastAsia" w:ascii="宋体" w:hAnsi="宋体" w:cs="宋体"/>
          <w:color w:val="auto"/>
          <w:sz w:val="32"/>
          <w:szCs w:val="44"/>
          <w:highlight w:val="none"/>
        </w:rPr>
      </w:pPr>
      <w:r>
        <w:rPr>
          <w:rFonts w:hint="eastAsia" w:ascii="宋体" w:hAnsi="宋体" w:cs="宋体"/>
          <w:color w:val="auto"/>
          <w:sz w:val="32"/>
          <w:szCs w:val="44"/>
          <w:highlight w:val="none"/>
        </w:rPr>
        <w:br w:type="page"/>
      </w:r>
      <w:bookmarkStart w:id="1004" w:name="_Toc95223513"/>
      <w:r>
        <w:rPr>
          <w:rFonts w:hint="eastAsia" w:ascii="宋体" w:hAnsi="宋体" w:cs="宋体"/>
          <w:bCs/>
          <w:color w:val="auto"/>
          <w:sz w:val="24"/>
          <w:highlight w:val="none"/>
        </w:rPr>
        <w:t>附件13：项目经理质量终身责任制承诺</w:t>
      </w:r>
      <w:bookmarkEnd w:id="1004"/>
    </w:p>
    <w:p w14:paraId="1B78F352">
      <w:pPr>
        <w:adjustRightInd w:val="0"/>
        <w:snapToGrid w:val="0"/>
        <w:spacing w:before="240" w:beforeLines="100" w:after="240" w:afterLines="100" w:line="360" w:lineRule="auto"/>
        <w:jc w:val="center"/>
        <w:rPr>
          <w:rFonts w:hint="eastAsia" w:ascii="宋体" w:hAnsi="宋体" w:cs="宋体"/>
          <w:b/>
          <w:color w:val="auto"/>
          <w:sz w:val="32"/>
          <w:szCs w:val="32"/>
          <w:highlight w:val="none"/>
        </w:rPr>
      </w:pPr>
      <w:bookmarkStart w:id="1005" w:name="_Toc95223514"/>
      <w:bookmarkStart w:id="1006" w:name="_Toc19059"/>
      <w:bookmarkStart w:id="1007" w:name="_Toc20282"/>
      <w:r>
        <w:rPr>
          <w:rFonts w:hint="eastAsia" w:ascii="宋体" w:hAnsi="宋体" w:cs="宋体"/>
          <w:b/>
          <w:color w:val="auto"/>
          <w:sz w:val="32"/>
          <w:szCs w:val="32"/>
          <w:highlight w:val="none"/>
        </w:rPr>
        <w:t>项目经理质量终身责任制承诺</w:t>
      </w:r>
      <w:bookmarkEnd w:id="1005"/>
      <w:bookmarkEnd w:id="1006"/>
      <w:bookmarkEnd w:id="1007"/>
    </w:p>
    <w:p w14:paraId="318615D4">
      <w:pPr>
        <w:adjustRightInd w:val="0"/>
        <w:snapToGrid w:val="0"/>
        <w:spacing w:line="360" w:lineRule="auto"/>
        <w:rPr>
          <w:rFonts w:hint="eastAsia" w:ascii="宋体" w:hAnsi="宋体" w:cs="宋体"/>
          <w:bCs/>
          <w:color w:val="auto"/>
          <w:sz w:val="24"/>
          <w:szCs w:val="21"/>
          <w:highlight w:val="none"/>
        </w:rPr>
      </w:pPr>
      <w:r>
        <w:rPr>
          <w:rFonts w:hint="eastAsia" w:ascii="宋体" w:hAnsi="宋体" w:cs="宋体"/>
          <w:bCs/>
          <w:color w:val="auto"/>
          <w:sz w:val="24"/>
          <w:szCs w:val="21"/>
          <w:highlight w:val="none"/>
        </w:rPr>
        <w:t>致：______________(招标人名称)</w:t>
      </w:r>
    </w:p>
    <w:p w14:paraId="51FCEC9F">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本人作为拟委任的施工项目经理，承担相关质量终身责任，现郑重承诺如下：</w:t>
      </w:r>
    </w:p>
    <w:p w14:paraId="359B1FB2">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一、在取得施工许可证后进行施工。</w:t>
      </w:r>
    </w:p>
    <w:p w14:paraId="4D9ADFA4">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二、严格执行施工规范及标准。</w:t>
      </w:r>
    </w:p>
    <w:p w14:paraId="07D7E1CA">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三、严格按规定配备施工项目部关键岗位人员，并确保所有人员到岗履职。</w:t>
      </w:r>
    </w:p>
    <w:p w14:paraId="6404069E">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四、严格按照经施工图审查机构审查合格的工程设计文件及合同约定的质量标准精心组织施工。</w:t>
      </w:r>
    </w:p>
    <w:p w14:paraId="6230F76B">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五、施工中采用合格的建筑材料、建筑构配件和设备等，并严格按规定执行见证取样制度。</w:t>
      </w:r>
    </w:p>
    <w:p w14:paraId="5A21FC9D">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六、建立、健全质量检查、验收制度，严格工序管理，做好隐蔽工程质量的检查和记录。</w:t>
      </w:r>
    </w:p>
    <w:p w14:paraId="0B8D8B3B">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七、对施工中出现的质量问题，及时进行整改。严格依法依规履行义务。</w:t>
      </w:r>
    </w:p>
    <w:p w14:paraId="64D2384D">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八、履行相关工程质量检查、验收及事故处理等职责。</w:t>
      </w:r>
    </w:p>
    <w:p w14:paraId="53BDE8BE">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九、履行其他法律法规规定的职责。</w:t>
      </w:r>
    </w:p>
    <w:p w14:paraId="65F1899A">
      <w:pPr>
        <w:spacing w:line="360" w:lineRule="auto"/>
        <w:ind w:left="359" w:leftChars="171" w:firstLine="720" w:firstLineChars="300"/>
        <w:rPr>
          <w:rFonts w:hint="eastAsia" w:ascii="宋体" w:hAnsi="宋体" w:cs="宋体"/>
          <w:bCs/>
          <w:color w:val="auto"/>
          <w:sz w:val="24"/>
          <w:szCs w:val="21"/>
          <w:highlight w:val="none"/>
        </w:rPr>
      </w:pPr>
    </w:p>
    <w:p w14:paraId="7DD76C6C">
      <w:pPr>
        <w:spacing w:line="360" w:lineRule="auto"/>
        <w:ind w:left="359" w:leftChars="171" w:firstLine="720" w:firstLineChars="300"/>
        <w:rPr>
          <w:rFonts w:hint="eastAsia" w:ascii="宋体" w:hAnsi="宋体" w:cs="宋体"/>
          <w:bCs/>
          <w:color w:val="auto"/>
          <w:sz w:val="24"/>
          <w:szCs w:val="21"/>
          <w:highlight w:val="none"/>
        </w:rPr>
      </w:pPr>
    </w:p>
    <w:p w14:paraId="42988CC4">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项目经理：</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（签字）</w:t>
      </w:r>
    </w:p>
    <w:p w14:paraId="63E4A763">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日期：_____年____月____日</w:t>
      </w:r>
    </w:p>
    <w:p w14:paraId="5CF53A5E">
      <w:pPr>
        <w:keepNext/>
        <w:keepLines/>
        <w:spacing w:line="360" w:lineRule="auto"/>
        <w:ind w:firstLine="420"/>
        <w:jc w:val="center"/>
        <w:rPr>
          <w:rFonts w:hint="eastAsia" w:ascii="宋体" w:hAnsi="宋体" w:cs="宋体"/>
          <w:color w:val="auto"/>
          <w:szCs w:val="21"/>
          <w:highlight w:val="none"/>
        </w:rPr>
      </w:pPr>
    </w:p>
    <w:p w14:paraId="5F0C0139">
      <w:pPr>
        <w:keepNext w:val="0"/>
        <w:keepLines w:val="0"/>
        <w:spacing w:line="360" w:lineRule="auto"/>
        <w:ind w:left="359" w:leftChars="171" w:firstLine="720" w:firstLineChars="300"/>
        <w:jc w:val="left"/>
        <w:outlineLvl w:val="9"/>
        <w:rPr>
          <w:rFonts w:hint="eastAsia" w:ascii="宋体" w:hAnsi="宋体" w:cs="宋体"/>
          <w:bCs/>
          <w:color w:val="auto"/>
          <w:sz w:val="24"/>
          <w:szCs w:val="21"/>
          <w:highlight w:val="none"/>
        </w:rPr>
      </w:pPr>
      <w:r>
        <w:rPr>
          <w:rFonts w:hint="eastAsia" w:ascii="宋体" w:hAnsi="宋体" w:cs="宋体"/>
          <w:bCs/>
          <w:color w:val="auto"/>
          <w:sz w:val="24"/>
          <w:szCs w:val="21"/>
          <w:highlight w:val="none"/>
        </w:rPr>
        <w:t>其他需要补充的内容</w:t>
      </w:r>
    </w:p>
    <w:p w14:paraId="4042CB88">
      <w:pPr>
        <w:keepNext w:val="0"/>
        <w:keepLines w:val="0"/>
        <w:spacing w:line="240" w:lineRule="auto"/>
        <w:jc w:val="left"/>
        <w:outlineLvl w:val="9"/>
        <w:rPr>
          <w:rFonts w:hint="eastAsia" w:ascii="Arial" w:hAnsi="Arial" w:eastAsia="宋体" w:cs="Times New Roman"/>
          <w:b/>
          <w:bCs/>
          <w:color w:val="auto"/>
          <w:kern w:val="0"/>
          <w:sz w:val="32"/>
          <w:szCs w:val="32"/>
          <w:highlight w:val="none"/>
          <w:lang w:val="en-US" w:eastAsia="zh-CN" w:bidi="ar-SA"/>
        </w:rPr>
      </w:pPr>
      <w:r>
        <w:rPr>
          <w:rFonts w:hint="eastAsia" w:ascii="Arial" w:hAnsi="Arial" w:eastAsia="宋体" w:cs="Times New Roman"/>
          <w:b/>
          <w:bCs/>
          <w:color w:val="auto"/>
          <w:kern w:val="0"/>
          <w:sz w:val="32"/>
          <w:szCs w:val="32"/>
          <w:highlight w:val="none"/>
          <w:lang w:val="en-US" w:eastAsia="zh-CN" w:bidi="ar-SA"/>
        </w:rPr>
        <w:br w:type="page"/>
      </w:r>
    </w:p>
    <w:p w14:paraId="5BEEEF68">
      <w:pPr>
        <w:keepNext/>
        <w:keepLines/>
        <w:spacing w:line="360" w:lineRule="auto"/>
        <w:jc w:val="center"/>
        <w:outlineLvl w:val="0"/>
        <w:rPr>
          <w:rFonts w:hint="eastAsia" w:ascii="Arial" w:hAnsi="Arial" w:eastAsia="宋体" w:cs="Times New Roman"/>
          <w:b/>
          <w:bCs/>
          <w:color w:val="auto"/>
          <w:kern w:val="0"/>
          <w:sz w:val="32"/>
          <w:szCs w:val="32"/>
          <w:highlight w:val="none"/>
          <w:lang w:val="en-US" w:eastAsia="zh-CN" w:bidi="ar-SA"/>
        </w:rPr>
      </w:pPr>
      <w:r>
        <w:rPr>
          <w:rFonts w:hint="eastAsia" w:ascii="Arial" w:hAnsi="Arial" w:eastAsia="宋体" w:cs="Times New Roman"/>
          <w:b/>
          <w:bCs/>
          <w:color w:val="auto"/>
          <w:kern w:val="0"/>
          <w:sz w:val="32"/>
          <w:szCs w:val="32"/>
          <w:highlight w:val="none"/>
          <w:lang w:val="en-US" w:eastAsia="zh-CN" w:bidi="ar-SA"/>
        </w:rPr>
        <w:t>第五章</w:t>
      </w:r>
      <w:r>
        <w:rPr>
          <w:rFonts w:hint="eastAsia" w:eastAsia="宋体" w:cs="Times New Roman"/>
          <w:bCs/>
          <w:color w:val="auto"/>
          <w:szCs w:val="32"/>
          <w:highlight w:val="none"/>
        </w:rPr>
        <w:t xml:space="preserve"> </w:t>
      </w:r>
      <w:bookmarkStart w:id="1008" w:name="_Toc10898"/>
      <w:bookmarkStart w:id="1009" w:name="_Toc3388"/>
      <w:r>
        <w:rPr>
          <w:rFonts w:hint="eastAsia" w:ascii="Arial" w:hAnsi="Arial" w:eastAsia="宋体" w:cs="Times New Roman"/>
          <w:b/>
          <w:bCs/>
          <w:color w:val="auto"/>
          <w:kern w:val="0"/>
          <w:sz w:val="32"/>
          <w:szCs w:val="32"/>
          <w:highlight w:val="none"/>
          <w:lang w:val="en-US" w:eastAsia="zh-CN" w:bidi="ar-SA"/>
        </w:rPr>
        <w:t>工程量清单</w:t>
      </w:r>
      <w:bookmarkEnd w:id="824"/>
      <w:bookmarkEnd w:id="825"/>
      <w:bookmarkEnd w:id="826"/>
      <w:bookmarkEnd w:id="1008"/>
      <w:bookmarkEnd w:id="1009"/>
      <w:bookmarkStart w:id="1010" w:name="_Toc10023"/>
      <w:bookmarkStart w:id="1011" w:name="_Toc25013"/>
      <w:bookmarkStart w:id="1012" w:name="_Toc20597"/>
    </w:p>
    <w:p w14:paraId="61325708">
      <w:pPr>
        <w:pStyle w:val="2"/>
        <w:rPr>
          <w:rFonts w:hint="default"/>
          <w:color w:val="auto"/>
          <w:highlight w:val="none"/>
          <w:lang w:val="en-US" w:eastAsia="zh-CN"/>
        </w:rPr>
      </w:pPr>
      <w:r>
        <w:rPr>
          <w:rFonts w:hint="eastAsia"/>
          <w:color w:val="auto"/>
          <w:highlight w:val="none"/>
          <w:lang w:val="en-US" w:eastAsia="zh-CN"/>
        </w:rPr>
        <w:t>见附件。</w:t>
      </w:r>
    </w:p>
    <w:p w14:paraId="14E43A8B">
      <w:pPr>
        <w:pStyle w:val="44"/>
        <w:numPr>
          <w:ilvl w:val="0"/>
          <w:numId w:val="0"/>
        </w:numPr>
        <w:spacing w:beforeLines="50" w:afterLines="50" w:line="440" w:lineRule="exact"/>
        <w:rPr>
          <w:rFonts w:hint="eastAsia" w:ascii="Arial" w:hAnsi="Arial" w:eastAsia="宋体" w:cs="Times New Roman"/>
          <w:b/>
          <w:bCs/>
          <w:color w:val="auto"/>
          <w:kern w:val="0"/>
          <w:sz w:val="32"/>
          <w:szCs w:val="32"/>
          <w:highlight w:val="none"/>
          <w:lang w:val="en-US" w:eastAsia="zh-CN" w:bidi="ar-SA"/>
        </w:rPr>
      </w:pPr>
      <w:r>
        <w:rPr>
          <w:rFonts w:hint="eastAsia" w:ascii="Arial" w:hAnsi="Arial" w:eastAsia="宋体" w:cs="Times New Roman"/>
          <w:b/>
          <w:bCs/>
          <w:color w:val="auto"/>
          <w:kern w:val="0"/>
          <w:sz w:val="32"/>
          <w:szCs w:val="32"/>
          <w:highlight w:val="none"/>
          <w:lang w:val="en-US" w:eastAsia="zh-CN" w:bidi="ar-SA"/>
        </w:rPr>
        <w:t>第六章</w:t>
      </w:r>
      <w:r>
        <w:rPr>
          <w:rFonts w:hint="eastAsia" w:cs="Times New Roman"/>
          <w:b/>
          <w:bCs/>
          <w:color w:val="auto"/>
          <w:kern w:val="0"/>
          <w:sz w:val="32"/>
          <w:szCs w:val="32"/>
          <w:highlight w:val="none"/>
          <w:lang w:val="en-US" w:eastAsia="zh-CN" w:bidi="ar-SA"/>
        </w:rPr>
        <w:t xml:space="preserve">  </w:t>
      </w:r>
      <w:r>
        <w:rPr>
          <w:rFonts w:hint="eastAsia" w:eastAsia="宋体" w:cs="Times New Roman"/>
          <w:bCs/>
          <w:color w:val="auto"/>
          <w:szCs w:val="32"/>
          <w:highlight w:val="none"/>
          <w:lang w:val="en-US" w:eastAsia="zh-CN"/>
        </w:rPr>
        <w:t>图纸</w:t>
      </w:r>
      <w:bookmarkEnd w:id="1010"/>
      <w:bookmarkEnd w:id="1011"/>
      <w:bookmarkEnd w:id="1012"/>
      <w:bookmarkStart w:id="1013" w:name="_Toc18733"/>
      <w:bookmarkStart w:id="1014" w:name="_Toc5510"/>
      <w:bookmarkStart w:id="1015" w:name="_Toc23816"/>
    </w:p>
    <w:bookmarkEnd w:id="1013"/>
    <w:bookmarkEnd w:id="1014"/>
    <w:bookmarkEnd w:id="1015"/>
    <w:p w14:paraId="73DA4D19">
      <w:pPr>
        <w:pStyle w:val="2"/>
        <w:rPr>
          <w:rFonts w:hint="default"/>
          <w:color w:val="auto"/>
          <w:highlight w:val="none"/>
          <w:lang w:val="en-US" w:eastAsia="zh-CN"/>
        </w:rPr>
      </w:pPr>
      <w:bookmarkStart w:id="1016" w:name="_Toc24902"/>
      <w:r>
        <w:rPr>
          <w:rFonts w:hint="eastAsia"/>
          <w:color w:val="auto"/>
          <w:highlight w:val="none"/>
          <w:lang w:val="en-US" w:eastAsia="zh-CN"/>
        </w:rPr>
        <w:t>见附件。</w:t>
      </w:r>
    </w:p>
    <w:p w14:paraId="19FF4752">
      <w:pPr>
        <w:pStyle w:val="44"/>
        <w:numPr>
          <w:ilvl w:val="0"/>
          <w:numId w:val="0"/>
        </w:numPr>
        <w:spacing w:beforeLines="50" w:afterLines="50" w:line="440" w:lineRule="exact"/>
        <w:jc w:val="center"/>
        <w:rPr>
          <w:rFonts w:hint="eastAsia" w:cs="Times New Roman"/>
          <w:bCs/>
          <w:color w:val="auto"/>
          <w:szCs w:val="32"/>
          <w:highlight w:val="none"/>
          <w:lang w:val="en-US" w:eastAsia="zh-CN"/>
        </w:rPr>
      </w:pPr>
      <w:r>
        <w:rPr>
          <w:rFonts w:hint="eastAsia" w:cs="Times New Roman"/>
          <w:bCs/>
          <w:color w:val="auto"/>
          <w:szCs w:val="32"/>
          <w:highlight w:val="none"/>
          <w:lang w:val="en-US" w:eastAsia="zh-CN"/>
        </w:rPr>
        <w:t>第七章  技术标准和要求</w:t>
      </w:r>
      <w:bookmarkEnd w:id="1016"/>
    </w:p>
    <w:p w14:paraId="6DA976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bookmarkStart w:id="1017" w:name="_Toc95223526"/>
      <w:bookmarkStart w:id="1018" w:name="_Toc32647"/>
      <w:bookmarkStart w:id="1019" w:name="_Toc10062"/>
      <w:bookmarkStart w:id="1020" w:name="_Toc5279"/>
      <w:bookmarkStart w:id="1021" w:name="_Toc8272"/>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本招标项目施工、验收须达到设计文件的要求和国家及有关部委、安徽省、项目所在市现行的工程建设标准、规范、规定的要求（文件标准之间相互冲突的，以标准较高者为准）。</w:t>
      </w:r>
    </w:p>
    <w:p w14:paraId="41E8890F">
      <w:pPr>
        <w:spacing w:line="360" w:lineRule="auto"/>
        <w:rPr>
          <w:rFonts w:hint="eastAsia" w:ascii="宋体" w:hAnsi="宋体" w:cs="宋体"/>
          <w:color w:val="auto"/>
          <w:highlight w:val="none"/>
        </w:rPr>
      </w:pPr>
    </w:p>
    <w:p w14:paraId="29B1C382">
      <w:pPr>
        <w:spacing w:line="360" w:lineRule="auto"/>
        <w:outlineLvl w:val="1"/>
        <w:rPr>
          <w:rFonts w:hint="eastAsia" w:ascii="宋体" w:hAnsi="宋体" w:cs="宋体"/>
          <w:color w:val="auto"/>
          <w:highlight w:val="none"/>
        </w:rPr>
      </w:pPr>
      <w:bookmarkStart w:id="1022" w:name="_Toc16564"/>
      <w:bookmarkStart w:id="1023" w:name="_Toc95223529"/>
      <w:r>
        <w:rPr>
          <w:rFonts w:hint="eastAsia" w:ascii="宋体" w:hAnsi="宋体" w:cs="宋体"/>
          <w:color w:val="auto"/>
          <w:highlight w:val="none"/>
          <w:lang w:val="en-US" w:eastAsia="zh-CN"/>
        </w:rPr>
        <w:t>2</w:t>
      </w:r>
      <w:r>
        <w:rPr>
          <w:rFonts w:hint="eastAsia" w:ascii="宋体" w:hAnsi="宋体" w:cs="宋体"/>
          <w:color w:val="auto"/>
          <w:highlight w:val="none"/>
        </w:rPr>
        <w:t>. 招标人推荐品牌</w:t>
      </w:r>
      <w:bookmarkEnd w:id="1022"/>
      <w:bookmarkEnd w:id="1023"/>
    </w:p>
    <w:p w14:paraId="6811178E">
      <w:pPr>
        <w:spacing w:before="20" w:after="20" w:line="540" w:lineRule="exact"/>
        <w:jc w:val="center"/>
        <w:rPr>
          <w:rFonts w:hint="eastAsia" w:ascii="宋体" w:hAnsi="宋体" w:cs="宋体"/>
          <w:color w:val="auto"/>
          <w:sz w:val="24"/>
          <w:szCs w:val="22"/>
          <w:highlight w:val="none"/>
        </w:rPr>
      </w:pPr>
      <w:bookmarkStart w:id="1024" w:name="_Toc929"/>
      <w:bookmarkStart w:id="1025" w:name="_Toc19422"/>
      <w:bookmarkStart w:id="1026" w:name="_Toc95223530"/>
      <w:r>
        <w:rPr>
          <w:rFonts w:hint="eastAsia" w:ascii="宋体" w:hAnsi="宋体" w:cs="宋体"/>
          <w:b/>
          <w:color w:val="auto"/>
          <w:szCs w:val="21"/>
          <w:highlight w:val="none"/>
        </w:rPr>
        <w:t>品牌推荐表</w:t>
      </w:r>
      <w:bookmarkEnd w:id="1024"/>
      <w:bookmarkEnd w:id="1025"/>
      <w:bookmarkEnd w:id="1026"/>
    </w:p>
    <w:tbl>
      <w:tblPr>
        <w:tblStyle w:val="47"/>
        <w:tblW w:w="9782" w:type="dxa"/>
        <w:tblInd w:w="-210" w:type="dxa"/>
        <w:tblLayout w:type="fixed"/>
        <w:tblCellMar>
          <w:top w:w="0" w:type="dxa"/>
          <w:left w:w="0" w:type="dxa"/>
          <w:bottom w:w="0" w:type="dxa"/>
          <w:right w:w="0" w:type="dxa"/>
        </w:tblCellMar>
      </w:tblPr>
      <w:tblGrid>
        <w:gridCol w:w="710"/>
        <w:gridCol w:w="3947"/>
        <w:gridCol w:w="4274"/>
        <w:gridCol w:w="851"/>
      </w:tblGrid>
      <w:tr w14:paraId="41A201D5">
        <w:tblPrEx>
          <w:tblCellMar>
            <w:top w:w="0" w:type="dxa"/>
            <w:left w:w="0" w:type="dxa"/>
            <w:bottom w:w="0" w:type="dxa"/>
            <w:right w:w="0" w:type="dxa"/>
          </w:tblCellMar>
        </w:tblPrEx>
        <w:trPr>
          <w:trHeight w:val="417" w:hRule="atLeast"/>
        </w:trPr>
        <w:tc>
          <w:tcPr>
            <w:tcW w:w="710" w:type="dxa"/>
            <w:tcBorders>
              <w:top w:val="single" w:color="000000" w:sz="6" w:space="0"/>
              <w:left w:val="single" w:color="000000" w:sz="6" w:space="0"/>
              <w:bottom w:val="single" w:color="000000" w:sz="6" w:space="0"/>
              <w:right w:val="single" w:color="000000" w:sz="6" w:space="0"/>
            </w:tcBorders>
            <w:vAlign w:val="center"/>
          </w:tcPr>
          <w:p w14:paraId="7677DF38">
            <w:pPr>
              <w:keepNext w:val="0"/>
              <w:keepLines w:val="0"/>
              <w:widowControl w:val="0"/>
              <w:suppressLineNumbers w:val="0"/>
              <w:autoSpaceDE w:val="0"/>
              <w:autoSpaceDN w:val="0"/>
              <w:spacing w:before="20"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r>
              <w:rPr>
                <w:rFonts w:hint="default" w:ascii="宋体" w:hAnsi="宋体" w:eastAsia="宋体" w:cs="Times New Roman"/>
                <w:color w:val="auto"/>
                <w:spacing w:val="15"/>
                <w:kern w:val="0"/>
                <w:sz w:val="21"/>
                <w:szCs w:val="21"/>
                <w:highlight w:val="none"/>
                <w:lang w:val="en-US" w:eastAsia="en-US" w:bidi="ar-SA"/>
              </w:rPr>
              <w:t>序号</w:t>
            </w:r>
          </w:p>
        </w:tc>
        <w:tc>
          <w:tcPr>
            <w:tcW w:w="3947" w:type="dxa"/>
            <w:tcBorders>
              <w:top w:val="single" w:color="000000" w:sz="6" w:space="0"/>
              <w:left w:val="nil"/>
              <w:bottom w:val="single" w:color="000000" w:sz="6" w:space="0"/>
              <w:right w:val="single" w:color="000000" w:sz="6" w:space="0"/>
            </w:tcBorders>
            <w:vAlign w:val="center"/>
          </w:tcPr>
          <w:p w14:paraId="4489BF31">
            <w:pPr>
              <w:keepNext w:val="0"/>
              <w:keepLines w:val="0"/>
              <w:widowControl w:val="0"/>
              <w:suppressLineNumbers w:val="0"/>
              <w:autoSpaceDE w:val="0"/>
              <w:autoSpaceDN w:val="0"/>
              <w:spacing w:before="20"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r>
              <w:rPr>
                <w:rFonts w:hint="default" w:ascii="宋体" w:hAnsi="宋体" w:eastAsia="宋体" w:cs="Times New Roman"/>
                <w:color w:val="auto"/>
                <w:spacing w:val="14"/>
                <w:kern w:val="0"/>
                <w:sz w:val="21"/>
                <w:szCs w:val="21"/>
                <w:highlight w:val="none"/>
                <w:lang w:val="en-US" w:eastAsia="en-US" w:bidi="ar-SA"/>
              </w:rPr>
              <w:t>材料种类</w:t>
            </w:r>
          </w:p>
        </w:tc>
        <w:tc>
          <w:tcPr>
            <w:tcW w:w="4274" w:type="dxa"/>
            <w:tcBorders>
              <w:top w:val="single" w:color="000000" w:sz="6" w:space="0"/>
              <w:left w:val="nil"/>
              <w:bottom w:val="single" w:color="000000" w:sz="6" w:space="0"/>
              <w:right w:val="single" w:color="000000" w:sz="6" w:space="0"/>
            </w:tcBorders>
            <w:vAlign w:val="center"/>
          </w:tcPr>
          <w:p w14:paraId="551EDA3E">
            <w:pPr>
              <w:keepNext w:val="0"/>
              <w:keepLines w:val="0"/>
              <w:widowControl w:val="0"/>
              <w:suppressLineNumbers w:val="0"/>
              <w:autoSpaceDE w:val="0"/>
              <w:autoSpaceDN w:val="0"/>
              <w:spacing w:before="20"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r>
              <w:rPr>
                <w:rFonts w:hint="default" w:ascii="宋体" w:hAnsi="宋体" w:eastAsia="宋体" w:cs="Times New Roman"/>
                <w:color w:val="auto"/>
                <w:spacing w:val="14"/>
                <w:kern w:val="0"/>
                <w:sz w:val="21"/>
                <w:szCs w:val="21"/>
                <w:highlight w:val="none"/>
                <w:lang w:val="en-US" w:eastAsia="en-US" w:bidi="ar-SA"/>
              </w:rPr>
              <w:t>品牌名称</w:t>
            </w:r>
          </w:p>
        </w:tc>
        <w:tc>
          <w:tcPr>
            <w:tcW w:w="851" w:type="dxa"/>
            <w:tcBorders>
              <w:top w:val="single" w:color="000000" w:sz="6" w:space="0"/>
              <w:left w:val="nil"/>
              <w:bottom w:val="single" w:color="000000" w:sz="6" w:space="0"/>
              <w:right w:val="single" w:color="000000" w:sz="6" w:space="0"/>
            </w:tcBorders>
            <w:vAlign w:val="center"/>
          </w:tcPr>
          <w:p w14:paraId="40F43461">
            <w:pPr>
              <w:keepNext w:val="0"/>
              <w:keepLines w:val="0"/>
              <w:widowControl w:val="0"/>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r>
              <w:rPr>
                <w:rFonts w:hint="default" w:ascii="宋体" w:hAnsi="宋体" w:eastAsia="宋体" w:cs="Times New Roman"/>
                <w:color w:val="auto"/>
                <w:kern w:val="0"/>
                <w:sz w:val="21"/>
                <w:szCs w:val="21"/>
                <w:highlight w:val="none"/>
                <w:lang w:val="en-US" w:eastAsia="en-US" w:bidi="ar-SA"/>
              </w:rPr>
              <w:t>备注</w:t>
            </w:r>
          </w:p>
        </w:tc>
      </w:tr>
      <w:tr w14:paraId="4CB197A5">
        <w:tblPrEx>
          <w:tblCellMar>
            <w:top w:w="0" w:type="dxa"/>
            <w:left w:w="0" w:type="dxa"/>
            <w:bottom w:w="0" w:type="dxa"/>
            <w:right w:w="0" w:type="dxa"/>
          </w:tblCellMar>
        </w:tblPrEx>
        <w:trPr>
          <w:trHeight w:val="456" w:hRule="atLeast"/>
        </w:trPr>
        <w:tc>
          <w:tcPr>
            <w:tcW w:w="710" w:type="dxa"/>
            <w:tcBorders>
              <w:top w:val="single" w:color="000000" w:sz="6" w:space="0"/>
              <w:left w:val="single" w:color="000000" w:sz="6" w:space="0"/>
              <w:bottom w:val="single" w:color="000000" w:sz="6" w:space="0"/>
              <w:right w:val="single" w:color="000000" w:sz="6" w:space="0"/>
            </w:tcBorders>
            <w:vAlign w:val="center"/>
          </w:tcPr>
          <w:p w14:paraId="1267D70F">
            <w:pPr>
              <w:keepNext w:val="0"/>
              <w:keepLines w:val="0"/>
              <w:widowControl w:val="0"/>
              <w:suppressLineNumbers w:val="0"/>
              <w:autoSpaceDE w:val="0"/>
              <w:autoSpaceDN w:val="0"/>
              <w:spacing w:before="198"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r>
              <w:rPr>
                <w:rFonts w:hint="default" w:ascii="Times New Roman" w:hAnsi="Times New Roman" w:eastAsia="宋体" w:cs="Times New Roman"/>
                <w:color w:val="auto"/>
                <w:kern w:val="0"/>
                <w:sz w:val="21"/>
                <w:szCs w:val="21"/>
                <w:highlight w:val="none"/>
                <w:lang w:val="en-US" w:eastAsia="en-US" w:bidi="ar-SA"/>
              </w:rPr>
              <w:t>1</w:t>
            </w:r>
          </w:p>
        </w:tc>
        <w:tc>
          <w:tcPr>
            <w:tcW w:w="3947" w:type="dxa"/>
            <w:tcBorders>
              <w:top w:val="single" w:color="000000" w:sz="6" w:space="0"/>
              <w:left w:val="nil"/>
              <w:bottom w:val="single" w:color="000000" w:sz="6" w:space="0"/>
              <w:right w:val="single" w:color="000000" w:sz="6" w:space="0"/>
            </w:tcBorders>
            <w:vAlign w:val="center"/>
          </w:tcPr>
          <w:p w14:paraId="4FD789A7">
            <w:pPr>
              <w:keepNext w:val="0"/>
              <w:keepLines w:val="0"/>
              <w:widowControl w:val="0"/>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p>
        </w:tc>
        <w:tc>
          <w:tcPr>
            <w:tcW w:w="4274" w:type="dxa"/>
            <w:tcBorders>
              <w:top w:val="single" w:color="000000" w:sz="6" w:space="0"/>
              <w:left w:val="nil"/>
              <w:bottom w:val="single" w:color="000000" w:sz="6" w:space="0"/>
              <w:right w:val="single" w:color="000000" w:sz="6" w:space="0"/>
            </w:tcBorders>
            <w:vAlign w:val="center"/>
          </w:tcPr>
          <w:p w14:paraId="11BA8345">
            <w:pPr>
              <w:keepNext w:val="0"/>
              <w:keepLines w:val="0"/>
              <w:widowControl w:val="0"/>
              <w:suppressLineNumbers w:val="0"/>
              <w:autoSpaceDE w:val="0"/>
              <w:autoSpaceDN w:val="0"/>
              <w:spacing w:before="3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851" w:type="dxa"/>
            <w:tcBorders>
              <w:top w:val="single" w:color="000000" w:sz="6" w:space="0"/>
              <w:left w:val="nil"/>
              <w:bottom w:val="single" w:color="000000" w:sz="6" w:space="0"/>
              <w:right w:val="single" w:color="000000" w:sz="6" w:space="0"/>
            </w:tcBorders>
            <w:vAlign w:val="center"/>
          </w:tcPr>
          <w:p w14:paraId="01222364">
            <w:pPr>
              <w:keepNext w:val="0"/>
              <w:keepLines w:val="0"/>
              <w:widowControl w:val="0"/>
              <w:suppressLineNumbers w:val="0"/>
              <w:autoSpaceDE w:val="0"/>
              <w:autoSpaceDN w:val="0"/>
              <w:spacing w:before="155"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r>
      <w:tr w14:paraId="3ABCFF1E">
        <w:tblPrEx>
          <w:tblCellMar>
            <w:top w:w="0" w:type="dxa"/>
            <w:left w:w="0" w:type="dxa"/>
            <w:bottom w:w="0" w:type="dxa"/>
            <w:right w:w="0" w:type="dxa"/>
          </w:tblCellMar>
        </w:tblPrEx>
        <w:trPr>
          <w:trHeight w:val="417" w:hRule="atLeast"/>
        </w:trPr>
        <w:tc>
          <w:tcPr>
            <w:tcW w:w="710" w:type="dxa"/>
            <w:tcBorders>
              <w:top w:val="single" w:color="000000" w:sz="6" w:space="0"/>
              <w:left w:val="single" w:color="000000" w:sz="6" w:space="0"/>
              <w:bottom w:val="single" w:color="000000" w:sz="6" w:space="0"/>
              <w:right w:val="single" w:color="000000" w:sz="6" w:space="0"/>
            </w:tcBorders>
            <w:vAlign w:val="center"/>
          </w:tcPr>
          <w:p w14:paraId="7A08612D">
            <w:pPr>
              <w:keepNext w:val="0"/>
              <w:keepLines w:val="0"/>
              <w:widowControl w:val="0"/>
              <w:suppressLineNumbers w:val="0"/>
              <w:autoSpaceDE w:val="0"/>
              <w:autoSpaceDN w:val="0"/>
              <w:spacing w:before="48"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r>
              <w:rPr>
                <w:rFonts w:hint="default" w:ascii="Times New Roman" w:hAnsi="Times New Roman" w:eastAsia="宋体" w:cs="Times New Roman"/>
                <w:color w:val="auto"/>
                <w:kern w:val="0"/>
                <w:sz w:val="21"/>
                <w:szCs w:val="21"/>
                <w:highlight w:val="none"/>
                <w:lang w:val="en-US" w:eastAsia="en-US" w:bidi="ar-SA"/>
              </w:rPr>
              <w:t>2</w:t>
            </w:r>
          </w:p>
        </w:tc>
        <w:tc>
          <w:tcPr>
            <w:tcW w:w="3947" w:type="dxa"/>
            <w:tcBorders>
              <w:top w:val="single" w:color="000000" w:sz="6" w:space="0"/>
              <w:left w:val="nil"/>
              <w:bottom w:val="single" w:color="000000" w:sz="6" w:space="0"/>
              <w:right w:val="single" w:color="000000" w:sz="6" w:space="0"/>
            </w:tcBorders>
            <w:vAlign w:val="center"/>
          </w:tcPr>
          <w:p w14:paraId="6BE2A2BA">
            <w:pPr>
              <w:keepNext w:val="0"/>
              <w:keepLines w:val="0"/>
              <w:widowControl w:val="0"/>
              <w:suppressLineNumbers w:val="0"/>
              <w:autoSpaceDE w:val="0"/>
              <w:autoSpaceDN w:val="0"/>
              <w:spacing w:before="48"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4274" w:type="dxa"/>
            <w:tcBorders>
              <w:top w:val="single" w:color="000000" w:sz="6" w:space="0"/>
              <w:left w:val="nil"/>
              <w:bottom w:val="single" w:color="000000" w:sz="6" w:space="0"/>
              <w:right w:val="single" w:color="000000" w:sz="6" w:space="0"/>
            </w:tcBorders>
            <w:vAlign w:val="center"/>
          </w:tcPr>
          <w:p w14:paraId="18AED5B3">
            <w:pPr>
              <w:keepNext w:val="0"/>
              <w:keepLines w:val="0"/>
              <w:widowControl w:val="0"/>
              <w:suppressLineNumbers w:val="0"/>
              <w:autoSpaceDE w:val="0"/>
              <w:autoSpaceDN w:val="0"/>
              <w:spacing w:before="48"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851" w:type="dxa"/>
            <w:tcBorders>
              <w:top w:val="single" w:color="000000" w:sz="6" w:space="0"/>
              <w:left w:val="nil"/>
              <w:bottom w:val="single" w:color="000000" w:sz="6" w:space="0"/>
              <w:right w:val="single" w:color="000000" w:sz="6" w:space="0"/>
            </w:tcBorders>
            <w:vAlign w:val="center"/>
          </w:tcPr>
          <w:p w14:paraId="6877D92E">
            <w:pPr>
              <w:keepNext w:val="0"/>
              <w:keepLines w:val="0"/>
              <w:widowControl w:val="0"/>
              <w:suppressLineNumbers w:val="0"/>
              <w:autoSpaceDE w:val="0"/>
              <w:autoSpaceDN w:val="0"/>
              <w:spacing w:before="20"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r>
      <w:tr w14:paraId="6A5EFF08">
        <w:tblPrEx>
          <w:tblCellMar>
            <w:top w:w="0" w:type="dxa"/>
            <w:left w:w="0" w:type="dxa"/>
            <w:bottom w:w="0" w:type="dxa"/>
            <w:right w:w="0" w:type="dxa"/>
          </w:tblCellMar>
        </w:tblPrEx>
        <w:trPr>
          <w:trHeight w:val="373" w:hRule="atLeast"/>
        </w:trPr>
        <w:tc>
          <w:tcPr>
            <w:tcW w:w="710" w:type="dxa"/>
            <w:tcBorders>
              <w:top w:val="single" w:color="000000" w:sz="6" w:space="0"/>
              <w:left w:val="single" w:color="000000" w:sz="6" w:space="0"/>
              <w:bottom w:val="single" w:color="000000" w:sz="6" w:space="0"/>
              <w:right w:val="single" w:color="000000" w:sz="6" w:space="0"/>
            </w:tcBorders>
            <w:vAlign w:val="center"/>
          </w:tcPr>
          <w:p w14:paraId="60A2DC66">
            <w:pPr>
              <w:keepNext w:val="0"/>
              <w:keepLines w:val="0"/>
              <w:widowControl w:val="0"/>
              <w:suppressLineNumbers w:val="0"/>
              <w:autoSpaceDE w:val="0"/>
              <w:autoSpaceDN w:val="0"/>
              <w:spacing w:before="3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r>
              <w:rPr>
                <w:rFonts w:hint="default" w:ascii="Times New Roman" w:hAnsi="Times New Roman" w:eastAsia="宋体" w:cs="Times New Roman"/>
                <w:color w:val="auto"/>
                <w:kern w:val="0"/>
                <w:sz w:val="21"/>
                <w:szCs w:val="21"/>
                <w:highlight w:val="none"/>
                <w:lang w:val="en-US" w:eastAsia="en-US" w:bidi="ar-SA"/>
              </w:rPr>
              <w:t>3</w:t>
            </w:r>
          </w:p>
        </w:tc>
        <w:tc>
          <w:tcPr>
            <w:tcW w:w="3947" w:type="dxa"/>
            <w:tcBorders>
              <w:top w:val="single" w:color="000000" w:sz="6" w:space="0"/>
              <w:left w:val="nil"/>
              <w:bottom w:val="single" w:color="000000" w:sz="6" w:space="0"/>
              <w:right w:val="single" w:color="000000" w:sz="6" w:space="0"/>
            </w:tcBorders>
            <w:vAlign w:val="center"/>
          </w:tcPr>
          <w:p w14:paraId="4C82DD13">
            <w:pPr>
              <w:keepNext w:val="0"/>
              <w:keepLines w:val="0"/>
              <w:widowControl w:val="0"/>
              <w:suppressLineNumbers w:val="0"/>
              <w:autoSpaceDE w:val="0"/>
              <w:autoSpaceDN w:val="0"/>
              <w:spacing w:before="3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4274" w:type="dxa"/>
            <w:tcBorders>
              <w:top w:val="single" w:color="000000" w:sz="6" w:space="0"/>
              <w:left w:val="nil"/>
              <w:bottom w:val="single" w:color="000000" w:sz="6" w:space="0"/>
              <w:right w:val="single" w:color="000000" w:sz="6" w:space="0"/>
            </w:tcBorders>
            <w:vAlign w:val="center"/>
          </w:tcPr>
          <w:p w14:paraId="472DF914">
            <w:pPr>
              <w:keepNext w:val="0"/>
              <w:keepLines w:val="0"/>
              <w:widowControl w:val="0"/>
              <w:suppressLineNumbers w:val="0"/>
              <w:autoSpaceDE w:val="0"/>
              <w:autoSpaceDN w:val="0"/>
              <w:spacing w:before="3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851" w:type="dxa"/>
            <w:tcBorders>
              <w:top w:val="single" w:color="000000" w:sz="6" w:space="0"/>
              <w:left w:val="nil"/>
              <w:bottom w:val="single" w:color="000000" w:sz="6" w:space="0"/>
              <w:right w:val="single" w:color="000000" w:sz="6" w:space="0"/>
            </w:tcBorders>
            <w:vAlign w:val="center"/>
          </w:tcPr>
          <w:p w14:paraId="6E941FFD">
            <w:pPr>
              <w:keepNext w:val="0"/>
              <w:keepLines w:val="0"/>
              <w:widowControl w:val="0"/>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r>
      <w:tr w14:paraId="09E63DB3">
        <w:tblPrEx>
          <w:tblCellMar>
            <w:top w:w="0" w:type="dxa"/>
            <w:left w:w="0" w:type="dxa"/>
            <w:bottom w:w="0" w:type="dxa"/>
            <w:right w:w="0" w:type="dxa"/>
          </w:tblCellMar>
        </w:tblPrEx>
        <w:trPr>
          <w:trHeight w:val="417" w:hRule="atLeast"/>
        </w:trPr>
        <w:tc>
          <w:tcPr>
            <w:tcW w:w="710" w:type="dxa"/>
            <w:tcBorders>
              <w:top w:val="single" w:color="000000" w:sz="6" w:space="0"/>
              <w:left w:val="single" w:color="000000" w:sz="6" w:space="0"/>
              <w:bottom w:val="single" w:color="000000" w:sz="6" w:space="0"/>
              <w:right w:val="single" w:color="000000" w:sz="6" w:space="0"/>
            </w:tcBorders>
            <w:vAlign w:val="center"/>
          </w:tcPr>
          <w:p w14:paraId="05479FB8">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4</w:t>
            </w:r>
          </w:p>
        </w:tc>
        <w:tc>
          <w:tcPr>
            <w:tcW w:w="3947" w:type="dxa"/>
            <w:tcBorders>
              <w:top w:val="single" w:color="000000" w:sz="6" w:space="0"/>
              <w:left w:val="nil"/>
              <w:bottom w:val="single" w:color="000000" w:sz="6" w:space="0"/>
              <w:right w:val="single" w:color="000000" w:sz="6" w:space="0"/>
            </w:tcBorders>
            <w:vAlign w:val="center"/>
          </w:tcPr>
          <w:p w14:paraId="6BF5F329">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p>
        </w:tc>
        <w:tc>
          <w:tcPr>
            <w:tcW w:w="4274" w:type="dxa"/>
            <w:tcBorders>
              <w:top w:val="single" w:color="000000" w:sz="6" w:space="0"/>
              <w:left w:val="nil"/>
              <w:bottom w:val="single" w:color="000000" w:sz="6" w:space="0"/>
              <w:right w:val="single" w:color="000000" w:sz="6" w:space="0"/>
            </w:tcBorders>
            <w:vAlign w:val="center"/>
          </w:tcPr>
          <w:p w14:paraId="1759DA10">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851" w:type="dxa"/>
            <w:tcBorders>
              <w:top w:val="single" w:color="000000" w:sz="6" w:space="0"/>
              <w:left w:val="nil"/>
              <w:bottom w:val="single" w:color="000000" w:sz="6" w:space="0"/>
              <w:right w:val="single" w:color="000000" w:sz="6" w:space="0"/>
            </w:tcBorders>
            <w:vAlign w:val="center"/>
          </w:tcPr>
          <w:p w14:paraId="51EC4EA2">
            <w:pPr>
              <w:keepNext w:val="0"/>
              <w:keepLines w:val="0"/>
              <w:widowControl w:val="0"/>
              <w:suppressLineNumbers w:val="0"/>
              <w:autoSpaceDE w:val="0"/>
              <w:autoSpaceDN w:val="0"/>
              <w:spacing w:before="19"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r>
      <w:tr w14:paraId="35AA219B">
        <w:tblPrEx>
          <w:tblCellMar>
            <w:top w:w="0" w:type="dxa"/>
            <w:left w:w="0" w:type="dxa"/>
            <w:bottom w:w="0" w:type="dxa"/>
            <w:right w:w="0" w:type="dxa"/>
          </w:tblCellMar>
        </w:tblPrEx>
        <w:trPr>
          <w:trHeight w:val="417"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3C598D">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r>
              <w:rPr>
                <w:rFonts w:hint="default" w:ascii="Times New Roman" w:hAnsi="Times New Roman" w:eastAsia="宋体" w:cs="Times New Roman"/>
                <w:color w:val="auto"/>
                <w:kern w:val="0"/>
                <w:sz w:val="21"/>
                <w:szCs w:val="21"/>
                <w:highlight w:val="none"/>
                <w:lang w:val="en-US" w:eastAsia="en-US" w:bidi="ar-SA"/>
              </w:rPr>
              <w:t>5</w:t>
            </w:r>
          </w:p>
        </w:tc>
        <w:tc>
          <w:tcPr>
            <w:tcW w:w="3947" w:type="dxa"/>
            <w:tcBorders>
              <w:top w:val="single" w:color="000000" w:sz="6" w:space="0"/>
              <w:left w:val="nil"/>
              <w:bottom w:val="single" w:color="000000" w:sz="6" w:space="0"/>
              <w:right w:val="single" w:color="000000" w:sz="6" w:space="0"/>
            </w:tcBorders>
            <w:vAlign w:val="center"/>
          </w:tcPr>
          <w:p w14:paraId="71068CAD">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p>
        </w:tc>
        <w:tc>
          <w:tcPr>
            <w:tcW w:w="4274" w:type="dxa"/>
            <w:tcBorders>
              <w:top w:val="single" w:color="000000" w:sz="6" w:space="0"/>
              <w:left w:val="nil"/>
              <w:bottom w:val="single" w:color="000000" w:sz="6" w:space="0"/>
              <w:right w:val="single" w:color="000000" w:sz="6" w:space="0"/>
            </w:tcBorders>
            <w:vAlign w:val="center"/>
          </w:tcPr>
          <w:p w14:paraId="4101E93A">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851" w:type="dxa"/>
            <w:tcBorders>
              <w:top w:val="single" w:color="000000" w:sz="6" w:space="0"/>
              <w:left w:val="nil"/>
              <w:bottom w:val="single" w:color="000000" w:sz="6" w:space="0"/>
              <w:right w:val="single" w:color="000000" w:sz="6" w:space="0"/>
            </w:tcBorders>
            <w:vAlign w:val="center"/>
          </w:tcPr>
          <w:p w14:paraId="540A1CDB">
            <w:pPr>
              <w:keepNext w:val="0"/>
              <w:keepLines w:val="0"/>
              <w:widowControl w:val="0"/>
              <w:suppressLineNumbers w:val="0"/>
              <w:autoSpaceDE w:val="0"/>
              <w:autoSpaceDN w:val="0"/>
              <w:spacing w:before="19"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r>
      <w:tr w14:paraId="63BB1E86">
        <w:tblPrEx>
          <w:tblCellMar>
            <w:top w:w="0" w:type="dxa"/>
            <w:left w:w="0" w:type="dxa"/>
            <w:bottom w:w="0" w:type="dxa"/>
            <w:right w:w="0" w:type="dxa"/>
          </w:tblCellMar>
        </w:tblPrEx>
        <w:trPr>
          <w:trHeight w:val="417"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04B441">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r>
              <w:rPr>
                <w:rFonts w:hint="default" w:ascii="Times New Roman" w:hAnsi="Times New Roman" w:eastAsia="宋体" w:cs="Times New Roman"/>
                <w:color w:val="auto"/>
                <w:kern w:val="0"/>
                <w:sz w:val="21"/>
                <w:szCs w:val="21"/>
                <w:highlight w:val="none"/>
                <w:lang w:val="en-US" w:eastAsia="en-US" w:bidi="ar-SA"/>
              </w:rPr>
              <w:t>6</w:t>
            </w:r>
          </w:p>
        </w:tc>
        <w:tc>
          <w:tcPr>
            <w:tcW w:w="3947" w:type="dxa"/>
            <w:tcBorders>
              <w:top w:val="single" w:color="000000" w:sz="6" w:space="0"/>
              <w:left w:val="nil"/>
              <w:bottom w:val="single" w:color="000000" w:sz="6" w:space="0"/>
              <w:right w:val="single" w:color="000000" w:sz="6" w:space="0"/>
            </w:tcBorders>
            <w:vAlign w:val="center"/>
          </w:tcPr>
          <w:p w14:paraId="06BBDBCF">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p>
        </w:tc>
        <w:tc>
          <w:tcPr>
            <w:tcW w:w="4274" w:type="dxa"/>
            <w:tcBorders>
              <w:top w:val="single" w:color="000000" w:sz="6" w:space="0"/>
              <w:left w:val="nil"/>
              <w:bottom w:val="single" w:color="000000" w:sz="6" w:space="0"/>
              <w:right w:val="single" w:color="000000" w:sz="6" w:space="0"/>
            </w:tcBorders>
            <w:vAlign w:val="center"/>
          </w:tcPr>
          <w:p w14:paraId="63D0AE6F">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851" w:type="dxa"/>
            <w:tcBorders>
              <w:top w:val="single" w:color="000000" w:sz="6" w:space="0"/>
              <w:left w:val="nil"/>
              <w:bottom w:val="single" w:color="000000" w:sz="6" w:space="0"/>
              <w:right w:val="single" w:color="000000" w:sz="6" w:space="0"/>
            </w:tcBorders>
            <w:vAlign w:val="center"/>
          </w:tcPr>
          <w:p w14:paraId="0C5144DF">
            <w:pPr>
              <w:keepNext w:val="0"/>
              <w:keepLines w:val="0"/>
              <w:widowControl w:val="0"/>
              <w:suppressLineNumbers w:val="0"/>
              <w:autoSpaceDE w:val="0"/>
              <w:autoSpaceDN w:val="0"/>
              <w:spacing w:before="19"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r>
      <w:tr w14:paraId="1C0B8FA7">
        <w:tblPrEx>
          <w:tblCellMar>
            <w:top w:w="0" w:type="dxa"/>
            <w:left w:w="0" w:type="dxa"/>
            <w:bottom w:w="0" w:type="dxa"/>
            <w:right w:w="0" w:type="dxa"/>
          </w:tblCellMar>
        </w:tblPrEx>
        <w:trPr>
          <w:trHeight w:val="417" w:hRule="atLeast"/>
        </w:trPr>
        <w:tc>
          <w:tcPr>
            <w:tcW w:w="710" w:type="dxa"/>
            <w:tcBorders>
              <w:top w:val="single" w:color="000000" w:sz="6" w:space="0"/>
              <w:left w:val="single" w:color="000000" w:sz="6" w:space="0"/>
              <w:bottom w:val="single" w:color="000000" w:sz="6" w:space="0"/>
              <w:right w:val="single" w:color="000000" w:sz="6" w:space="0"/>
            </w:tcBorders>
            <w:vAlign w:val="center"/>
          </w:tcPr>
          <w:p w14:paraId="74E5F6C3">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7</w:t>
            </w:r>
          </w:p>
        </w:tc>
        <w:tc>
          <w:tcPr>
            <w:tcW w:w="3947" w:type="dxa"/>
            <w:tcBorders>
              <w:top w:val="single" w:color="000000" w:sz="6" w:space="0"/>
              <w:left w:val="nil"/>
              <w:bottom w:val="single" w:color="000000" w:sz="6" w:space="0"/>
              <w:right w:val="single" w:color="000000" w:sz="6" w:space="0"/>
            </w:tcBorders>
            <w:vAlign w:val="center"/>
          </w:tcPr>
          <w:p w14:paraId="3C9DD017">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p>
        </w:tc>
        <w:tc>
          <w:tcPr>
            <w:tcW w:w="4274" w:type="dxa"/>
            <w:tcBorders>
              <w:top w:val="single" w:color="000000" w:sz="6" w:space="0"/>
              <w:left w:val="nil"/>
              <w:bottom w:val="single" w:color="000000" w:sz="6" w:space="0"/>
              <w:right w:val="single" w:color="000000" w:sz="6" w:space="0"/>
            </w:tcBorders>
            <w:vAlign w:val="center"/>
          </w:tcPr>
          <w:p w14:paraId="01BA203D">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851" w:type="dxa"/>
            <w:tcBorders>
              <w:top w:val="single" w:color="000000" w:sz="6" w:space="0"/>
              <w:left w:val="nil"/>
              <w:bottom w:val="single" w:color="000000" w:sz="6" w:space="0"/>
              <w:right w:val="single" w:color="000000" w:sz="6" w:space="0"/>
            </w:tcBorders>
            <w:vAlign w:val="center"/>
          </w:tcPr>
          <w:p w14:paraId="5ACA6DCF">
            <w:pPr>
              <w:keepNext w:val="0"/>
              <w:keepLines w:val="0"/>
              <w:widowControl w:val="0"/>
              <w:suppressLineNumbers w:val="0"/>
              <w:autoSpaceDE w:val="0"/>
              <w:autoSpaceDN w:val="0"/>
              <w:spacing w:before="19"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r>
      <w:tr w14:paraId="34FAE0C1">
        <w:tblPrEx>
          <w:tblCellMar>
            <w:top w:w="0" w:type="dxa"/>
            <w:left w:w="0" w:type="dxa"/>
            <w:bottom w:w="0" w:type="dxa"/>
            <w:right w:w="0" w:type="dxa"/>
          </w:tblCellMar>
        </w:tblPrEx>
        <w:trPr>
          <w:trHeight w:val="417" w:hRule="atLeast"/>
        </w:trPr>
        <w:tc>
          <w:tcPr>
            <w:tcW w:w="710" w:type="dxa"/>
            <w:tcBorders>
              <w:top w:val="single" w:color="000000" w:sz="6" w:space="0"/>
              <w:left w:val="single" w:color="000000" w:sz="6" w:space="0"/>
              <w:bottom w:val="single" w:color="000000" w:sz="6" w:space="0"/>
              <w:right w:val="single" w:color="000000" w:sz="6" w:space="0"/>
            </w:tcBorders>
            <w:vAlign w:val="center"/>
          </w:tcPr>
          <w:p w14:paraId="0A1F16C0">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8</w:t>
            </w:r>
          </w:p>
        </w:tc>
        <w:tc>
          <w:tcPr>
            <w:tcW w:w="3947" w:type="dxa"/>
            <w:tcBorders>
              <w:top w:val="single" w:color="000000" w:sz="6" w:space="0"/>
              <w:left w:val="nil"/>
              <w:bottom w:val="single" w:color="000000" w:sz="6" w:space="0"/>
              <w:right w:val="single" w:color="000000" w:sz="6" w:space="0"/>
            </w:tcBorders>
            <w:vAlign w:val="center"/>
          </w:tcPr>
          <w:p w14:paraId="1929518D">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4274" w:type="dxa"/>
            <w:tcBorders>
              <w:top w:val="single" w:color="000000" w:sz="6" w:space="0"/>
              <w:left w:val="nil"/>
              <w:bottom w:val="single" w:color="000000" w:sz="6" w:space="0"/>
              <w:right w:val="single" w:color="000000" w:sz="6" w:space="0"/>
            </w:tcBorders>
            <w:vAlign w:val="center"/>
          </w:tcPr>
          <w:p w14:paraId="6FA80A4B">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851" w:type="dxa"/>
            <w:tcBorders>
              <w:top w:val="single" w:color="000000" w:sz="6" w:space="0"/>
              <w:left w:val="nil"/>
              <w:bottom w:val="single" w:color="000000" w:sz="6" w:space="0"/>
              <w:right w:val="single" w:color="000000" w:sz="6" w:space="0"/>
            </w:tcBorders>
            <w:vAlign w:val="center"/>
          </w:tcPr>
          <w:p w14:paraId="074B6B2B">
            <w:pPr>
              <w:keepNext w:val="0"/>
              <w:keepLines w:val="0"/>
              <w:widowControl w:val="0"/>
              <w:suppressLineNumbers w:val="0"/>
              <w:autoSpaceDE w:val="0"/>
              <w:autoSpaceDN w:val="0"/>
              <w:spacing w:before="19"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r>
      <w:tr w14:paraId="7EC854DA">
        <w:tblPrEx>
          <w:tblCellMar>
            <w:top w:w="0" w:type="dxa"/>
            <w:left w:w="0" w:type="dxa"/>
            <w:bottom w:w="0" w:type="dxa"/>
            <w:right w:w="0" w:type="dxa"/>
          </w:tblCellMar>
        </w:tblPrEx>
        <w:trPr>
          <w:trHeight w:val="417" w:hRule="atLeast"/>
        </w:trPr>
        <w:tc>
          <w:tcPr>
            <w:tcW w:w="710" w:type="dxa"/>
            <w:tcBorders>
              <w:top w:val="single" w:color="000000" w:sz="6" w:space="0"/>
              <w:left w:val="single" w:color="000000" w:sz="6" w:space="0"/>
              <w:bottom w:val="single" w:color="000000" w:sz="6" w:space="0"/>
              <w:right w:val="single" w:color="000000" w:sz="6" w:space="0"/>
            </w:tcBorders>
            <w:vAlign w:val="center"/>
          </w:tcPr>
          <w:p w14:paraId="174CD614">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9</w:t>
            </w:r>
          </w:p>
        </w:tc>
        <w:tc>
          <w:tcPr>
            <w:tcW w:w="3947" w:type="dxa"/>
            <w:tcBorders>
              <w:top w:val="single" w:color="000000" w:sz="6" w:space="0"/>
              <w:left w:val="nil"/>
              <w:bottom w:val="single" w:color="000000" w:sz="6" w:space="0"/>
              <w:right w:val="single" w:color="000000" w:sz="6" w:space="0"/>
            </w:tcBorders>
            <w:vAlign w:val="center"/>
          </w:tcPr>
          <w:p w14:paraId="1F8CE6BE">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en-US" w:bidi="ar-SA"/>
              </w:rPr>
            </w:pPr>
          </w:p>
        </w:tc>
        <w:tc>
          <w:tcPr>
            <w:tcW w:w="4274" w:type="dxa"/>
            <w:tcBorders>
              <w:top w:val="single" w:color="000000" w:sz="6" w:space="0"/>
              <w:left w:val="nil"/>
              <w:bottom w:val="single" w:color="000000" w:sz="6" w:space="0"/>
              <w:right w:val="single" w:color="000000" w:sz="6" w:space="0"/>
            </w:tcBorders>
            <w:vAlign w:val="center"/>
          </w:tcPr>
          <w:p w14:paraId="7EC91460">
            <w:pPr>
              <w:keepNext w:val="0"/>
              <w:keepLines w:val="0"/>
              <w:widowControl w:val="0"/>
              <w:suppressLineNumbers w:val="0"/>
              <w:autoSpaceDE w:val="0"/>
              <w:autoSpaceDN w:val="0"/>
              <w:spacing w:before="63"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c>
          <w:tcPr>
            <w:tcW w:w="851" w:type="dxa"/>
            <w:tcBorders>
              <w:top w:val="single" w:color="000000" w:sz="6" w:space="0"/>
              <w:left w:val="nil"/>
              <w:bottom w:val="single" w:color="000000" w:sz="6" w:space="0"/>
              <w:right w:val="single" w:color="000000" w:sz="6" w:space="0"/>
            </w:tcBorders>
            <w:vAlign w:val="center"/>
          </w:tcPr>
          <w:p w14:paraId="2B6D5D79">
            <w:pPr>
              <w:keepNext w:val="0"/>
              <w:keepLines w:val="0"/>
              <w:widowControl w:val="0"/>
              <w:suppressLineNumbers w:val="0"/>
              <w:autoSpaceDE w:val="0"/>
              <w:autoSpaceDN w:val="0"/>
              <w:spacing w:before="19" w:beforeAutospacing="0" w:after="0" w:afterAutospacing="0"/>
              <w:ind w:left="0" w:right="0" w:firstLine="0" w:firstLineChars="0"/>
              <w:jc w:val="center"/>
              <w:rPr>
                <w:rFonts w:hint="default" w:ascii="Times New Roman" w:hAnsi="Times New Roman" w:eastAsia="宋体" w:cs="Times New Roman"/>
                <w:color w:val="auto"/>
                <w:kern w:val="0"/>
                <w:sz w:val="21"/>
                <w:szCs w:val="21"/>
                <w:highlight w:val="none"/>
                <w:lang w:val="en-US" w:eastAsia="zh-CN" w:bidi="ar-SA"/>
              </w:rPr>
            </w:pPr>
          </w:p>
        </w:tc>
      </w:tr>
    </w:tbl>
    <w:p w14:paraId="370E3985">
      <w:pPr>
        <w:adjustRightInd w:val="0"/>
        <w:snapToGrid w:val="0"/>
        <w:spacing w:line="520" w:lineRule="exact"/>
        <w:rPr>
          <w:rFonts w:hint="eastAsia"/>
          <w:color w:val="auto"/>
          <w:highlight w:val="none"/>
        </w:rPr>
      </w:pPr>
      <w:r>
        <w:rPr>
          <w:rFonts w:hint="eastAsia" w:ascii="宋体" w:hAnsi="宋体" w:cs="宋体"/>
          <w:color w:val="auto"/>
          <w:kern w:val="0"/>
          <w:szCs w:val="21"/>
          <w:highlight w:val="none"/>
        </w:rPr>
        <w:t xml:space="preserve">  </w:t>
      </w:r>
      <w:r>
        <w:rPr>
          <w:rFonts w:hint="eastAsia"/>
          <w:color w:val="auto"/>
          <w:highlight w:val="none"/>
        </w:rPr>
        <w:t>注： 1、对于招标人推荐品牌的材料、设备，投标人可选用推荐品牌或不低于推荐品牌技术性能指标的其他品牌。未在招标人推荐的材料品牌响应表中注明或未提供相关技术参数、业绩，或经评标委员会评审未通过的，中标后只能从招标人推荐品牌中进行选择，价格不予调整。</w:t>
      </w:r>
    </w:p>
    <w:p w14:paraId="307A9B0F">
      <w:pPr>
        <w:adjustRightInd w:val="0"/>
        <w:snapToGrid w:val="0"/>
        <w:spacing w:line="560" w:lineRule="exact"/>
        <w:ind w:firstLine="420" w:firstLineChars="200"/>
        <w:rPr>
          <w:rFonts w:hint="eastAsia"/>
          <w:color w:val="auto"/>
          <w:highlight w:val="none"/>
        </w:rPr>
      </w:pPr>
      <w:r>
        <w:rPr>
          <w:rFonts w:hint="eastAsia"/>
          <w:color w:val="auto"/>
          <w:highlight w:val="none"/>
        </w:rPr>
        <w:t>2、如本项目招标文件中出现特定性、唯一性品牌的表述，该品牌仅作为参考，施工过程中不具有限定性。对于招标人推荐品牌的材料、设备等，投标人如认 为招标人推荐的品牌有限定性、唯一性、明显不在同一档次等级的或者其他疑问的，应在本项目异议提出的截止时间前通过电子交易系统向招标人提出。</w:t>
      </w:r>
    </w:p>
    <w:bookmarkEnd w:id="1017"/>
    <w:bookmarkEnd w:id="1018"/>
    <w:p w14:paraId="5A424582">
      <w:pPr>
        <w:adjustRightInd w:val="0"/>
        <w:snapToGrid w:val="0"/>
        <w:spacing w:line="420" w:lineRule="auto"/>
        <w:ind w:firstLine="420" w:firstLineChars="200"/>
        <w:rPr>
          <w:rFonts w:hint="eastAsia" w:ascii="宋体" w:hAnsi="宋体" w:cs="宋体"/>
          <w:color w:val="auto"/>
          <w:szCs w:val="21"/>
          <w:highlight w:val="none"/>
        </w:rPr>
      </w:pPr>
    </w:p>
    <w:p w14:paraId="2C8842DD">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390" w:lineRule="atLeast"/>
        <w:ind w:left="-363" w:leftChars="0" w:right="0" w:rightChars="0" w:firstLine="420" w:firstLineChars="200"/>
        <w:textAlignment w:val="auto"/>
        <w:rPr>
          <w:rFonts w:hint="default" w:ascii="Arial" w:hAnsi="Arial" w:eastAsia="Arial" w:cs="Arial"/>
          <w:i w:val="0"/>
          <w:iCs w:val="0"/>
          <w:caps w:val="0"/>
          <w:color w:val="auto"/>
          <w:spacing w:val="0"/>
          <w:sz w:val="21"/>
          <w:szCs w:val="21"/>
          <w:highlight w:val="none"/>
          <w:shd w:val="clear" w:fill="FFFFFF"/>
        </w:rPr>
      </w:pPr>
      <w:r>
        <w:rPr>
          <w:rFonts w:hint="eastAsia"/>
          <w:color w:val="auto"/>
          <w:highlight w:val="none"/>
        </w:rPr>
        <w:br w:type="page"/>
      </w:r>
    </w:p>
    <w:p w14:paraId="7D3CBE72">
      <w:pPr>
        <w:pStyle w:val="44"/>
        <w:spacing w:beforeLines="50" w:afterLines="50" w:line="440" w:lineRule="exact"/>
        <w:rPr>
          <w:bCs/>
          <w:color w:val="auto"/>
          <w:szCs w:val="32"/>
          <w:highlight w:val="none"/>
        </w:rPr>
      </w:pPr>
      <w:r>
        <w:rPr>
          <w:rFonts w:hint="eastAsia"/>
          <w:bCs/>
          <w:color w:val="auto"/>
          <w:szCs w:val="32"/>
          <w:highlight w:val="none"/>
        </w:rPr>
        <w:t>第</w:t>
      </w:r>
      <w:r>
        <w:rPr>
          <w:rFonts w:hint="eastAsia"/>
          <w:bCs/>
          <w:color w:val="auto"/>
          <w:szCs w:val="32"/>
          <w:highlight w:val="none"/>
          <w:lang w:val="en-US" w:eastAsia="zh-CN"/>
        </w:rPr>
        <w:t>八</w:t>
      </w:r>
      <w:r>
        <w:rPr>
          <w:rFonts w:hint="eastAsia"/>
          <w:bCs/>
          <w:color w:val="auto"/>
          <w:szCs w:val="32"/>
          <w:highlight w:val="none"/>
        </w:rPr>
        <w:t>章  投标文件格式</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1019"/>
      <w:bookmarkEnd w:id="1020"/>
      <w:bookmarkEnd w:id="1021"/>
    </w:p>
    <w:p w14:paraId="61801EC3">
      <w:pPr>
        <w:rPr>
          <w:color w:val="auto"/>
          <w:highlight w:val="none"/>
        </w:rPr>
      </w:pPr>
    </w:p>
    <w:p w14:paraId="6857EF98">
      <w:pPr>
        <w:rPr>
          <w:color w:val="auto"/>
          <w:highlight w:val="none"/>
        </w:rPr>
      </w:pPr>
    </w:p>
    <w:p w14:paraId="13B327EE">
      <w:pPr>
        <w:rPr>
          <w:color w:val="auto"/>
          <w:highlight w:val="none"/>
        </w:rPr>
      </w:pPr>
    </w:p>
    <w:p w14:paraId="36AB494C">
      <w:pPr>
        <w:jc w:val="center"/>
        <w:rPr>
          <w:rFonts w:eastAsia="黑体"/>
          <w:color w:val="auto"/>
          <w:sz w:val="20"/>
          <w:szCs w:val="20"/>
          <w:highlight w:val="none"/>
        </w:rPr>
      </w:pPr>
      <w:r>
        <w:rPr>
          <w:rFonts w:eastAsia="黑体"/>
          <w:color w:val="auto"/>
          <w:sz w:val="28"/>
          <w:szCs w:val="28"/>
          <w:highlight w:val="none"/>
        </w:rPr>
        <w:t>（项目名称）</w:t>
      </w:r>
    </w:p>
    <w:p w14:paraId="702871C0">
      <w:pPr>
        <w:jc w:val="center"/>
        <w:rPr>
          <w:rFonts w:eastAsia="黑体"/>
          <w:color w:val="auto"/>
          <w:sz w:val="20"/>
          <w:szCs w:val="20"/>
          <w:highlight w:val="none"/>
        </w:rPr>
      </w:pPr>
    </w:p>
    <w:p w14:paraId="37BC8021">
      <w:pPr>
        <w:jc w:val="center"/>
        <w:rPr>
          <w:rFonts w:eastAsia="黑体"/>
          <w:color w:val="auto"/>
          <w:sz w:val="20"/>
          <w:szCs w:val="20"/>
          <w:highlight w:val="none"/>
        </w:rPr>
      </w:pPr>
    </w:p>
    <w:p w14:paraId="339A733D">
      <w:pPr>
        <w:jc w:val="center"/>
        <w:rPr>
          <w:rFonts w:eastAsia="黑体"/>
          <w:color w:val="auto"/>
          <w:sz w:val="20"/>
          <w:szCs w:val="20"/>
          <w:highlight w:val="none"/>
        </w:rPr>
      </w:pPr>
    </w:p>
    <w:p w14:paraId="76B3A17B">
      <w:pPr>
        <w:rPr>
          <w:rFonts w:eastAsia="黑体"/>
          <w:color w:val="auto"/>
          <w:sz w:val="20"/>
          <w:szCs w:val="20"/>
          <w:highlight w:val="none"/>
        </w:rPr>
      </w:pPr>
    </w:p>
    <w:p w14:paraId="544F1CC2">
      <w:pPr>
        <w:jc w:val="center"/>
        <w:rPr>
          <w:rFonts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一</w:t>
      </w:r>
    </w:p>
    <w:p w14:paraId="7BCBBDDB">
      <w:pPr>
        <w:jc w:val="center"/>
        <w:rPr>
          <w:rFonts w:eastAsia="黑体"/>
          <w:color w:val="auto"/>
          <w:sz w:val="44"/>
          <w:szCs w:val="44"/>
          <w:highlight w:val="none"/>
        </w:rPr>
      </w:pPr>
      <w:r>
        <w:rPr>
          <w:rFonts w:hint="eastAsia" w:eastAsia="黑体"/>
          <w:color w:val="auto"/>
          <w:sz w:val="44"/>
          <w:szCs w:val="44"/>
          <w:highlight w:val="none"/>
        </w:rPr>
        <w:t>（资信证明文件）</w:t>
      </w:r>
    </w:p>
    <w:p w14:paraId="0211C8C8">
      <w:pPr>
        <w:rPr>
          <w:rFonts w:eastAsia="黑体"/>
          <w:color w:val="auto"/>
          <w:sz w:val="28"/>
          <w:szCs w:val="28"/>
          <w:highlight w:val="none"/>
        </w:rPr>
      </w:pPr>
    </w:p>
    <w:p w14:paraId="2177F073">
      <w:pPr>
        <w:rPr>
          <w:rFonts w:eastAsia="黑体"/>
          <w:color w:val="auto"/>
          <w:sz w:val="28"/>
          <w:szCs w:val="28"/>
          <w:highlight w:val="none"/>
        </w:rPr>
      </w:pPr>
    </w:p>
    <w:p w14:paraId="07163028">
      <w:pPr>
        <w:rPr>
          <w:rFonts w:eastAsia="黑体"/>
          <w:color w:val="auto"/>
          <w:sz w:val="28"/>
          <w:szCs w:val="28"/>
          <w:highlight w:val="none"/>
        </w:rPr>
      </w:pPr>
    </w:p>
    <w:p w14:paraId="79645D74">
      <w:pPr>
        <w:rPr>
          <w:rFonts w:eastAsia="黑体"/>
          <w:color w:val="auto"/>
          <w:sz w:val="28"/>
          <w:szCs w:val="28"/>
          <w:highlight w:val="none"/>
        </w:rPr>
      </w:pPr>
    </w:p>
    <w:p w14:paraId="1178EEE1">
      <w:pPr>
        <w:pStyle w:val="2"/>
        <w:ind w:firstLine="420"/>
        <w:rPr>
          <w:rFonts w:ascii="Times New Roman"/>
          <w:color w:val="auto"/>
          <w:szCs w:val="24"/>
          <w:highlight w:val="none"/>
        </w:rPr>
      </w:pPr>
    </w:p>
    <w:p w14:paraId="1AD14FB0">
      <w:pPr>
        <w:rPr>
          <w:rFonts w:ascii="Times New Roman"/>
          <w:color w:val="auto"/>
          <w:szCs w:val="24"/>
          <w:highlight w:val="none"/>
        </w:rPr>
      </w:pPr>
    </w:p>
    <w:p w14:paraId="1697DC93">
      <w:pPr>
        <w:pStyle w:val="2"/>
        <w:rPr>
          <w:rFonts w:ascii="Times New Roman"/>
          <w:color w:val="auto"/>
          <w:szCs w:val="24"/>
          <w:highlight w:val="none"/>
        </w:rPr>
      </w:pPr>
    </w:p>
    <w:p w14:paraId="37656AB6">
      <w:pPr>
        <w:rPr>
          <w:rFonts w:ascii="Times New Roman"/>
          <w:color w:val="auto"/>
          <w:szCs w:val="24"/>
          <w:highlight w:val="none"/>
        </w:rPr>
      </w:pPr>
    </w:p>
    <w:p w14:paraId="3B4CDEBC">
      <w:pPr>
        <w:pStyle w:val="2"/>
        <w:rPr>
          <w:color w:val="auto"/>
          <w:highlight w:val="none"/>
        </w:rPr>
      </w:pPr>
    </w:p>
    <w:p w14:paraId="79DC173D">
      <w:pPr>
        <w:pStyle w:val="2"/>
        <w:ind w:firstLine="420"/>
        <w:rPr>
          <w:color w:val="auto"/>
          <w:highlight w:val="none"/>
        </w:rPr>
      </w:pPr>
    </w:p>
    <w:p w14:paraId="05792C1A">
      <w:pPr>
        <w:rPr>
          <w:rFonts w:eastAsia="黑体"/>
          <w:color w:val="auto"/>
          <w:sz w:val="28"/>
          <w:szCs w:val="28"/>
          <w:highlight w:val="none"/>
        </w:rPr>
      </w:pPr>
    </w:p>
    <w:p w14:paraId="31F76A1B">
      <w:pPr>
        <w:rPr>
          <w:rFonts w:eastAsia="黑体"/>
          <w:color w:val="auto"/>
          <w:sz w:val="28"/>
          <w:szCs w:val="28"/>
          <w:highlight w:val="none"/>
        </w:rPr>
      </w:pPr>
    </w:p>
    <w:p w14:paraId="4FCB4A7E">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盖</w:t>
      </w:r>
      <w:r>
        <w:rPr>
          <w:rFonts w:eastAsia="黑体"/>
          <w:color w:val="auto"/>
          <w:sz w:val="28"/>
          <w:szCs w:val="28"/>
          <w:highlight w:val="none"/>
        </w:rPr>
        <w:t>章）</w:t>
      </w:r>
    </w:p>
    <w:p w14:paraId="0A8AEA9F">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签字或盖章</w:t>
      </w:r>
      <w:r>
        <w:rPr>
          <w:rFonts w:eastAsia="黑体"/>
          <w:color w:val="auto"/>
          <w:sz w:val="28"/>
          <w:szCs w:val="28"/>
          <w:highlight w:val="none"/>
        </w:rPr>
        <w:t>）</w:t>
      </w:r>
    </w:p>
    <w:p w14:paraId="77A55695">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21A72B6E">
      <w:pPr>
        <w:rPr>
          <w:color w:val="auto"/>
          <w:highlight w:val="none"/>
        </w:rPr>
      </w:pPr>
      <w:bookmarkStart w:id="1027" w:name="_Toc35425137"/>
      <w:bookmarkStart w:id="1028" w:name="_Toc12683"/>
      <w:bookmarkStart w:id="1029" w:name="_Toc35424971"/>
    </w:p>
    <w:p w14:paraId="41DEBFFC">
      <w:pPr>
        <w:spacing w:beforeLines="50" w:afterLines="50" w:line="440" w:lineRule="exact"/>
        <w:ind w:firstLine="643" w:firstLineChars="200"/>
        <w:jc w:val="left"/>
        <w:rPr>
          <w:rFonts w:ascii="宋体" w:hAnsi="宋体" w:cs="宋体"/>
          <w:b/>
          <w:color w:val="auto"/>
          <w:sz w:val="28"/>
          <w:szCs w:val="28"/>
          <w:highlight w:val="none"/>
        </w:rPr>
      </w:pPr>
      <w:bookmarkStart w:id="1030" w:name="_Toc78803399"/>
      <w:r>
        <w:rPr>
          <w:rStyle w:val="66"/>
          <w:rFonts w:hint="eastAsia" w:ascii="宋体" w:hAnsi="宋体" w:cs="宋体"/>
          <w:color w:val="auto"/>
          <w:sz w:val="32"/>
          <w:highlight w:val="none"/>
        </w:rPr>
        <w:br w:type="page"/>
      </w:r>
      <w:bookmarkStart w:id="1031" w:name="_Toc25912"/>
      <w:bookmarkStart w:id="1032" w:name="_Toc32179"/>
      <w:bookmarkStart w:id="1033" w:name="_Toc30830"/>
      <w:r>
        <w:rPr>
          <w:rStyle w:val="66"/>
          <w:rFonts w:hint="eastAsia" w:ascii="宋体" w:hAnsi="宋体" w:cs="宋体"/>
          <w:color w:val="auto"/>
          <w:sz w:val="32"/>
          <w:highlight w:val="none"/>
        </w:rPr>
        <w:t>投标文件一</w:t>
      </w:r>
      <w:bookmarkEnd w:id="1027"/>
      <w:bookmarkEnd w:id="1028"/>
      <w:bookmarkEnd w:id="1029"/>
      <w:bookmarkEnd w:id="1030"/>
      <w:bookmarkEnd w:id="1031"/>
      <w:bookmarkEnd w:id="1032"/>
      <w:bookmarkEnd w:id="1033"/>
      <w:r>
        <w:rPr>
          <w:rFonts w:hint="eastAsia" w:ascii="宋体" w:hAnsi="宋体" w:cs="宋体"/>
          <w:b/>
          <w:color w:val="auto"/>
          <w:sz w:val="28"/>
          <w:szCs w:val="28"/>
          <w:highlight w:val="none"/>
        </w:rPr>
        <w:t>：资信证明文件目录</w:t>
      </w:r>
    </w:p>
    <w:p w14:paraId="2B8D046B">
      <w:pPr>
        <w:spacing w:line="440" w:lineRule="exact"/>
        <w:ind w:right="-168" w:rightChars="-8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0E8C206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（2）诚信投标承诺书；</w:t>
      </w:r>
    </w:p>
    <w:p w14:paraId="44D4284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（3）企业法人营业执照；</w:t>
      </w:r>
    </w:p>
    <w:p w14:paraId="2CAD1DA5">
      <w:pPr>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企业资质证书；</w:t>
      </w:r>
    </w:p>
    <w:p w14:paraId="48170FC8">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企业安全生产许可证</w:t>
      </w:r>
      <w:r>
        <w:rPr>
          <w:rFonts w:hint="eastAsia" w:ascii="宋体" w:hAnsi="宋体" w:cs="宋体"/>
          <w:color w:val="auto"/>
          <w:szCs w:val="21"/>
          <w:highlight w:val="none"/>
          <w:lang w:eastAsia="zh-CN"/>
        </w:rPr>
        <w:t>；</w:t>
      </w:r>
    </w:p>
    <w:p w14:paraId="6A5E58F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）项目经理（建造师）有效身份证、注册证书以及安全生产考核合格证书（B证）</w:t>
      </w:r>
      <w:r>
        <w:rPr>
          <w:rFonts w:hint="eastAsia" w:ascii="宋体" w:hAnsi="宋体" w:cs="宋体"/>
          <w:color w:val="auto"/>
          <w:szCs w:val="21"/>
          <w:highlight w:val="none"/>
        </w:rPr>
        <w:t>；</w:t>
      </w:r>
    </w:p>
    <w:p w14:paraId="4F3FC2D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或委托代理人)和拟任项目经理（建造师）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6007EE0C">
      <w:p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）项目管理机构。查看项目管理机构主要人员组成表</w:t>
      </w:r>
    </w:p>
    <w:p w14:paraId="06F40902">
      <w:pPr>
        <w:widowControl/>
        <w:adjustRightInd w:val="0"/>
        <w:snapToGrid w:val="0"/>
        <w:spacing w:line="560" w:lineRule="exac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w:t>
      </w:r>
      <w:r>
        <w:rPr>
          <w:rFonts w:hint="eastAsia" w:ascii="宋体" w:hAnsi="宋体" w:cs="宋体"/>
          <w:color w:val="auto"/>
          <w:highlight w:val="none"/>
          <w:lang w:eastAsia="zh-CN"/>
        </w:rPr>
        <w:t>）</w:t>
      </w:r>
      <w:r>
        <w:rPr>
          <w:rFonts w:hint="eastAsia" w:ascii="宋体" w:hAnsi="宋体" w:cs="宋体"/>
          <w:color w:val="auto"/>
          <w:highlight w:val="none"/>
        </w:rPr>
        <w:t>承诺函：现场施工人员必须有</w:t>
      </w:r>
      <w:r>
        <w:rPr>
          <w:rFonts w:hint="eastAsia" w:ascii="宋体" w:hAnsi="宋体" w:cs="宋体"/>
          <w:color w:val="auto"/>
          <w:highlight w:val="none"/>
          <w:lang w:val="en-US" w:eastAsia="zh-CN"/>
        </w:rPr>
        <w:t>50</w:t>
      </w:r>
      <w:r>
        <w:rPr>
          <w:rFonts w:hint="eastAsia" w:ascii="宋体" w:hAnsi="宋体" w:cs="宋体"/>
          <w:color w:val="auto"/>
          <w:highlight w:val="none"/>
        </w:rPr>
        <w:t>%以上是承包人单位自有人员，否则，按照10000元/人进行处罚。承诺函格式见附件</w:t>
      </w:r>
      <w:r>
        <w:rPr>
          <w:rFonts w:hint="eastAsia" w:ascii="宋体" w:hAnsi="宋体" w:cs="宋体"/>
          <w:color w:val="auto"/>
          <w:highlight w:val="none"/>
          <w:lang w:eastAsia="zh-CN"/>
        </w:rPr>
        <w:t>；</w:t>
      </w:r>
    </w:p>
    <w:p w14:paraId="3454CFF2">
      <w:pPr>
        <w:spacing w:line="440" w:lineRule="exac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r>
        <w:rPr>
          <w:rFonts w:hint="eastAsia" w:ascii="宋体" w:hAnsi="宋体" w:cs="宋体"/>
          <w:color w:val="auto"/>
          <w:highlight w:val="none"/>
        </w:rPr>
        <w:t>联合体协议书 （如有）</w:t>
      </w:r>
      <w:r>
        <w:rPr>
          <w:rFonts w:hint="eastAsia" w:ascii="宋体" w:hAnsi="宋体" w:cs="宋体"/>
          <w:color w:val="auto"/>
          <w:highlight w:val="none"/>
          <w:lang w:eastAsia="zh-CN"/>
        </w:rPr>
        <w:t>；</w:t>
      </w:r>
    </w:p>
    <w:p w14:paraId="0C27EE1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w:t>
      </w:r>
      <w:r>
        <w:rPr>
          <w:rFonts w:hint="eastAsia" w:ascii="宋体" w:hAnsi="宋体" w:cs="宋体"/>
          <w:color w:val="auto"/>
          <w:szCs w:val="21"/>
          <w:highlight w:val="none"/>
        </w:rPr>
        <w:t>投标人认为需要的其它证明材料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5051F949">
      <w:pPr>
        <w:spacing w:line="240" w:lineRule="auto"/>
        <w:jc w:val="left"/>
        <w:rPr>
          <w:rFonts w:hint="eastAsia"/>
          <w:b/>
          <w:color w:val="auto"/>
          <w:sz w:val="28"/>
          <w:szCs w:val="28"/>
          <w:highlight w:val="none"/>
        </w:rPr>
      </w:pPr>
      <w:r>
        <w:rPr>
          <w:rFonts w:hint="eastAsia"/>
          <w:b/>
          <w:color w:val="auto"/>
          <w:sz w:val="28"/>
          <w:szCs w:val="28"/>
          <w:highlight w:val="none"/>
        </w:rPr>
        <w:br w:type="page"/>
      </w:r>
    </w:p>
    <w:p w14:paraId="2D1CDAD9">
      <w:pPr>
        <w:spacing w:line="360" w:lineRule="auto"/>
        <w:jc w:val="center"/>
        <w:rPr>
          <w:rFonts w:ascii="宋体"/>
          <w:b/>
          <w:color w:val="auto"/>
          <w:sz w:val="28"/>
          <w:szCs w:val="28"/>
          <w:highlight w:val="none"/>
        </w:rPr>
      </w:pPr>
      <w:r>
        <w:rPr>
          <w:rFonts w:hint="eastAsia"/>
          <w:b/>
          <w:color w:val="auto"/>
          <w:sz w:val="28"/>
          <w:szCs w:val="28"/>
          <w:highlight w:val="none"/>
        </w:rPr>
        <w:t>（1）法定代表人身份证明或授权委托书</w:t>
      </w:r>
    </w:p>
    <w:p w14:paraId="3EEC234F">
      <w:pPr>
        <w:pStyle w:val="78"/>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b/>
          <w:color w:val="auto"/>
          <w:sz w:val="24"/>
          <w:szCs w:val="24"/>
          <w:highlight w:val="none"/>
        </w:rPr>
      </w:pPr>
      <w:bookmarkStart w:id="1034" w:name="_Toc503196197"/>
      <w:bookmarkStart w:id="1035" w:name="_Toc506107356"/>
      <w:bookmarkStart w:id="1036" w:name="_Toc26598"/>
      <w:r>
        <w:rPr>
          <w:rFonts w:hint="eastAsia" w:ascii="宋体"/>
          <w:color w:val="auto"/>
          <w:sz w:val="24"/>
          <w:szCs w:val="24"/>
          <w:highlight w:val="none"/>
        </w:rPr>
        <w:t>1、法定代表人身份证明</w:t>
      </w:r>
    </w:p>
    <w:p w14:paraId="0CA6699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p>
    <w:p w14:paraId="7A325EC6">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14:paraId="7CFA4FA0">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14:paraId="27576760">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FDA93AB">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14:paraId="2D9356B8">
      <w:pPr>
        <w:keepNext w:val="0"/>
        <w:keepLines w:val="0"/>
        <w:pageBreakBefore w:val="0"/>
        <w:kinsoku/>
        <w:wordWrap/>
        <w:overflowPunct/>
        <w:topLinePunct w:val="0"/>
        <w:autoSpaceDE/>
        <w:autoSpaceDN/>
        <w:bidi w:val="0"/>
        <w:adjustRightInd/>
        <w:snapToGrid/>
        <w:spacing w:line="440" w:lineRule="exact"/>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（投标人名称）</w:t>
      </w:r>
      <w:r>
        <w:rPr>
          <w:rFonts w:hint="eastAsia" w:ascii="宋体"/>
          <w:color w:val="auto"/>
          <w:sz w:val="24"/>
          <w:highlight w:val="none"/>
        </w:rPr>
        <w:t>的法定代表人。</w:t>
      </w:r>
    </w:p>
    <w:p w14:paraId="4CEAFEC7">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特此证明。</w:t>
      </w:r>
    </w:p>
    <w:p w14:paraId="41197E6E">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盖</w:t>
      </w:r>
      <w:r>
        <w:rPr>
          <w:rFonts w:hint="eastAsia" w:ascii="宋体"/>
          <w:color w:val="auto"/>
          <w:sz w:val="24"/>
          <w:highlight w:val="none"/>
          <w:u w:val="single"/>
        </w:rPr>
        <w:t>章）</w:t>
      </w:r>
    </w:p>
    <w:p w14:paraId="3F849C8C">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 xml:space="preserve">                                        年    月     日</w:t>
      </w:r>
    </w:p>
    <w:p w14:paraId="05FF986D">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highlight w:val="none"/>
        </w:rPr>
      </w:pPr>
    </w:p>
    <w:p w14:paraId="1E5737E3">
      <w:pPr>
        <w:pStyle w:val="78"/>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color w:val="auto"/>
          <w:sz w:val="24"/>
          <w:szCs w:val="24"/>
          <w:highlight w:val="none"/>
        </w:rPr>
      </w:pPr>
      <w:r>
        <w:rPr>
          <w:rFonts w:hint="eastAsia" w:ascii="宋体"/>
          <w:color w:val="auto"/>
          <w:sz w:val="24"/>
          <w:szCs w:val="24"/>
          <w:highlight w:val="none"/>
        </w:rPr>
        <w:t>或1、授权委托书</w:t>
      </w:r>
    </w:p>
    <w:p w14:paraId="1C7D6289">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color w:val="auto"/>
          <w:sz w:val="24"/>
          <w:highlight w:val="none"/>
        </w:rPr>
      </w:pPr>
      <w:r>
        <w:rPr>
          <w:rFonts w:hint="eastAsia" w:ascii="宋体"/>
          <w:color w:val="auto"/>
          <w:sz w:val="24"/>
          <w:highlight w:val="none"/>
        </w:rPr>
        <w:t>本人</w:t>
      </w:r>
      <w:r>
        <w:rPr>
          <w:rFonts w:hint="eastAsia" w:ascii="宋体"/>
          <w:color w:val="auto"/>
          <w:sz w:val="24"/>
          <w:highlight w:val="none"/>
          <w:u w:val="single"/>
        </w:rPr>
        <w:t xml:space="preserve"> （姓名）</w:t>
      </w:r>
      <w:r>
        <w:rPr>
          <w:rFonts w:hint="eastAsia" w:ascii="宋体"/>
          <w:color w:val="auto"/>
          <w:sz w:val="24"/>
          <w:highlight w:val="none"/>
        </w:rPr>
        <w:t>系</w:t>
      </w:r>
      <w:r>
        <w:rPr>
          <w:rFonts w:hint="eastAsia" w:ascii="宋体"/>
          <w:color w:val="auto"/>
          <w:sz w:val="24"/>
          <w:highlight w:val="none"/>
          <w:u w:val="single"/>
        </w:rPr>
        <w:t>（投标人）</w:t>
      </w:r>
      <w:r>
        <w:rPr>
          <w:rFonts w:hint="eastAsia" w:ascii="宋体"/>
          <w:color w:val="auto"/>
          <w:sz w:val="24"/>
          <w:highlight w:val="none"/>
        </w:rPr>
        <w:t>的法定代表人，现委托</w:t>
      </w:r>
      <w:r>
        <w:rPr>
          <w:rFonts w:hint="eastAsia" w:ascii="宋体"/>
          <w:color w:val="auto"/>
          <w:sz w:val="24"/>
          <w:highlight w:val="none"/>
          <w:u w:val="single"/>
        </w:rPr>
        <w:t>（姓名）</w:t>
      </w:r>
      <w:r>
        <w:rPr>
          <w:rFonts w:hint="eastAsia" w:ascii="宋体"/>
          <w:color w:val="auto"/>
          <w:sz w:val="24"/>
          <w:highlight w:val="none"/>
        </w:rPr>
        <w:t>为我方代理人。代理人根据授权，以我方名义签署、澄清、说明、补正、递交、撤回、修改</w:t>
      </w:r>
      <w:r>
        <w:rPr>
          <w:rFonts w:hint="eastAsia" w:ascii="宋体"/>
          <w:color w:val="auto"/>
          <w:sz w:val="24"/>
          <w:highlight w:val="none"/>
          <w:u w:val="single"/>
        </w:rPr>
        <w:t xml:space="preserve"> “   ”(项目名称）</w:t>
      </w:r>
      <w:r>
        <w:rPr>
          <w:rFonts w:hint="eastAsia" w:ascii="宋体"/>
          <w:color w:val="auto"/>
          <w:sz w:val="24"/>
          <w:highlight w:val="none"/>
        </w:rPr>
        <w:t>投标文件，全权处理与该项目投标、评审答疑、签订合同以及与合同执行有关的一切事务，其法律后果由我方承担。</w:t>
      </w:r>
    </w:p>
    <w:p w14:paraId="1DD43CBF">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lang w:val="en-US" w:eastAsia="zh-CN"/>
        </w:rPr>
        <w:t xml:space="preserve">              </w:t>
      </w:r>
      <w:r>
        <w:rPr>
          <w:rFonts w:hint="eastAsia" w:ascii="宋体" w:cs="宋体"/>
          <w:color w:val="auto"/>
          <w:sz w:val="24"/>
          <w:highlight w:val="none"/>
        </w:rPr>
        <w:t>。</w:t>
      </w:r>
    </w:p>
    <w:p w14:paraId="6E788766">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21BE650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委托代理人有效身份证扫描件</w:t>
      </w:r>
    </w:p>
    <w:p w14:paraId="00D6B5EF">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color w:val="auto"/>
          <w:sz w:val="24"/>
          <w:highlight w:val="none"/>
        </w:rPr>
      </w:pPr>
      <w:r>
        <w:rPr>
          <w:rFonts w:hint="eastAsia" w:ascii="宋体"/>
          <w:b/>
          <w:color w:val="auto"/>
          <w:sz w:val="24"/>
          <w:highlight w:val="none"/>
        </w:rPr>
        <w:t>法定代表人有效身份证扫描件</w:t>
      </w:r>
    </w:p>
    <w:p w14:paraId="737270ED">
      <w:pPr>
        <w:keepNext w:val="0"/>
        <w:keepLines w:val="0"/>
        <w:pageBreakBefore w:val="0"/>
        <w:kinsoku/>
        <w:wordWrap/>
        <w:overflowPunct/>
        <w:topLinePunct w:val="0"/>
        <w:autoSpaceDE/>
        <w:autoSpaceDN/>
        <w:bidi w:val="0"/>
        <w:adjustRightInd/>
        <w:snapToGrid/>
        <w:spacing w:line="440" w:lineRule="exact"/>
        <w:ind w:firstLine="833" w:firstLineChars="397"/>
        <w:rPr>
          <w:color w:val="auto"/>
          <w:highlight w:val="none"/>
        </w:rPr>
      </w:pPr>
    </w:p>
    <w:p w14:paraId="274C743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投标人（盖章）：</w:t>
      </w:r>
    </w:p>
    <w:p w14:paraId="0763A672">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（签字或盖章）</w:t>
      </w:r>
    </w:p>
    <w:p w14:paraId="35FF3DB7">
      <w:pPr>
        <w:keepNext w:val="0"/>
        <w:keepLines w:val="0"/>
        <w:pageBreakBefore w:val="0"/>
        <w:kinsoku/>
        <w:wordWrap/>
        <w:overflowPunct/>
        <w:topLinePunct w:val="0"/>
        <w:autoSpaceDE/>
        <w:autoSpaceDN/>
        <w:bidi w:val="0"/>
        <w:adjustRightInd/>
        <w:snapToGrid/>
        <w:spacing w:line="440" w:lineRule="exact"/>
        <w:ind w:firstLine="5640" w:firstLineChars="23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4723C683">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委托代理人（身份证号码）：    （签字或盖章）</w:t>
      </w:r>
    </w:p>
    <w:p w14:paraId="285AC83B">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联系电话：</w:t>
      </w:r>
    </w:p>
    <w:p w14:paraId="50606BE9">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color w:val="auto"/>
          <w:sz w:val="24"/>
          <w:highlight w:val="none"/>
        </w:rPr>
      </w:pPr>
      <w:r>
        <w:rPr>
          <w:rFonts w:hint="eastAsia" w:ascii="宋体"/>
          <w:color w:val="auto"/>
          <w:sz w:val="24"/>
          <w:highlight w:val="none"/>
        </w:rPr>
        <w:t>年    月    日</w:t>
      </w:r>
    </w:p>
    <w:p w14:paraId="029BA2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28"/>
          <w:szCs w:val="28"/>
          <w:highlight w:val="none"/>
        </w:rPr>
      </w:pPr>
    </w:p>
    <w:p w14:paraId="6E20FEDB">
      <w:pPr>
        <w:rPr>
          <w:rFonts w:hint="eastAsia"/>
          <w:b/>
          <w:color w:val="auto"/>
          <w:sz w:val="28"/>
          <w:szCs w:val="28"/>
          <w:highlight w:val="none"/>
        </w:rPr>
      </w:pPr>
      <w:r>
        <w:rPr>
          <w:rFonts w:hint="eastAsia"/>
          <w:b/>
          <w:color w:val="auto"/>
          <w:sz w:val="28"/>
          <w:szCs w:val="28"/>
          <w:highlight w:val="none"/>
        </w:rPr>
        <w:br w:type="page"/>
      </w:r>
    </w:p>
    <w:p w14:paraId="3CECFE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8"/>
          <w:szCs w:val="28"/>
          <w:highlight w:val="none"/>
        </w:rPr>
      </w:pPr>
      <w:r>
        <w:rPr>
          <w:rFonts w:hint="eastAsia"/>
          <w:b/>
          <w:color w:val="auto"/>
          <w:sz w:val="28"/>
          <w:szCs w:val="28"/>
          <w:highlight w:val="none"/>
        </w:rPr>
        <w:t>（2）诚信投标承诺书</w:t>
      </w:r>
      <w:bookmarkEnd w:id="1034"/>
      <w:bookmarkEnd w:id="1035"/>
      <w:bookmarkEnd w:id="1036"/>
    </w:p>
    <w:p w14:paraId="1EF5488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287AD1A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项目的投标；</w:t>
      </w:r>
    </w:p>
    <w:p w14:paraId="29AE45C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二、所提供的一切材料都是真实、有效、合法的；</w:t>
      </w:r>
    </w:p>
    <w:p w14:paraId="67B33AC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2402221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598D395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14C1CB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rPr>
        <w:t>没有下列情形： 1、被人民法院列入失信被执行人的；2、我公司及其法定代表人、拟任项目经理（</w:t>
      </w:r>
      <w:r>
        <w:rPr>
          <w:rFonts w:hint="eastAsia" w:ascii="宋体" w:hAnsi="宋体"/>
          <w:color w:val="auto"/>
          <w:szCs w:val="21"/>
          <w:highlight w:val="none"/>
          <w:lang w:val="en-US" w:eastAsia="zh-CN"/>
        </w:rPr>
        <w:t>总监理工程师</w:t>
      </w:r>
      <w:r>
        <w:rPr>
          <w:rFonts w:hint="eastAsia" w:ascii="宋体" w:hAnsi="宋体"/>
          <w:color w:val="auto"/>
          <w:szCs w:val="21"/>
          <w:highlight w:val="none"/>
        </w:rPr>
        <w:t>）前三年有行贿犯罪行为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人力资源社会保障主管部门列入拖欠农民工工资‘黑名单’或因拖欠农民工工资被县级及以上有关行政主管部门限制投标资格且在限制期限内的；</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color w:val="auto"/>
          <w:szCs w:val="21"/>
          <w:highlight w:val="none"/>
        </w:rPr>
        <w:t>被列入省级、市级农民工工资支付异常名录的施工企业，限制其参加全市范围内房建和市政工程建设项目投标；列入县级异常名录的施工企业，限制其参加本行政区域内房建和市政建设项目投标。</w:t>
      </w:r>
    </w:p>
    <w:p w14:paraId="1CAF1A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14:paraId="46E02B9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5869854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77C9BA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5427B12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一</w:t>
      </w:r>
      <w:r>
        <w:rPr>
          <w:rFonts w:hint="eastAsia" w:ascii="宋体" w:hAnsi="宋体"/>
          <w:color w:val="auto"/>
          <w:szCs w:val="21"/>
          <w:highlight w:val="none"/>
        </w:rPr>
        <w:t>、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3D94F64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二</w:t>
      </w:r>
      <w:r>
        <w:rPr>
          <w:rFonts w:hint="eastAsia" w:ascii="宋体" w:hAnsi="宋体"/>
          <w:color w:val="auto"/>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213C5C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5BAC32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p>
    <w:p w14:paraId="60ED892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                          基本账户：</w:t>
      </w:r>
    </w:p>
    <w:p w14:paraId="4CD419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投标人（盖章）：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法定代表人（签字或</w:t>
      </w:r>
      <w:r>
        <w:rPr>
          <w:rFonts w:hint="eastAsia" w:ascii="宋体" w:hAnsi="宋体"/>
          <w:color w:val="auto"/>
          <w:szCs w:val="21"/>
          <w:highlight w:val="none"/>
          <w:lang w:val="en-US" w:eastAsia="zh-CN"/>
        </w:rPr>
        <w:t>盖</w:t>
      </w:r>
      <w:r>
        <w:rPr>
          <w:rFonts w:hint="eastAsia" w:ascii="宋体" w:hAnsi="宋体"/>
          <w:color w:val="auto"/>
          <w:szCs w:val="21"/>
          <w:highlight w:val="none"/>
        </w:rPr>
        <w:t>章）：</w:t>
      </w:r>
    </w:p>
    <w:p w14:paraId="21BF6699">
      <w:pPr>
        <w:keepNext w:val="0"/>
        <w:keepLines w:val="0"/>
        <w:pageBreakBefore w:val="0"/>
        <w:widowControl w:val="0"/>
        <w:kinsoku/>
        <w:wordWrap/>
        <w:overflowPunct/>
        <w:topLinePunct w:val="0"/>
        <w:autoSpaceDE/>
        <w:autoSpaceDN/>
        <w:bidi w:val="0"/>
        <w:adjustRightInd/>
        <w:snapToGrid/>
        <w:spacing w:line="360" w:lineRule="exact"/>
        <w:ind w:firstLine="5250" w:firstLineChars="2500"/>
        <w:textAlignment w:val="auto"/>
        <w:rPr>
          <w:rFonts w:hint="eastAsia" w:ascii="宋体" w:hAnsi="宋体"/>
          <w:color w:val="auto"/>
          <w:szCs w:val="21"/>
          <w:highlight w:val="none"/>
        </w:rPr>
      </w:pPr>
      <w:r>
        <w:rPr>
          <w:rFonts w:hint="eastAsia" w:ascii="宋体" w:hAnsi="宋体"/>
          <w:color w:val="auto"/>
          <w:szCs w:val="21"/>
          <w:highlight w:val="none"/>
        </w:rPr>
        <w:t>日期：    年   月   日</w:t>
      </w:r>
    </w:p>
    <w:p w14:paraId="7C5A2E3F">
      <w:pPr>
        <w:rPr>
          <w:rFonts w:hint="eastAsia"/>
          <w:color w:val="auto"/>
          <w:highlight w:val="none"/>
          <w:lang w:val="en-US" w:eastAsia="zh-CN"/>
        </w:rPr>
      </w:pPr>
      <w:r>
        <w:rPr>
          <w:rFonts w:hint="eastAsia"/>
          <w:color w:val="auto"/>
          <w:highlight w:val="none"/>
          <w:lang w:val="en-US" w:eastAsia="zh-CN"/>
        </w:rPr>
        <w:br w:type="page"/>
      </w:r>
    </w:p>
    <w:p w14:paraId="3FE225CF">
      <w:pPr>
        <w:pStyle w:val="8"/>
        <w:adjustRightInd w:val="0"/>
        <w:snapToGrid w:val="0"/>
        <w:spacing w:before="0" w:after="0" w:line="560" w:lineRule="exact"/>
        <w:jc w:val="center"/>
        <w:rPr>
          <w:color w:val="auto"/>
          <w:highlight w:val="none"/>
        </w:rPr>
      </w:pPr>
      <w:r>
        <w:rPr>
          <w:rFonts w:hint="eastAsia"/>
          <w:color w:val="auto"/>
          <w:highlight w:val="none"/>
          <w:lang w:val="en-US" w:eastAsia="zh-CN"/>
        </w:rPr>
        <w:t>(3)</w:t>
      </w:r>
      <w:r>
        <w:rPr>
          <w:color w:val="auto"/>
          <w:highlight w:val="none"/>
        </w:rPr>
        <w:t>项目管理机构</w:t>
      </w:r>
    </w:p>
    <w:p w14:paraId="6AF37139">
      <w:pPr>
        <w:pStyle w:val="9"/>
        <w:jc w:val="center"/>
        <w:rPr>
          <w:color w:val="auto"/>
          <w:highlight w:val="none"/>
        </w:rPr>
      </w:pPr>
      <w:r>
        <w:rPr>
          <w:rFonts w:hint="eastAsia"/>
          <w:color w:val="auto"/>
          <w:highlight w:val="none"/>
        </w:rPr>
        <w:t>附表1：</w:t>
      </w:r>
      <w:r>
        <w:rPr>
          <w:color w:val="auto"/>
          <w:highlight w:val="none"/>
        </w:rPr>
        <w:t>项目管理机构</w:t>
      </w:r>
      <w:r>
        <w:rPr>
          <w:rFonts w:hint="eastAsia"/>
          <w:color w:val="auto"/>
          <w:highlight w:val="none"/>
        </w:rPr>
        <w:t>主要人员</w:t>
      </w:r>
      <w:r>
        <w:rPr>
          <w:color w:val="auto"/>
          <w:highlight w:val="none"/>
        </w:rPr>
        <w:t>组成表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14"/>
        <w:gridCol w:w="812"/>
        <w:gridCol w:w="1220"/>
        <w:gridCol w:w="812"/>
        <w:gridCol w:w="814"/>
        <w:gridCol w:w="811"/>
        <w:gridCol w:w="2848"/>
        <w:gridCol w:w="759"/>
      </w:tblGrid>
      <w:tr w14:paraId="05BE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30" w:type="dxa"/>
            <w:vMerge w:val="restart"/>
            <w:noWrap w:val="0"/>
            <w:vAlign w:val="center"/>
          </w:tcPr>
          <w:p w14:paraId="0482A018">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职务</w:t>
            </w:r>
          </w:p>
        </w:tc>
        <w:tc>
          <w:tcPr>
            <w:tcW w:w="814" w:type="dxa"/>
            <w:vMerge w:val="restart"/>
            <w:noWrap w:val="0"/>
            <w:vAlign w:val="center"/>
          </w:tcPr>
          <w:p w14:paraId="3955412A">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姓名</w:t>
            </w:r>
          </w:p>
        </w:tc>
        <w:tc>
          <w:tcPr>
            <w:tcW w:w="812" w:type="dxa"/>
            <w:vMerge w:val="restart"/>
            <w:noWrap w:val="0"/>
            <w:vAlign w:val="center"/>
          </w:tcPr>
          <w:p w14:paraId="127D31DE">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职称</w:t>
            </w:r>
          </w:p>
        </w:tc>
        <w:tc>
          <w:tcPr>
            <w:tcW w:w="6505" w:type="dxa"/>
            <w:gridSpan w:val="5"/>
            <w:noWrap w:val="0"/>
            <w:vAlign w:val="center"/>
          </w:tcPr>
          <w:p w14:paraId="51CA060B">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执业或职业资格证明</w:t>
            </w:r>
          </w:p>
        </w:tc>
        <w:tc>
          <w:tcPr>
            <w:tcW w:w="759" w:type="dxa"/>
            <w:noWrap w:val="0"/>
            <w:vAlign w:val="center"/>
          </w:tcPr>
          <w:p w14:paraId="1FCC869C">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备注</w:t>
            </w:r>
          </w:p>
        </w:tc>
      </w:tr>
      <w:tr w14:paraId="4C8C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30" w:type="dxa"/>
            <w:vMerge w:val="continue"/>
            <w:noWrap w:val="0"/>
            <w:vAlign w:val="center"/>
          </w:tcPr>
          <w:p w14:paraId="60344A9B">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vMerge w:val="continue"/>
            <w:noWrap w:val="0"/>
            <w:vAlign w:val="center"/>
          </w:tcPr>
          <w:p w14:paraId="30EB1438">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vMerge w:val="continue"/>
            <w:noWrap w:val="0"/>
            <w:vAlign w:val="center"/>
          </w:tcPr>
          <w:p w14:paraId="0CE8A2EF">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1220" w:type="dxa"/>
            <w:noWrap w:val="0"/>
            <w:vAlign w:val="center"/>
          </w:tcPr>
          <w:p w14:paraId="29188F9B">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证书名称</w:t>
            </w:r>
          </w:p>
        </w:tc>
        <w:tc>
          <w:tcPr>
            <w:tcW w:w="812" w:type="dxa"/>
            <w:noWrap w:val="0"/>
            <w:vAlign w:val="center"/>
          </w:tcPr>
          <w:p w14:paraId="4CF3E3B1">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级别</w:t>
            </w:r>
          </w:p>
        </w:tc>
        <w:tc>
          <w:tcPr>
            <w:tcW w:w="814" w:type="dxa"/>
            <w:noWrap w:val="0"/>
            <w:vAlign w:val="center"/>
          </w:tcPr>
          <w:p w14:paraId="7BA5B39C">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证号</w:t>
            </w:r>
          </w:p>
        </w:tc>
        <w:tc>
          <w:tcPr>
            <w:tcW w:w="811" w:type="dxa"/>
            <w:noWrap w:val="0"/>
            <w:vAlign w:val="center"/>
          </w:tcPr>
          <w:p w14:paraId="2E6BB28A">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专业</w:t>
            </w:r>
          </w:p>
        </w:tc>
        <w:tc>
          <w:tcPr>
            <w:tcW w:w="2848" w:type="dxa"/>
            <w:noWrap w:val="0"/>
            <w:vAlign w:val="center"/>
          </w:tcPr>
          <w:p w14:paraId="7A972962">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default"/>
                <w:color w:val="auto"/>
                <w:szCs w:val="21"/>
                <w:highlight w:val="none"/>
              </w:rPr>
              <w:t>养老保险</w:t>
            </w:r>
          </w:p>
        </w:tc>
        <w:tc>
          <w:tcPr>
            <w:tcW w:w="759" w:type="dxa"/>
            <w:noWrap w:val="0"/>
            <w:vAlign w:val="center"/>
          </w:tcPr>
          <w:p w14:paraId="15E0F947">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r>
      <w:tr w14:paraId="30E5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noWrap w:val="0"/>
            <w:vAlign w:val="center"/>
          </w:tcPr>
          <w:p w14:paraId="181D5589">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eastAsia"/>
                <w:color w:val="auto"/>
                <w:szCs w:val="21"/>
                <w:highlight w:val="none"/>
              </w:rPr>
              <w:t>项目经理（建造师）</w:t>
            </w:r>
          </w:p>
        </w:tc>
        <w:tc>
          <w:tcPr>
            <w:tcW w:w="814" w:type="dxa"/>
            <w:noWrap w:val="0"/>
            <w:vAlign w:val="center"/>
          </w:tcPr>
          <w:p w14:paraId="7427FE31">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center"/>
          </w:tcPr>
          <w:p w14:paraId="6B4F5992">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1220" w:type="dxa"/>
            <w:noWrap w:val="0"/>
            <w:vAlign w:val="center"/>
          </w:tcPr>
          <w:p w14:paraId="75CDB7FC">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center"/>
          </w:tcPr>
          <w:p w14:paraId="4BA61E1C">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noWrap w:val="0"/>
            <w:vAlign w:val="center"/>
          </w:tcPr>
          <w:p w14:paraId="6C125B3C">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1" w:type="dxa"/>
            <w:noWrap w:val="0"/>
            <w:vAlign w:val="center"/>
          </w:tcPr>
          <w:p w14:paraId="34F070D1">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2848" w:type="dxa"/>
            <w:noWrap w:val="0"/>
            <w:vAlign w:val="center"/>
          </w:tcPr>
          <w:p w14:paraId="7A3C347D">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759" w:type="dxa"/>
            <w:noWrap w:val="0"/>
            <w:vAlign w:val="center"/>
          </w:tcPr>
          <w:p w14:paraId="2B845932">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r>
      <w:tr w14:paraId="4EA0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noWrap w:val="0"/>
            <w:vAlign w:val="top"/>
          </w:tcPr>
          <w:p w14:paraId="4205D621">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r>
              <w:rPr>
                <w:rFonts w:hint="eastAsia"/>
                <w:color w:val="auto"/>
                <w:szCs w:val="21"/>
                <w:highlight w:val="none"/>
              </w:rPr>
              <w:t>技术负责人</w:t>
            </w:r>
          </w:p>
        </w:tc>
        <w:tc>
          <w:tcPr>
            <w:tcW w:w="814" w:type="dxa"/>
            <w:noWrap w:val="0"/>
            <w:vAlign w:val="top"/>
          </w:tcPr>
          <w:p w14:paraId="7BB6AC7A">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top"/>
          </w:tcPr>
          <w:p w14:paraId="1C76C0BE">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1220" w:type="dxa"/>
            <w:noWrap w:val="0"/>
            <w:vAlign w:val="top"/>
          </w:tcPr>
          <w:p w14:paraId="1D5C0FCD">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top"/>
          </w:tcPr>
          <w:p w14:paraId="54DFB609">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noWrap w:val="0"/>
            <w:vAlign w:val="top"/>
          </w:tcPr>
          <w:p w14:paraId="1737BB98">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1" w:type="dxa"/>
            <w:noWrap w:val="0"/>
            <w:vAlign w:val="top"/>
          </w:tcPr>
          <w:p w14:paraId="21EE0255">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2848" w:type="dxa"/>
            <w:noWrap w:val="0"/>
            <w:vAlign w:val="top"/>
          </w:tcPr>
          <w:p w14:paraId="22D493B0">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759" w:type="dxa"/>
            <w:noWrap w:val="0"/>
            <w:vAlign w:val="top"/>
          </w:tcPr>
          <w:p w14:paraId="29F7472D">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r>
      <w:tr w14:paraId="7377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noWrap w:val="0"/>
            <w:vAlign w:val="top"/>
          </w:tcPr>
          <w:p w14:paraId="3D399898">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noWrap w:val="0"/>
            <w:vAlign w:val="top"/>
          </w:tcPr>
          <w:p w14:paraId="68A483AD">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top"/>
          </w:tcPr>
          <w:p w14:paraId="7287A9C5">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1220" w:type="dxa"/>
            <w:noWrap w:val="0"/>
            <w:vAlign w:val="top"/>
          </w:tcPr>
          <w:p w14:paraId="1972ACCA">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top"/>
          </w:tcPr>
          <w:p w14:paraId="634EA744">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noWrap w:val="0"/>
            <w:vAlign w:val="top"/>
          </w:tcPr>
          <w:p w14:paraId="33DC9698">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1" w:type="dxa"/>
            <w:noWrap w:val="0"/>
            <w:vAlign w:val="top"/>
          </w:tcPr>
          <w:p w14:paraId="75B2F4FD">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2848" w:type="dxa"/>
            <w:noWrap w:val="0"/>
            <w:vAlign w:val="top"/>
          </w:tcPr>
          <w:p w14:paraId="4FC2210E">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759" w:type="dxa"/>
            <w:noWrap w:val="0"/>
            <w:vAlign w:val="top"/>
          </w:tcPr>
          <w:p w14:paraId="00554E93">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r>
      <w:tr w14:paraId="1339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noWrap w:val="0"/>
            <w:vAlign w:val="top"/>
          </w:tcPr>
          <w:p w14:paraId="6E8911D1">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noWrap w:val="0"/>
            <w:vAlign w:val="top"/>
          </w:tcPr>
          <w:p w14:paraId="1B0E5653">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top"/>
          </w:tcPr>
          <w:p w14:paraId="25AFB1BA">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1220" w:type="dxa"/>
            <w:noWrap w:val="0"/>
            <w:vAlign w:val="top"/>
          </w:tcPr>
          <w:p w14:paraId="6C6F0A82">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top"/>
          </w:tcPr>
          <w:p w14:paraId="684F8690">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noWrap w:val="0"/>
            <w:vAlign w:val="top"/>
          </w:tcPr>
          <w:p w14:paraId="627F10D2">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1" w:type="dxa"/>
            <w:noWrap w:val="0"/>
            <w:vAlign w:val="top"/>
          </w:tcPr>
          <w:p w14:paraId="3E39F52C">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2848" w:type="dxa"/>
            <w:noWrap w:val="0"/>
            <w:vAlign w:val="top"/>
          </w:tcPr>
          <w:p w14:paraId="6339B60C">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759" w:type="dxa"/>
            <w:noWrap w:val="0"/>
            <w:vAlign w:val="top"/>
          </w:tcPr>
          <w:p w14:paraId="21547237">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r>
      <w:tr w14:paraId="61BA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noWrap w:val="0"/>
            <w:vAlign w:val="top"/>
          </w:tcPr>
          <w:p w14:paraId="1ED8878B">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noWrap w:val="0"/>
            <w:vAlign w:val="top"/>
          </w:tcPr>
          <w:p w14:paraId="42E975EE">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top"/>
          </w:tcPr>
          <w:p w14:paraId="745A76A6">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1220" w:type="dxa"/>
            <w:noWrap w:val="0"/>
            <w:vAlign w:val="top"/>
          </w:tcPr>
          <w:p w14:paraId="5F243EAD">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noWrap w:val="0"/>
            <w:vAlign w:val="top"/>
          </w:tcPr>
          <w:p w14:paraId="5CD07E5C">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noWrap w:val="0"/>
            <w:vAlign w:val="top"/>
          </w:tcPr>
          <w:p w14:paraId="12A14B70">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1" w:type="dxa"/>
            <w:noWrap w:val="0"/>
            <w:vAlign w:val="top"/>
          </w:tcPr>
          <w:p w14:paraId="55857009">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2848" w:type="dxa"/>
            <w:noWrap w:val="0"/>
            <w:vAlign w:val="top"/>
          </w:tcPr>
          <w:p w14:paraId="270914B7">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759" w:type="dxa"/>
            <w:noWrap w:val="0"/>
            <w:vAlign w:val="top"/>
          </w:tcPr>
          <w:p w14:paraId="069DDD80">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r>
      <w:tr w14:paraId="2E4C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top"/>
          </w:tcPr>
          <w:p w14:paraId="0486ABCE">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1BAC1370">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687F477A">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153A7D06">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2A67B394">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1267C653">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1" w:type="dxa"/>
            <w:tcBorders>
              <w:top w:val="single" w:color="auto" w:sz="4" w:space="0"/>
              <w:left w:val="single" w:color="auto" w:sz="4" w:space="0"/>
              <w:bottom w:val="single" w:color="auto" w:sz="4" w:space="0"/>
              <w:right w:val="single" w:color="auto" w:sz="4" w:space="0"/>
            </w:tcBorders>
            <w:noWrap w:val="0"/>
            <w:vAlign w:val="top"/>
          </w:tcPr>
          <w:p w14:paraId="0D3776DF">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noWrap w:val="0"/>
            <w:vAlign w:val="top"/>
          </w:tcPr>
          <w:p w14:paraId="46A44F3D">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top"/>
          </w:tcPr>
          <w:p w14:paraId="372B663F">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r>
      <w:tr w14:paraId="0188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top"/>
          </w:tcPr>
          <w:p w14:paraId="3643D8EA">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1CB8750B">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2F54A29D">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61AFFF52">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251678FD">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20AE3FD5">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811" w:type="dxa"/>
            <w:tcBorders>
              <w:top w:val="single" w:color="auto" w:sz="4" w:space="0"/>
              <w:left w:val="single" w:color="auto" w:sz="4" w:space="0"/>
              <w:bottom w:val="single" w:color="auto" w:sz="4" w:space="0"/>
              <w:right w:val="single" w:color="auto" w:sz="4" w:space="0"/>
            </w:tcBorders>
            <w:noWrap w:val="0"/>
            <w:vAlign w:val="top"/>
          </w:tcPr>
          <w:p w14:paraId="56EAAFBB">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noWrap w:val="0"/>
            <w:vAlign w:val="top"/>
          </w:tcPr>
          <w:p w14:paraId="384DB6C7">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top"/>
          </w:tcPr>
          <w:p w14:paraId="6D4B268B">
            <w:pPr>
              <w:keepNext w:val="0"/>
              <w:keepLines w:val="0"/>
              <w:suppressLineNumbers w:val="0"/>
              <w:adjustRightInd w:val="0"/>
              <w:snapToGrid w:val="0"/>
              <w:spacing w:before="0" w:beforeAutospacing="0" w:after="0" w:afterAutospacing="0" w:line="560" w:lineRule="exact"/>
              <w:ind w:left="0" w:right="0"/>
              <w:jc w:val="center"/>
              <w:rPr>
                <w:rFonts w:hint="default"/>
                <w:color w:val="auto"/>
                <w:szCs w:val="21"/>
                <w:highlight w:val="none"/>
              </w:rPr>
            </w:pPr>
          </w:p>
        </w:tc>
      </w:tr>
    </w:tbl>
    <w:p w14:paraId="1B4590CF">
      <w:pPr>
        <w:adjustRightInd w:val="0"/>
        <w:snapToGrid w:val="0"/>
        <w:spacing w:line="560" w:lineRule="exact"/>
        <w:rPr>
          <w:rFonts w:hint="eastAsia"/>
          <w:color w:val="auto"/>
          <w:highlight w:val="none"/>
        </w:rPr>
      </w:pPr>
      <w:r>
        <w:rPr>
          <w:rFonts w:hint="eastAsia"/>
          <w:b/>
          <w:color w:val="auto"/>
          <w:szCs w:val="21"/>
          <w:highlight w:val="none"/>
        </w:rPr>
        <w:t>备注：</w:t>
      </w:r>
      <w:r>
        <w:rPr>
          <w:rFonts w:hint="eastAsia"/>
          <w:color w:val="auto"/>
          <w:highlight w:val="none"/>
        </w:rPr>
        <w:t>根据安徽省住房和城乡建设厅《关于调整招标投标活动中有关住房城乡建设领域现场专业人员证书要求的通知》（建市函〔2019〕1112 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 明确投标人需要配备其他主要管理人员和技术人员数量的最低要求。中标人和招标人在签订合同时应按照不低于上述人员配置的要求填写承包人主要施工管理人员表，并作为合同的附件之一。</w:t>
      </w:r>
    </w:p>
    <w:p w14:paraId="2E5903BA">
      <w:pPr>
        <w:spacing w:line="560" w:lineRule="exact"/>
        <w:rPr>
          <w:rFonts w:hint="eastAsia"/>
          <w:color w:val="auto"/>
          <w:highlight w:val="none"/>
        </w:rPr>
      </w:pPr>
    </w:p>
    <w:p w14:paraId="6267A682">
      <w:pPr>
        <w:pStyle w:val="9"/>
        <w:jc w:val="center"/>
        <w:rPr>
          <w:color w:val="auto"/>
          <w:sz w:val="23"/>
          <w:szCs w:val="23"/>
          <w:highlight w:val="none"/>
        </w:rPr>
      </w:pPr>
      <w:r>
        <w:rPr>
          <w:rFonts w:hint="eastAsia"/>
          <w:color w:val="auto"/>
          <w:highlight w:val="none"/>
        </w:rPr>
        <w:t>附表2：拟任项目经理（建造师）</w:t>
      </w:r>
      <w:r>
        <w:rPr>
          <w:color w:val="auto"/>
          <w:highlight w:val="none"/>
        </w:rPr>
        <w:t>简历表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0C62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noWrap w:val="0"/>
            <w:vAlign w:val="center"/>
          </w:tcPr>
          <w:p w14:paraId="214457A6">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姓  名</w:t>
            </w:r>
          </w:p>
        </w:tc>
        <w:tc>
          <w:tcPr>
            <w:tcW w:w="1185" w:type="dxa"/>
            <w:gridSpan w:val="2"/>
            <w:noWrap w:val="0"/>
            <w:vAlign w:val="center"/>
          </w:tcPr>
          <w:p w14:paraId="1D83B253">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p>
        </w:tc>
        <w:tc>
          <w:tcPr>
            <w:tcW w:w="1018" w:type="dxa"/>
            <w:noWrap w:val="0"/>
            <w:vAlign w:val="center"/>
          </w:tcPr>
          <w:p w14:paraId="63E32BD3">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年 龄</w:t>
            </w:r>
          </w:p>
        </w:tc>
        <w:tc>
          <w:tcPr>
            <w:tcW w:w="1170" w:type="dxa"/>
            <w:noWrap w:val="0"/>
            <w:vAlign w:val="center"/>
          </w:tcPr>
          <w:p w14:paraId="1D11578D">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p>
        </w:tc>
        <w:tc>
          <w:tcPr>
            <w:tcW w:w="2339" w:type="dxa"/>
            <w:gridSpan w:val="3"/>
            <w:noWrap w:val="0"/>
            <w:vAlign w:val="center"/>
          </w:tcPr>
          <w:p w14:paraId="6EF34217">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学历</w:t>
            </w:r>
          </w:p>
        </w:tc>
        <w:tc>
          <w:tcPr>
            <w:tcW w:w="2345" w:type="dxa"/>
            <w:noWrap w:val="0"/>
            <w:vAlign w:val="center"/>
          </w:tcPr>
          <w:p w14:paraId="3D168D2D">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p>
        </w:tc>
      </w:tr>
      <w:tr w14:paraId="1193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noWrap w:val="0"/>
            <w:vAlign w:val="center"/>
          </w:tcPr>
          <w:p w14:paraId="03D928F2">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职  称</w:t>
            </w:r>
          </w:p>
        </w:tc>
        <w:tc>
          <w:tcPr>
            <w:tcW w:w="1185" w:type="dxa"/>
            <w:gridSpan w:val="2"/>
            <w:noWrap w:val="0"/>
            <w:vAlign w:val="center"/>
          </w:tcPr>
          <w:p w14:paraId="0531FE99">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p>
        </w:tc>
        <w:tc>
          <w:tcPr>
            <w:tcW w:w="1018" w:type="dxa"/>
            <w:noWrap w:val="0"/>
            <w:vAlign w:val="center"/>
          </w:tcPr>
          <w:p w14:paraId="4B53A2A9">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职 务</w:t>
            </w:r>
          </w:p>
        </w:tc>
        <w:tc>
          <w:tcPr>
            <w:tcW w:w="1170" w:type="dxa"/>
            <w:noWrap w:val="0"/>
            <w:vAlign w:val="center"/>
          </w:tcPr>
          <w:p w14:paraId="7509C524">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p>
        </w:tc>
        <w:tc>
          <w:tcPr>
            <w:tcW w:w="2339" w:type="dxa"/>
            <w:gridSpan w:val="3"/>
            <w:noWrap w:val="0"/>
            <w:vAlign w:val="center"/>
          </w:tcPr>
          <w:p w14:paraId="1A456A2A">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拟在本合同任职</w:t>
            </w:r>
          </w:p>
        </w:tc>
        <w:tc>
          <w:tcPr>
            <w:tcW w:w="2345" w:type="dxa"/>
            <w:noWrap w:val="0"/>
            <w:vAlign w:val="center"/>
          </w:tcPr>
          <w:p w14:paraId="7D4B8FE4">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p>
        </w:tc>
      </w:tr>
      <w:tr w14:paraId="47D8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noWrap w:val="0"/>
            <w:vAlign w:val="center"/>
          </w:tcPr>
          <w:p w14:paraId="21DCD48E">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毕业学校</w:t>
            </w:r>
          </w:p>
        </w:tc>
        <w:tc>
          <w:tcPr>
            <w:tcW w:w="8057" w:type="dxa"/>
            <w:gridSpan w:val="8"/>
            <w:noWrap w:val="0"/>
            <w:vAlign w:val="top"/>
          </w:tcPr>
          <w:p w14:paraId="303349C3">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 xml:space="preserve">      年毕业于            学校        专业</w:t>
            </w:r>
          </w:p>
        </w:tc>
      </w:tr>
      <w:tr w14:paraId="1B28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9"/>
            <w:noWrap w:val="0"/>
            <w:vAlign w:val="center"/>
          </w:tcPr>
          <w:p w14:paraId="0E079CA0">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主要工作经历</w:t>
            </w:r>
          </w:p>
        </w:tc>
      </w:tr>
      <w:tr w14:paraId="5497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7" w:type="dxa"/>
            <w:gridSpan w:val="2"/>
            <w:noWrap w:val="0"/>
            <w:vAlign w:val="center"/>
          </w:tcPr>
          <w:p w14:paraId="55743554">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时  间</w:t>
            </w:r>
          </w:p>
        </w:tc>
        <w:tc>
          <w:tcPr>
            <w:tcW w:w="3756" w:type="dxa"/>
            <w:gridSpan w:val="4"/>
            <w:noWrap w:val="0"/>
            <w:vAlign w:val="center"/>
          </w:tcPr>
          <w:p w14:paraId="4A1B11FE">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参加过的类似项目</w:t>
            </w:r>
          </w:p>
        </w:tc>
        <w:tc>
          <w:tcPr>
            <w:tcW w:w="1385" w:type="dxa"/>
            <w:noWrap w:val="0"/>
            <w:vAlign w:val="center"/>
          </w:tcPr>
          <w:p w14:paraId="5118CA62">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担任职务</w:t>
            </w:r>
          </w:p>
        </w:tc>
        <w:tc>
          <w:tcPr>
            <w:tcW w:w="2522" w:type="dxa"/>
            <w:gridSpan w:val="2"/>
            <w:noWrap w:val="0"/>
            <w:vAlign w:val="center"/>
          </w:tcPr>
          <w:p w14:paraId="68452D60">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发包人及联系电话</w:t>
            </w:r>
          </w:p>
        </w:tc>
      </w:tr>
      <w:tr w14:paraId="6058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37405DDF">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61245A44">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054CF87B">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681F8BB8">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18C1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7B0D3E96">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0E0C3C12">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05D55C3B">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2974180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7C9D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272BB39E">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0CDFBCC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2101ADC0">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5CEAD23E">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46F8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 w:hRule="atLeast"/>
          <w:jc w:val="center"/>
        </w:trPr>
        <w:tc>
          <w:tcPr>
            <w:tcW w:w="1697" w:type="dxa"/>
            <w:gridSpan w:val="2"/>
            <w:noWrap w:val="0"/>
            <w:vAlign w:val="top"/>
          </w:tcPr>
          <w:p w14:paraId="0FD7FC92">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668B000D">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69016A47">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7D818E27">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26B3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6ED6FBB0">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7807033A">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1C6E775E">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0853925F">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6992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5D872BD4">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6342F405">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7AA2D4C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1A8BBA61">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4018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1FD49363">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4B7CCEAD">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360985F8">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0E07CE4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27ED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6067B3C6">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292B74D3">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1BB547C5">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3C6D8195">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7C95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noWrap w:val="0"/>
            <w:vAlign w:val="top"/>
          </w:tcPr>
          <w:p w14:paraId="3E5C13AD">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3F3FE23E">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34EBF403">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6E1284AB">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1A81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noWrap w:val="0"/>
            <w:vAlign w:val="top"/>
          </w:tcPr>
          <w:p w14:paraId="59A397CF">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65F442C4">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2A0236F0">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67CB05E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70AC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noWrap w:val="0"/>
            <w:vAlign w:val="top"/>
          </w:tcPr>
          <w:p w14:paraId="5A3A2A60">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56" w:type="dxa"/>
            <w:gridSpan w:val="4"/>
            <w:noWrap w:val="0"/>
            <w:vAlign w:val="top"/>
          </w:tcPr>
          <w:p w14:paraId="7872CA68">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85" w:type="dxa"/>
            <w:noWrap w:val="0"/>
            <w:vAlign w:val="top"/>
          </w:tcPr>
          <w:p w14:paraId="178F7DE1">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22" w:type="dxa"/>
            <w:gridSpan w:val="2"/>
            <w:noWrap w:val="0"/>
            <w:vAlign w:val="top"/>
          </w:tcPr>
          <w:p w14:paraId="237881C6">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bl>
    <w:p w14:paraId="2C41E23C">
      <w:pPr>
        <w:rPr>
          <w:rFonts w:hint="eastAsia"/>
          <w:color w:val="auto"/>
          <w:highlight w:val="none"/>
        </w:rPr>
      </w:pPr>
      <w:r>
        <w:rPr>
          <w:rFonts w:hint="eastAsia"/>
          <w:color w:val="auto"/>
          <w:highlight w:val="none"/>
        </w:rPr>
        <w:br w:type="page"/>
      </w:r>
    </w:p>
    <w:p w14:paraId="075292CF">
      <w:pPr>
        <w:pStyle w:val="9"/>
        <w:jc w:val="center"/>
        <w:rPr>
          <w:color w:val="auto"/>
          <w:sz w:val="23"/>
          <w:szCs w:val="23"/>
          <w:highlight w:val="none"/>
        </w:rPr>
      </w:pPr>
      <w:r>
        <w:rPr>
          <w:rFonts w:hint="eastAsia"/>
          <w:color w:val="auto"/>
          <w:highlight w:val="none"/>
        </w:rPr>
        <w:t>附表3：拟任项目技术负责人简历表</w:t>
      </w:r>
    </w:p>
    <w:tbl>
      <w:tblPr>
        <w:tblStyle w:val="4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396"/>
        <w:gridCol w:w="794"/>
        <w:gridCol w:w="1023"/>
        <w:gridCol w:w="1175"/>
        <w:gridCol w:w="781"/>
        <w:gridCol w:w="1390"/>
        <w:gridCol w:w="178"/>
        <w:gridCol w:w="2355"/>
      </w:tblGrid>
      <w:tr w14:paraId="29AD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noWrap w:val="0"/>
            <w:vAlign w:val="center"/>
          </w:tcPr>
          <w:p w14:paraId="53C635A9">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姓  名</w:t>
            </w:r>
          </w:p>
        </w:tc>
        <w:tc>
          <w:tcPr>
            <w:tcW w:w="1190" w:type="dxa"/>
            <w:gridSpan w:val="2"/>
            <w:noWrap w:val="0"/>
            <w:vAlign w:val="center"/>
          </w:tcPr>
          <w:p w14:paraId="0AC0DF09">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p>
        </w:tc>
        <w:tc>
          <w:tcPr>
            <w:tcW w:w="1023" w:type="dxa"/>
            <w:noWrap w:val="0"/>
            <w:vAlign w:val="center"/>
          </w:tcPr>
          <w:p w14:paraId="650CE248">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年 龄</w:t>
            </w:r>
          </w:p>
        </w:tc>
        <w:tc>
          <w:tcPr>
            <w:tcW w:w="1175" w:type="dxa"/>
            <w:noWrap w:val="0"/>
            <w:vAlign w:val="center"/>
          </w:tcPr>
          <w:p w14:paraId="06B5BF63">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p>
        </w:tc>
        <w:tc>
          <w:tcPr>
            <w:tcW w:w="2349" w:type="dxa"/>
            <w:gridSpan w:val="3"/>
            <w:noWrap w:val="0"/>
            <w:vAlign w:val="center"/>
          </w:tcPr>
          <w:p w14:paraId="3D7B06F9">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学历</w:t>
            </w:r>
          </w:p>
        </w:tc>
        <w:tc>
          <w:tcPr>
            <w:tcW w:w="2355" w:type="dxa"/>
            <w:noWrap w:val="0"/>
            <w:vAlign w:val="center"/>
          </w:tcPr>
          <w:p w14:paraId="0F4156BA">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p>
        </w:tc>
      </w:tr>
      <w:tr w14:paraId="0C50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noWrap w:val="0"/>
            <w:vAlign w:val="center"/>
          </w:tcPr>
          <w:p w14:paraId="24363BDB">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职  称</w:t>
            </w:r>
          </w:p>
        </w:tc>
        <w:tc>
          <w:tcPr>
            <w:tcW w:w="1190" w:type="dxa"/>
            <w:gridSpan w:val="2"/>
            <w:noWrap w:val="0"/>
            <w:vAlign w:val="center"/>
          </w:tcPr>
          <w:p w14:paraId="6E6E5AAB">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p>
        </w:tc>
        <w:tc>
          <w:tcPr>
            <w:tcW w:w="1023" w:type="dxa"/>
            <w:noWrap w:val="0"/>
            <w:vAlign w:val="center"/>
          </w:tcPr>
          <w:p w14:paraId="0EA179D7">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职 务</w:t>
            </w:r>
          </w:p>
        </w:tc>
        <w:tc>
          <w:tcPr>
            <w:tcW w:w="1175" w:type="dxa"/>
            <w:noWrap w:val="0"/>
            <w:vAlign w:val="center"/>
          </w:tcPr>
          <w:p w14:paraId="37AD5C34">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p>
        </w:tc>
        <w:tc>
          <w:tcPr>
            <w:tcW w:w="2349" w:type="dxa"/>
            <w:gridSpan w:val="3"/>
            <w:noWrap w:val="0"/>
            <w:vAlign w:val="center"/>
          </w:tcPr>
          <w:p w14:paraId="79E0D2B2">
            <w:pPr>
              <w:keepNext w:val="0"/>
              <w:keepLines w:val="0"/>
              <w:suppressLineNumbers w:val="0"/>
              <w:adjustRightInd w:val="0"/>
              <w:snapToGrid w:val="0"/>
              <w:spacing w:before="0" w:beforeAutospacing="0" w:after="0" w:afterAutospacing="0" w:line="560" w:lineRule="exact"/>
              <w:ind w:left="0" w:right="0"/>
              <w:jc w:val="center"/>
              <w:rPr>
                <w:rFonts w:hint="default" w:ascii="宋体" w:hAnsi="宋体"/>
                <w:color w:val="auto"/>
                <w:szCs w:val="21"/>
                <w:highlight w:val="none"/>
              </w:rPr>
            </w:pPr>
            <w:r>
              <w:rPr>
                <w:rFonts w:hint="default" w:ascii="宋体" w:hAnsi="宋体"/>
                <w:color w:val="auto"/>
                <w:szCs w:val="21"/>
                <w:highlight w:val="none"/>
              </w:rPr>
              <w:t>拟在本合同任职</w:t>
            </w:r>
          </w:p>
        </w:tc>
        <w:tc>
          <w:tcPr>
            <w:tcW w:w="2355" w:type="dxa"/>
            <w:noWrap w:val="0"/>
            <w:vAlign w:val="center"/>
          </w:tcPr>
          <w:p w14:paraId="0FBA4C91">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p>
        </w:tc>
      </w:tr>
      <w:tr w14:paraId="6428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noWrap w:val="0"/>
            <w:vAlign w:val="center"/>
          </w:tcPr>
          <w:p w14:paraId="52718A06">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毕业学校</w:t>
            </w:r>
          </w:p>
        </w:tc>
        <w:tc>
          <w:tcPr>
            <w:tcW w:w="8092" w:type="dxa"/>
            <w:gridSpan w:val="8"/>
            <w:noWrap w:val="0"/>
            <w:vAlign w:val="top"/>
          </w:tcPr>
          <w:p w14:paraId="02FE2D54">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 xml:space="preserve">      年毕业于            学校        专业</w:t>
            </w:r>
          </w:p>
        </w:tc>
      </w:tr>
      <w:tr w14:paraId="4A20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00" w:type="dxa"/>
            <w:gridSpan w:val="9"/>
            <w:noWrap w:val="0"/>
            <w:vAlign w:val="center"/>
          </w:tcPr>
          <w:p w14:paraId="3822B80C">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主要工作经历</w:t>
            </w:r>
          </w:p>
        </w:tc>
      </w:tr>
      <w:tr w14:paraId="0CF0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04" w:type="dxa"/>
            <w:gridSpan w:val="2"/>
            <w:noWrap w:val="0"/>
            <w:vAlign w:val="center"/>
          </w:tcPr>
          <w:p w14:paraId="68BB725D">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时  间</w:t>
            </w:r>
          </w:p>
        </w:tc>
        <w:tc>
          <w:tcPr>
            <w:tcW w:w="3773" w:type="dxa"/>
            <w:gridSpan w:val="4"/>
            <w:noWrap w:val="0"/>
            <w:vAlign w:val="center"/>
          </w:tcPr>
          <w:p w14:paraId="0D77E927">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参加过的类似项目</w:t>
            </w:r>
          </w:p>
        </w:tc>
        <w:tc>
          <w:tcPr>
            <w:tcW w:w="1390" w:type="dxa"/>
            <w:noWrap w:val="0"/>
            <w:vAlign w:val="center"/>
          </w:tcPr>
          <w:p w14:paraId="2C01F83C">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担任职务</w:t>
            </w:r>
          </w:p>
        </w:tc>
        <w:tc>
          <w:tcPr>
            <w:tcW w:w="2533" w:type="dxa"/>
            <w:gridSpan w:val="2"/>
            <w:noWrap w:val="0"/>
            <w:vAlign w:val="center"/>
          </w:tcPr>
          <w:p w14:paraId="033E0EE4">
            <w:pPr>
              <w:keepNext w:val="0"/>
              <w:keepLines w:val="0"/>
              <w:suppressLineNumbers w:val="0"/>
              <w:adjustRightInd w:val="0"/>
              <w:snapToGrid w:val="0"/>
              <w:spacing w:before="0" w:beforeAutospacing="0" w:after="0" w:afterAutospacing="0" w:line="560" w:lineRule="exact"/>
              <w:ind w:left="0" w:right="0"/>
              <w:rPr>
                <w:rFonts w:hint="default" w:ascii="宋体" w:hAnsi="宋体"/>
                <w:color w:val="auto"/>
                <w:szCs w:val="21"/>
                <w:highlight w:val="none"/>
              </w:rPr>
            </w:pPr>
            <w:r>
              <w:rPr>
                <w:rFonts w:hint="default" w:ascii="宋体" w:hAnsi="宋体"/>
                <w:color w:val="auto"/>
                <w:szCs w:val="21"/>
                <w:highlight w:val="none"/>
              </w:rPr>
              <w:t>发包人及联系电话</w:t>
            </w:r>
          </w:p>
        </w:tc>
      </w:tr>
      <w:tr w14:paraId="10D9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02FCDB5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5BA6D4C3">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7FF4F144">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7E5F07E7">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6060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7AA8420E">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7ADFF5CE">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55C73A3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468295EE">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5F29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21247CE8">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1C08DA06">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0E8FB4EA">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0084B917">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2C51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7D8A68D6">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0A698528">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3A51B125">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000FE3A3">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1752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13D8B6C6">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5D2F3562">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044BCE18">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7534E18A">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2536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0AFAC2EE">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3767A94A">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67D56DF6">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4F40E768">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73A8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74107495">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2C003FE5">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7D27A43F">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50524230">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05BF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1A0E67F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2DF0AC9B">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4E55E63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2D1AADC5">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7C6C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6203E096">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1641FE87">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1F82E669">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6AF80EC9">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194A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623B6320">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45C5D18B">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6F6D6820">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3BCFCBA1">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39B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7E290D31">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0B1AF81C">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471CE853">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34C9D8F5">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r w14:paraId="4657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noWrap w:val="0"/>
            <w:vAlign w:val="top"/>
          </w:tcPr>
          <w:p w14:paraId="70B90CC3">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3773" w:type="dxa"/>
            <w:gridSpan w:val="4"/>
            <w:noWrap w:val="0"/>
            <w:vAlign w:val="top"/>
          </w:tcPr>
          <w:p w14:paraId="4DEC0793">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1390" w:type="dxa"/>
            <w:noWrap w:val="0"/>
            <w:vAlign w:val="top"/>
          </w:tcPr>
          <w:p w14:paraId="6BB8971D">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c>
          <w:tcPr>
            <w:tcW w:w="2533" w:type="dxa"/>
            <w:gridSpan w:val="2"/>
            <w:noWrap w:val="0"/>
            <w:vAlign w:val="top"/>
          </w:tcPr>
          <w:p w14:paraId="7E8B77C1">
            <w:pPr>
              <w:keepNext w:val="0"/>
              <w:keepLines w:val="0"/>
              <w:suppressLineNumbers w:val="0"/>
              <w:adjustRightInd w:val="0"/>
              <w:snapToGrid w:val="0"/>
              <w:spacing w:before="0" w:beforeAutospacing="0" w:after="0" w:afterAutospacing="0" w:line="560" w:lineRule="exact"/>
              <w:ind w:left="0" w:right="0"/>
              <w:rPr>
                <w:rFonts w:hint="default" w:eastAsia="黑体"/>
                <w:color w:val="auto"/>
                <w:szCs w:val="21"/>
                <w:highlight w:val="none"/>
              </w:rPr>
            </w:pPr>
          </w:p>
        </w:tc>
      </w:tr>
    </w:tbl>
    <w:p w14:paraId="1A31B1FF">
      <w:pPr>
        <w:rPr>
          <w:rFonts w:hint="eastAsia" w:ascii="Arial" w:hAnsi="Arial" w:eastAsia="黑体" w:cs="Times New Roman"/>
          <w:b/>
          <w:bCs/>
          <w:color w:val="auto"/>
          <w:kern w:val="2"/>
          <w:sz w:val="28"/>
          <w:szCs w:val="28"/>
          <w:highlight w:val="none"/>
          <w:lang w:val="en-US" w:eastAsia="zh-CN" w:bidi="ar-SA"/>
        </w:rPr>
      </w:pPr>
      <w:r>
        <w:rPr>
          <w:rFonts w:hint="eastAsia" w:ascii="Arial" w:hAnsi="Arial" w:eastAsia="黑体" w:cs="Times New Roman"/>
          <w:b/>
          <w:bCs/>
          <w:color w:val="auto"/>
          <w:kern w:val="2"/>
          <w:sz w:val="28"/>
          <w:szCs w:val="28"/>
          <w:highlight w:val="none"/>
          <w:lang w:val="en-US" w:eastAsia="zh-CN" w:bidi="ar-SA"/>
        </w:rPr>
        <w:br w:type="page"/>
      </w:r>
    </w:p>
    <w:p w14:paraId="64AD69F5">
      <w:pPr>
        <w:rPr>
          <w:rFonts w:hint="eastAsia" w:ascii="Arial" w:hAnsi="Arial" w:eastAsia="黑体" w:cs="Times New Roman"/>
          <w:b/>
          <w:bCs/>
          <w:color w:val="auto"/>
          <w:kern w:val="2"/>
          <w:sz w:val="28"/>
          <w:szCs w:val="28"/>
          <w:highlight w:val="none"/>
          <w:lang w:val="en-US" w:eastAsia="zh-CN" w:bidi="ar-SA"/>
        </w:rPr>
      </w:pPr>
      <w:r>
        <w:rPr>
          <w:rFonts w:hint="eastAsia" w:ascii="Arial" w:hAnsi="Arial" w:eastAsia="黑体" w:cs="Times New Roman"/>
          <w:b/>
          <w:bCs/>
          <w:color w:val="auto"/>
          <w:kern w:val="2"/>
          <w:sz w:val="28"/>
          <w:szCs w:val="28"/>
          <w:highlight w:val="none"/>
          <w:lang w:val="en-US" w:eastAsia="zh-CN" w:bidi="ar-SA"/>
        </w:rPr>
        <w:t>(4)</w:t>
      </w:r>
    </w:p>
    <w:p w14:paraId="4254AD6F">
      <w:pPr>
        <w:jc w:val="center"/>
        <w:rPr>
          <w:rFonts w:hint="eastAsia" w:ascii="Arial" w:hAnsi="Arial" w:eastAsia="黑体" w:cs="Times New Roman"/>
          <w:b/>
          <w:bCs/>
          <w:color w:val="auto"/>
          <w:kern w:val="2"/>
          <w:sz w:val="28"/>
          <w:szCs w:val="28"/>
          <w:highlight w:val="none"/>
          <w:lang w:val="en-US" w:eastAsia="zh-CN" w:bidi="ar-SA"/>
        </w:rPr>
      </w:pPr>
    </w:p>
    <w:p w14:paraId="6A8E942E">
      <w:pPr>
        <w:jc w:val="center"/>
        <w:rPr>
          <w:rFonts w:hint="eastAsia" w:ascii="Arial" w:hAnsi="Arial" w:eastAsia="黑体" w:cs="Times New Roman"/>
          <w:b/>
          <w:bCs/>
          <w:color w:val="auto"/>
          <w:kern w:val="2"/>
          <w:sz w:val="28"/>
          <w:szCs w:val="28"/>
          <w:highlight w:val="none"/>
          <w:lang w:val="en-US" w:eastAsia="zh-CN" w:bidi="ar-SA"/>
        </w:rPr>
      </w:pPr>
      <w:r>
        <w:rPr>
          <w:rFonts w:hint="eastAsia" w:ascii="Arial" w:hAnsi="Arial" w:eastAsia="黑体" w:cs="Times New Roman"/>
          <w:b/>
          <w:bCs/>
          <w:color w:val="auto"/>
          <w:kern w:val="2"/>
          <w:sz w:val="28"/>
          <w:szCs w:val="28"/>
          <w:highlight w:val="none"/>
          <w:lang w:val="en-US" w:eastAsia="zh-CN" w:bidi="ar-SA"/>
        </w:rPr>
        <w:t>承诺函</w:t>
      </w:r>
    </w:p>
    <w:p w14:paraId="42BAC63D">
      <w:pPr>
        <w:rPr>
          <w:rFonts w:hint="eastAsia"/>
          <w:b/>
          <w:color w:val="auto"/>
          <w:sz w:val="28"/>
          <w:szCs w:val="28"/>
          <w:highlight w:val="none"/>
        </w:rPr>
      </w:pPr>
    </w:p>
    <w:p w14:paraId="01602B13">
      <w:pPr>
        <w:rPr>
          <w:rFonts w:hint="eastAsia"/>
          <w:b/>
          <w:color w:val="auto"/>
          <w:sz w:val="28"/>
          <w:szCs w:val="28"/>
          <w:highlight w:val="none"/>
        </w:rPr>
      </w:pPr>
    </w:p>
    <w:p w14:paraId="3FE21061">
      <w:pPr>
        <w:rPr>
          <w:rFonts w:hint="eastAsia"/>
          <w:b/>
          <w:color w:val="auto"/>
          <w:sz w:val="28"/>
          <w:szCs w:val="28"/>
          <w:highlight w:val="none"/>
        </w:rPr>
      </w:pPr>
    </w:p>
    <w:p w14:paraId="57150EB2">
      <w:pPr>
        <w:adjustRightInd w:val="0"/>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33E8E644">
      <w:pPr>
        <w:spacing w:line="480" w:lineRule="auto"/>
        <w:ind w:firstLine="840" w:firstLineChars="400"/>
        <w:rPr>
          <w:rFonts w:hint="eastAsia"/>
          <w:b/>
          <w:color w:val="auto"/>
          <w:sz w:val="28"/>
          <w:szCs w:val="28"/>
          <w:highlight w:val="none"/>
        </w:rPr>
      </w:pPr>
      <w:r>
        <w:rPr>
          <w:rFonts w:hint="eastAsia" w:ascii="宋体" w:hAnsi="宋体"/>
          <w:color w:val="auto"/>
          <w:szCs w:val="21"/>
          <w:highlight w:val="none"/>
          <w:lang w:val="en-US" w:eastAsia="zh-CN"/>
        </w:rPr>
        <w:t>我单位承诺</w:t>
      </w:r>
      <w:r>
        <w:rPr>
          <w:rFonts w:hint="eastAsia" w:ascii="宋体" w:hAnsi="宋体" w:cs="宋体"/>
          <w:color w:val="auto"/>
          <w:highlight w:val="none"/>
        </w:rPr>
        <w:t>现场施工人员</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rPr>
        <w:t>以上是</w:t>
      </w:r>
      <w:r>
        <w:rPr>
          <w:rFonts w:hint="eastAsia" w:ascii="宋体" w:hAnsi="宋体" w:cs="宋体"/>
          <w:color w:val="auto"/>
          <w:highlight w:val="none"/>
          <w:lang w:val="en-US" w:eastAsia="zh-CN"/>
        </w:rPr>
        <w:t>本</w:t>
      </w:r>
      <w:r>
        <w:rPr>
          <w:rFonts w:hint="eastAsia" w:ascii="宋体" w:hAnsi="宋体" w:cs="宋体"/>
          <w:color w:val="auto"/>
          <w:highlight w:val="none"/>
        </w:rPr>
        <w:t>单位自有人员，否则，按照10000元/人进行处罚。</w:t>
      </w:r>
    </w:p>
    <w:p w14:paraId="6EA19FEF">
      <w:pPr>
        <w:rPr>
          <w:rFonts w:hint="eastAsia"/>
          <w:b/>
          <w:color w:val="auto"/>
          <w:sz w:val="28"/>
          <w:szCs w:val="28"/>
          <w:highlight w:val="none"/>
        </w:rPr>
      </w:pPr>
    </w:p>
    <w:p w14:paraId="45CD7EAE">
      <w:pPr>
        <w:rPr>
          <w:rFonts w:hint="eastAsia"/>
          <w:b/>
          <w:color w:val="auto"/>
          <w:sz w:val="28"/>
          <w:szCs w:val="28"/>
          <w:highlight w:val="none"/>
        </w:rPr>
      </w:pPr>
    </w:p>
    <w:p w14:paraId="7F38135D">
      <w:pPr>
        <w:rPr>
          <w:rFonts w:hint="eastAsia"/>
          <w:b/>
          <w:color w:val="auto"/>
          <w:sz w:val="28"/>
          <w:szCs w:val="28"/>
          <w:highlight w:val="none"/>
        </w:rPr>
      </w:pPr>
    </w:p>
    <w:p w14:paraId="284AC272">
      <w:pPr>
        <w:rPr>
          <w:rFonts w:hint="eastAsia"/>
          <w:b/>
          <w:color w:val="auto"/>
          <w:sz w:val="28"/>
          <w:szCs w:val="28"/>
          <w:highlight w:val="none"/>
        </w:rPr>
      </w:pPr>
    </w:p>
    <w:p w14:paraId="37B9B849">
      <w:pPr>
        <w:rPr>
          <w:rFonts w:hint="eastAsia"/>
          <w:b/>
          <w:color w:val="auto"/>
          <w:sz w:val="28"/>
          <w:szCs w:val="28"/>
          <w:highlight w:val="none"/>
        </w:rPr>
      </w:pPr>
    </w:p>
    <w:p w14:paraId="1E4A7155">
      <w:pPr>
        <w:adjustRightInd w:val="0"/>
        <w:snapToGrid w:val="0"/>
        <w:spacing w:line="5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 xml:space="preserve">投标人（签章）：  </w:t>
      </w:r>
      <w:r>
        <w:rPr>
          <w:rFonts w:hint="eastAsia" w:ascii="宋体" w:hAnsi="宋体"/>
          <w:color w:val="auto"/>
          <w:szCs w:val="21"/>
          <w:highlight w:val="none"/>
          <w:u w:val="single"/>
        </w:rPr>
        <w:t xml:space="preserve">        </w:t>
      </w:r>
      <w:r>
        <w:rPr>
          <w:rFonts w:hint="eastAsia" w:ascii="宋体" w:hAnsi="宋体"/>
          <w:color w:val="auto"/>
          <w:szCs w:val="21"/>
          <w:highlight w:val="none"/>
        </w:rPr>
        <w:t>法定代表人（签章）：</w:t>
      </w:r>
      <w:r>
        <w:rPr>
          <w:rFonts w:hint="eastAsia" w:ascii="宋体" w:hAnsi="宋体"/>
          <w:color w:val="auto"/>
          <w:szCs w:val="21"/>
          <w:highlight w:val="none"/>
          <w:u w:val="single"/>
        </w:rPr>
        <w:t xml:space="preserve">                           </w:t>
      </w:r>
    </w:p>
    <w:p w14:paraId="57A8C2BC">
      <w:pPr>
        <w:adjustRightInd w:val="0"/>
        <w:snapToGrid w:val="0"/>
        <w:spacing w:line="560" w:lineRule="exact"/>
        <w:rPr>
          <w:rFonts w:hint="eastAsia" w:ascii="宋体" w:hAnsi="宋体"/>
          <w:color w:val="auto"/>
          <w:szCs w:val="21"/>
          <w:highlight w:val="none"/>
        </w:rPr>
      </w:pPr>
    </w:p>
    <w:p w14:paraId="1FFE9103">
      <w:pPr>
        <w:pStyle w:val="2"/>
        <w:rPr>
          <w:rFonts w:hint="eastAsia"/>
          <w:color w:val="auto"/>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7B1033B8">
      <w:pPr>
        <w:rPr>
          <w:rFonts w:hint="eastAsia"/>
          <w:b/>
          <w:color w:val="auto"/>
          <w:sz w:val="28"/>
          <w:szCs w:val="28"/>
          <w:highlight w:val="none"/>
        </w:rPr>
      </w:pPr>
    </w:p>
    <w:p w14:paraId="2B6917FF">
      <w:pPr>
        <w:rPr>
          <w:rFonts w:hint="eastAsia"/>
          <w:b/>
          <w:color w:val="auto"/>
          <w:sz w:val="28"/>
          <w:szCs w:val="28"/>
          <w:highlight w:val="none"/>
        </w:rPr>
      </w:pPr>
    </w:p>
    <w:p w14:paraId="1A361CDD">
      <w:pPr>
        <w:rPr>
          <w:rFonts w:hint="default" w:eastAsia="黑体"/>
          <w:color w:val="auto"/>
          <w:sz w:val="28"/>
          <w:szCs w:val="28"/>
          <w:highlight w:val="none"/>
          <w:u w:val="single"/>
          <w:lang w:val="en-US" w:eastAsia="zh-CN"/>
        </w:rPr>
      </w:pPr>
    </w:p>
    <w:p w14:paraId="1F6C6632">
      <w:pPr>
        <w:rPr>
          <w:color w:val="auto"/>
          <w:highlight w:val="none"/>
        </w:rPr>
      </w:pPr>
    </w:p>
    <w:p w14:paraId="2B4B4B61">
      <w:pPr>
        <w:rPr>
          <w:rFonts w:eastAsia="黑体"/>
          <w:color w:val="auto"/>
          <w:sz w:val="28"/>
          <w:szCs w:val="28"/>
          <w:highlight w:val="none"/>
        </w:rPr>
      </w:pPr>
      <w:r>
        <w:rPr>
          <w:rFonts w:eastAsia="黑体"/>
          <w:color w:val="auto"/>
          <w:sz w:val="28"/>
          <w:szCs w:val="28"/>
          <w:highlight w:val="none"/>
        </w:rPr>
        <w:br w:type="page"/>
      </w:r>
    </w:p>
    <w:p w14:paraId="10E0B5E3">
      <w:pPr>
        <w:jc w:val="center"/>
        <w:rPr>
          <w:rFonts w:eastAsia="黑体"/>
          <w:color w:val="auto"/>
          <w:sz w:val="28"/>
          <w:szCs w:val="28"/>
          <w:highlight w:val="none"/>
        </w:rPr>
      </w:pPr>
    </w:p>
    <w:p w14:paraId="467A3E2D">
      <w:pPr>
        <w:jc w:val="center"/>
        <w:rPr>
          <w:rFonts w:hint="eastAsia" w:eastAsia="黑体"/>
          <w:color w:val="auto"/>
          <w:sz w:val="28"/>
          <w:szCs w:val="28"/>
          <w:highlight w:val="none"/>
          <w:lang w:eastAsia="zh-CN"/>
        </w:rPr>
      </w:pPr>
    </w:p>
    <w:p w14:paraId="2FBACC42">
      <w:pPr>
        <w:jc w:val="center"/>
        <w:rPr>
          <w:rFonts w:eastAsia="黑体"/>
          <w:color w:val="auto"/>
          <w:sz w:val="28"/>
          <w:szCs w:val="28"/>
          <w:highlight w:val="none"/>
        </w:rPr>
      </w:pPr>
    </w:p>
    <w:p w14:paraId="219BB5D1">
      <w:pPr>
        <w:jc w:val="center"/>
        <w:rPr>
          <w:rFonts w:eastAsia="黑体"/>
          <w:color w:val="auto"/>
          <w:sz w:val="28"/>
          <w:szCs w:val="28"/>
          <w:highlight w:val="none"/>
        </w:rPr>
      </w:pPr>
    </w:p>
    <w:p w14:paraId="6B35A468">
      <w:pPr>
        <w:jc w:val="center"/>
        <w:rPr>
          <w:rFonts w:eastAsia="黑体"/>
          <w:color w:val="auto"/>
          <w:sz w:val="20"/>
          <w:szCs w:val="20"/>
          <w:highlight w:val="none"/>
        </w:rPr>
      </w:pPr>
      <w:r>
        <w:rPr>
          <w:rFonts w:eastAsia="黑体"/>
          <w:color w:val="auto"/>
          <w:sz w:val="28"/>
          <w:szCs w:val="28"/>
          <w:highlight w:val="none"/>
        </w:rPr>
        <w:t>（项目名称）</w:t>
      </w:r>
    </w:p>
    <w:p w14:paraId="55BCDE20">
      <w:pPr>
        <w:jc w:val="center"/>
        <w:rPr>
          <w:rFonts w:eastAsia="黑体"/>
          <w:color w:val="auto"/>
          <w:sz w:val="20"/>
          <w:szCs w:val="20"/>
          <w:highlight w:val="none"/>
        </w:rPr>
      </w:pPr>
    </w:p>
    <w:p w14:paraId="7C34FE45">
      <w:pPr>
        <w:rPr>
          <w:rFonts w:eastAsia="黑体"/>
          <w:color w:val="auto"/>
          <w:sz w:val="20"/>
          <w:szCs w:val="20"/>
          <w:highlight w:val="none"/>
        </w:rPr>
      </w:pPr>
    </w:p>
    <w:p w14:paraId="56B7798F">
      <w:pPr>
        <w:jc w:val="center"/>
        <w:rPr>
          <w:rFonts w:hint="eastAsia" w:eastAsia="黑体"/>
          <w:color w:val="auto"/>
          <w:sz w:val="44"/>
          <w:szCs w:val="44"/>
          <w:highlight w:val="none"/>
          <w:lang w:eastAsia="zh-CN"/>
        </w:rPr>
      </w:pPr>
      <w:r>
        <w:rPr>
          <w:rFonts w:eastAsia="黑体"/>
          <w:color w:val="auto"/>
          <w:sz w:val="44"/>
          <w:szCs w:val="44"/>
          <w:highlight w:val="none"/>
        </w:rPr>
        <w:t>投  标  文  件</w:t>
      </w:r>
      <w:r>
        <w:rPr>
          <w:rFonts w:hint="eastAsia" w:eastAsia="黑体"/>
          <w:color w:val="auto"/>
          <w:sz w:val="44"/>
          <w:szCs w:val="44"/>
          <w:highlight w:val="none"/>
        </w:rPr>
        <w:t xml:space="preserve">  </w:t>
      </w:r>
      <w:r>
        <w:rPr>
          <w:rFonts w:hint="eastAsia" w:eastAsia="黑体"/>
          <w:color w:val="auto"/>
          <w:sz w:val="44"/>
          <w:szCs w:val="44"/>
          <w:highlight w:val="none"/>
          <w:lang w:val="en-US" w:eastAsia="zh-CN"/>
        </w:rPr>
        <w:t>二</w:t>
      </w:r>
    </w:p>
    <w:p w14:paraId="50B29065">
      <w:pPr>
        <w:jc w:val="center"/>
        <w:rPr>
          <w:rFonts w:eastAsia="黑体"/>
          <w:color w:val="auto"/>
          <w:sz w:val="44"/>
          <w:szCs w:val="44"/>
          <w:highlight w:val="none"/>
        </w:rPr>
      </w:pPr>
      <w:r>
        <w:rPr>
          <w:rFonts w:hint="eastAsia" w:eastAsia="黑体"/>
          <w:color w:val="auto"/>
          <w:sz w:val="44"/>
          <w:szCs w:val="44"/>
          <w:highlight w:val="none"/>
        </w:rPr>
        <w:t>（</w:t>
      </w:r>
      <w:r>
        <w:rPr>
          <w:rFonts w:hint="eastAsia" w:eastAsia="黑体"/>
          <w:color w:val="auto"/>
          <w:sz w:val="44"/>
          <w:szCs w:val="44"/>
          <w:highlight w:val="none"/>
          <w:lang w:val="en-US" w:eastAsia="zh-CN"/>
        </w:rPr>
        <w:t>技术</w:t>
      </w:r>
      <w:r>
        <w:rPr>
          <w:rFonts w:hint="eastAsia" w:eastAsia="黑体"/>
          <w:color w:val="auto"/>
          <w:sz w:val="44"/>
          <w:szCs w:val="44"/>
          <w:highlight w:val="none"/>
        </w:rPr>
        <w:t>标文件）</w:t>
      </w:r>
    </w:p>
    <w:p w14:paraId="2CF5938E">
      <w:pPr>
        <w:rPr>
          <w:rFonts w:eastAsia="黑体"/>
          <w:color w:val="auto"/>
          <w:sz w:val="28"/>
          <w:szCs w:val="28"/>
          <w:highlight w:val="none"/>
        </w:rPr>
      </w:pPr>
    </w:p>
    <w:p w14:paraId="33071CAE">
      <w:pPr>
        <w:rPr>
          <w:rFonts w:eastAsia="黑体"/>
          <w:color w:val="auto"/>
          <w:sz w:val="28"/>
          <w:szCs w:val="28"/>
          <w:highlight w:val="none"/>
        </w:rPr>
      </w:pPr>
    </w:p>
    <w:p w14:paraId="10E0E38D">
      <w:pPr>
        <w:rPr>
          <w:rFonts w:eastAsia="黑体"/>
          <w:color w:val="auto"/>
          <w:sz w:val="28"/>
          <w:szCs w:val="28"/>
          <w:highlight w:val="none"/>
        </w:rPr>
      </w:pPr>
    </w:p>
    <w:p w14:paraId="60B844A0">
      <w:pPr>
        <w:rPr>
          <w:rFonts w:eastAsia="黑体"/>
          <w:color w:val="auto"/>
          <w:sz w:val="28"/>
          <w:szCs w:val="28"/>
          <w:highlight w:val="none"/>
        </w:rPr>
      </w:pPr>
    </w:p>
    <w:p w14:paraId="3376BFB1">
      <w:pPr>
        <w:rPr>
          <w:rFonts w:eastAsia="黑体"/>
          <w:color w:val="auto"/>
          <w:sz w:val="28"/>
          <w:szCs w:val="28"/>
          <w:highlight w:val="none"/>
        </w:rPr>
      </w:pPr>
    </w:p>
    <w:p w14:paraId="21294D49">
      <w:pPr>
        <w:rPr>
          <w:rFonts w:eastAsia="黑体"/>
          <w:color w:val="auto"/>
          <w:sz w:val="28"/>
          <w:szCs w:val="28"/>
          <w:highlight w:val="none"/>
        </w:rPr>
      </w:pPr>
    </w:p>
    <w:p w14:paraId="5DCA2E40">
      <w:pPr>
        <w:pStyle w:val="2"/>
        <w:rPr>
          <w:rFonts w:eastAsia="黑体"/>
          <w:color w:val="auto"/>
          <w:sz w:val="28"/>
          <w:szCs w:val="28"/>
          <w:highlight w:val="none"/>
        </w:rPr>
      </w:pPr>
    </w:p>
    <w:p w14:paraId="7040330D">
      <w:pPr>
        <w:rPr>
          <w:rFonts w:eastAsia="黑体"/>
          <w:color w:val="auto"/>
          <w:sz w:val="28"/>
          <w:szCs w:val="28"/>
          <w:highlight w:val="none"/>
        </w:rPr>
      </w:pPr>
    </w:p>
    <w:p w14:paraId="21A13A4D">
      <w:pPr>
        <w:pStyle w:val="2"/>
        <w:rPr>
          <w:rFonts w:eastAsia="黑体"/>
          <w:color w:val="auto"/>
          <w:sz w:val="28"/>
          <w:szCs w:val="28"/>
          <w:highlight w:val="none"/>
        </w:rPr>
      </w:pPr>
    </w:p>
    <w:p w14:paraId="0FBB1AA2">
      <w:pPr>
        <w:rPr>
          <w:rFonts w:eastAsia="黑体"/>
          <w:color w:val="auto"/>
          <w:sz w:val="28"/>
          <w:szCs w:val="28"/>
          <w:highlight w:val="none"/>
        </w:rPr>
      </w:pPr>
    </w:p>
    <w:p w14:paraId="2BABFC67">
      <w:pPr>
        <w:pStyle w:val="2"/>
        <w:rPr>
          <w:rFonts w:eastAsia="黑体"/>
          <w:color w:val="auto"/>
          <w:sz w:val="28"/>
          <w:szCs w:val="28"/>
          <w:highlight w:val="none"/>
        </w:rPr>
      </w:pPr>
    </w:p>
    <w:p w14:paraId="77C40A39">
      <w:pPr>
        <w:rPr>
          <w:color w:val="auto"/>
          <w:highlight w:val="none"/>
        </w:rPr>
      </w:pPr>
    </w:p>
    <w:p w14:paraId="276C6AAC">
      <w:pPr>
        <w:rPr>
          <w:rFonts w:eastAsia="黑体"/>
          <w:color w:val="auto"/>
          <w:sz w:val="28"/>
          <w:szCs w:val="28"/>
          <w:highlight w:val="none"/>
        </w:rPr>
      </w:pPr>
    </w:p>
    <w:p w14:paraId="2C36B3B3">
      <w:pPr>
        <w:rPr>
          <w:rFonts w:eastAsia="黑体"/>
          <w:color w:val="auto"/>
          <w:sz w:val="28"/>
          <w:szCs w:val="28"/>
          <w:highlight w:val="none"/>
        </w:rPr>
      </w:pPr>
    </w:p>
    <w:p w14:paraId="4741C541">
      <w:pPr>
        <w:rPr>
          <w:rFonts w:eastAsia="黑体"/>
          <w:color w:val="auto"/>
          <w:sz w:val="28"/>
          <w:szCs w:val="28"/>
          <w:highlight w:val="none"/>
        </w:rPr>
      </w:pPr>
    </w:p>
    <w:p w14:paraId="102C5D77">
      <w:pPr>
        <w:rPr>
          <w:rFonts w:eastAsia="黑体"/>
          <w:color w:val="auto"/>
          <w:sz w:val="28"/>
          <w:szCs w:val="28"/>
          <w:highlight w:val="none"/>
        </w:rPr>
      </w:pPr>
    </w:p>
    <w:p w14:paraId="27521FAB">
      <w:pPr>
        <w:rPr>
          <w:rFonts w:eastAsia="黑体"/>
          <w:color w:val="auto"/>
          <w:sz w:val="28"/>
          <w:szCs w:val="28"/>
          <w:highlight w:val="none"/>
        </w:rPr>
      </w:pPr>
    </w:p>
    <w:p w14:paraId="49182981">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盖</w:t>
      </w:r>
      <w:r>
        <w:rPr>
          <w:rFonts w:eastAsia="黑体"/>
          <w:color w:val="auto"/>
          <w:sz w:val="28"/>
          <w:szCs w:val="28"/>
          <w:highlight w:val="none"/>
        </w:rPr>
        <w:t>章）</w:t>
      </w:r>
    </w:p>
    <w:p w14:paraId="2465CE4E">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签字或盖章</w:t>
      </w:r>
      <w:r>
        <w:rPr>
          <w:rFonts w:eastAsia="黑体"/>
          <w:color w:val="auto"/>
          <w:sz w:val="28"/>
          <w:szCs w:val="28"/>
          <w:highlight w:val="none"/>
        </w:rPr>
        <w:t>）</w:t>
      </w:r>
    </w:p>
    <w:p w14:paraId="70B5BF9A">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42B8C10C">
      <w:pPr>
        <w:rPr>
          <w:color w:val="auto"/>
          <w:highlight w:val="none"/>
        </w:rPr>
      </w:pPr>
    </w:p>
    <w:p w14:paraId="4569D0B0">
      <w:pPr>
        <w:pStyle w:val="2"/>
        <w:ind w:firstLine="420"/>
        <w:rPr>
          <w:color w:val="auto"/>
          <w:highlight w:val="none"/>
        </w:rPr>
      </w:pPr>
    </w:p>
    <w:p w14:paraId="0BC490FD">
      <w:pPr>
        <w:rPr>
          <w:color w:val="auto"/>
          <w:highlight w:val="none"/>
        </w:rPr>
      </w:pPr>
    </w:p>
    <w:p w14:paraId="592DAE70">
      <w:pPr>
        <w:spacing w:beforeLines="50" w:afterLines="50" w:line="440" w:lineRule="exact"/>
        <w:ind w:firstLine="643" w:firstLineChars="200"/>
        <w:jc w:val="left"/>
        <w:rPr>
          <w:rStyle w:val="66"/>
          <w:rFonts w:hint="eastAsia" w:ascii="宋体" w:hAnsi="宋体" w:cs="宋体"/>
          <w:color w:val="auto"/>
          <w:sz w:val="32"/>
          <w:highlight w:val="none"/>
        </w:rPr>
      </w:pPr>
      <w:bookmarkStart w:id="1037" w:name="_Toc35425139"/>
      <w:bookmarkStart w:id="1038" w:name="_Toc19174"/>
      <w:bookmarkStart w:id="1039" w:name="_Toc35424973"/>
      <w:bookmarkStart w:id="1040" w:name="_Toc78803401"/>
      <w:r>
        <w:rPr>
          <w:rStyle w:val="66"/>
          <w:rFonts w:hint="eastAsia" w:ascii="宋体" w:hAnsi="宋体" w:cs="宋体"/>
          <w:color w:val="auto"/>
          <w:sz w:val="32"/>
          <w:highlight w:val="none"/>
        </w:rPr>
        <w:br w:type="page"/>
      </w:r>
      <w:bookmarkStart w:id="1041" w:name="_Toc19057"/>
      <w:bookmarkStart w:id="1042" w:name="_Toc26670"/>
      <w:bookmarkStart w:id="1043" w:name="_Toc27877"/>
      <w:r>
        <w:rPr>
          <w:rStyle w:val="66"/>
          <w:rFonts w:hint="eastAsia" w:ascii="宋体" w:hAnsi="宋体" w:cs="宋体"/>
          <w:color w:val="auto"/>
          <w:sz w:val="32"/>
          <w:highlight w:val="none"/>
        </w:rPr>
        <w:t>投标文件</w:t>
      </w:r>
      <w:r>
        <w:rPr>
          <w:rStyle w:val="66"/>
          <w:rFonts w:hint="eastAsia" w:ascii="宋体" w:hAnsi="宋体" w:cs="宋体"/>
          <w:color w:val="auto"/>
          <w:sz w:val="32"/>
          <w:highlight w:val="none"/>
          <w:lang w:val="en-US"/>
        </w:rPr>
        <w:t>二</w:t>
      </w:r>
      <w:r>
        <w:rPr>
          <w:rStyle w:val="66"/>
          <w:rFonts w:hint="eastAsia" w:ascii="宋体" w:hAnsi="宋体" w:cs="宋体"/>
          <w:color w:val="auto"/>
          <w:sz w:val="32"/>
          <w:highlight w:val="none"/>
        </w:rPr>
        <w:t>：</w:t>
      </w:r>
      <w:r>
        <w:rPr>
          <w:rStyle w:val="66"/>
          <w:rFonts w:hint="eastAsia" w:ascii="宋体" w:hAnsi="宋体" w:cs="宋体"/>
          <w:color w:val="auto"/>
          <w:sz w:val="32"/>
          <w:highlight w:val="none"/>
          <w:lang w:val="en-US"/>
        </w:rPr>
        <w:t>技术</w:t>
      </w:r>
      <w:r>
        <w:rPr>
          <w:rStyle w:val="66"/>
          <w:rFonts w:hint="eastAsia" w:ascii="宋体" w:hAnsi="宋体" w:cs="宋体"/>
          <w:color w:val="auto"/>
          <w:sz w:val="32"/>
          <w:highlight w:val="none"/>
        </w:rPr>
        <w:t>标目录</w:t>
      </w:r>
    </w:p>
    <w:p w14:paraId="1788F02F">
      <w:pPr>
        <w:numPr>
          <w:ilvl w:val="0"/>
          <w:numId w:val="0"/>
        </w:numPr>
        <w:spacing w:line="44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1.施工组织设计；</w:t>
      </w:r>
    </w:p>
    <w:p w14:paraId="707299D5">
      <w:pPr>
        <w:pStyle w:val="2"/>
        <w:numPr>
          <w:ilvl w:val="0"/>
          <w:numId w:val="0"/>
        </w:numPr>
        <w:rPr>
          <w:rFonts w:hint="eastAsia"/>
          <w:color w:val="auto"/>
          <w:highlight w:val="none"/>
          <w:lang w:eastAsia="zh-CN"/>
        </w:rPr>
      </w:pPr>
      <w:r>
        <w:rPr>
          <w:rFonts w:hint="eastAsia"/>
          <w:color w:val="auto"/>
          <w:highlight w:val="none"/>
          <w:lang w:val="en-US" w:eastAsia="zh-CN"/>
        </w:rPr>
        <w:t>2.投标人认为需要提供的其他材料</w:t>
      </w:r>
    </w:p>
    <w:p w14:paraId="30E842A2">
      <w:pPr>
        <w:pStyle w:val="2"/>
        <w:rPr>
          <w:rFonts w:hint="eastAsia"/>
          <w:color w:val="auto"/>
          <w:highlight w:val="none"/>
        </w:rPr>
      </w:pPr>
    </w:p>
    <w:p w14:paraId="3130357D">
      <w:pPr>
        <w:pStyle w:val="2"/>
        <w:rPr>
          <w:color w:val="auto"/>
          <w:highlight w:val="none"/>
        </w:rPr>
      </w:pPr>
    </w:p>
    <w:p w14:paraId="0FC9B320">
      <w:pPr>
        <w:rPr>
          <w:rFonts w:eastAsia="黑体"/>
          <w:color w:val="auto"/>
          <w:sz w:val="28"/>
          <w:szCs w:val="28"/>
          <w:highlight w:val="none"/>
        </w:rPr>
      </w:pPr>
      <w:r>
        <w:rPr>
          <w:rFonts w:eastAsia="黑体"/>
          <w:color w:val="auto"/>
          <w:sz w:val="28"/>
          <w:szCs w:val="28"/>
          <w:highlight w:val="none"/>
        </w:rPr>
        <w:br w:type="page"/>
      </w:r>
    </w:p>
    <w:p w14:paraId="73C2071B">
      <w:pPr>
        <w:jc w:val="center"/>
        <w:rPr>
          <w:rFonts w:eastAsia="黑体"/>
          <w:color w:val="auto"/>
          <w:sz w:val="28"/>
          <w:szCs w:val="28"/>
          <w:highlight w:val="none"/>
        </w:rPr>
      </w:pPr>
    </w:p>
    <w:p w14:paraId="020BD96A">
      <w:pPr>
        <w:jc w:val="center"/>
        <w:rPr>
          <w:rFonts w:eastAsia="黑体"/>
          <w:color w:val="auto"/>
          <w:sz w:val="28"/>
          <w:szCs w:val="28"/>
          <w:highlight w:val="none"/>
        </w:rPr>
      </w:pPr>
    </w:p>
    <w:p w14:paraId="3D4C39F5">
      <w:pPr>
        <w:jc w:val="center"/>
        <w:rPr>
          <w:rFonts w:eastAsia="黑体"/>
          <w:color w:val="auto"/>
          <w:sz w:val="28"/>
          <w:szCs w:val="28"/>
          <w:highlight w:val="none"/>
        </w:rPr>
      </w:pPr>
    </w:p>
    <w:p w14:paraId="55BD7688">
      <w:pPr>
        <w:jc w:val="center"/>
        <w:rPr>
          <w:rFonts w:eastAsia="黑体"/>
          <w:color w:val="auto"/>
          <w:sz w:val="20"/>
          <w:szCs w:val="20"/>
          <w:highlight w:val="none"/>
        </w:rPr>
      </w:pPr>
      <w:r>
        <w:rPr>
          <w:rFonts w:eastAsia="黑体"/>
          <w:color w:val="auto"/>
          <w:sz w:val="28"/>
          <w:szCs w:val="28"/>
          <w:highlight w:val="none"/>
        </w:rPr>
        <w:t>（项目名称）</w:t>
      </w:r>
    </w:p>
    <w:p w14:paraId="0AFCD2A3">
      <w:pPr>
        <w:jc w:val="center"/>
        <w:rPr>
          <w:rFonts w:eastAsia="黑体"/>
          <w:color w:val="auto"/>
          <w:sz w:val="20"/>
          <w:szCs w:val="20"/>
          <w:highlight w:val="none"/>
        </w:rPr>
      </w:pPr>
    </w:p>
    <w:p w14:paraId="2A04F0C5">
      <w:pPr>
        <w:rPr>
          <w:rFonts w:eastAsia="黑体"/>
          <w:color w:val="auto"/>
          <w:sz w:val="20"/>
          <w:szCs w:val="20"/>
          <w:highlight w:val="none"/>
        </w:rPr>
      </w:pPr>
    </w:p>
    <w:p w14:paraId="07CABF62">
      <w:pPr>
        <w:jc w:val="center"/>
        <w:rPr>
          <w:rFonts w:hint="eastAsia" w:eastAsia="黑体"/>
          <w:color w:val="auto"/>
          <w:sz w:val="44"/>
          <w:szCs w:val="44"/>
          <w:highlight w:val="none"/>
          <w:lang w:val="en-US" w:eastAsia="zh-CN"/>
        </w:rPr>
      </w:pPr>
      <w:r>
        <w:rPr>
          <w:rFonts w:eastAsia="黑体"/>
          <w:color w:val="auto"/>
          <w:sz w:val="44"/>
          <w:szCs w:val="44"/>
          <w:highlight w:val="none"/>
        </w:rPr>
        <w:t>投  标  文  件</w:t>
      </w:r>
      <w:r>
        <w:rPr>
          <w:rFonts w:hint="eastAsia" w:eastAsia="黑体"/>
          <w:color w:val="auto"/>
          <w:sz w:val="44"/>
          <w:szCs w:val="44"/>
          <w:highlight w:val="none"/>
        </w:rPr>
        <w:t xml:space="preserve">  </w:t>
      </w:r>
      <w:r>
        <w:rPr>
          <w:rFonts w:hint="eastAsia" w:eastAsia="黑体"/>
          <w:color w:val="auto"/>
          <w:sz w:val="44"/>
          <w:szCs w:val="44"/>
          <w:highlight w:val="none"/>
          <w:lang w:val="en-US" w:eastAsia="zh-CN"/>
        </w:rPr>
        <w:t>三</w:t>
      </w:r>
    </w:p>
    <w:p w14:paraId="0F79EF0D">
      <w:pPr>
        <w:jc w:val="center"/>
        <w:rPr>
          <w:rFonts w:eastAsia="黑体"/>
          <w:color w:val="auto"/>
          <w:sz w:val="44"/>
          <w:szCs w:val="44"/>
          <w:highlight w:val="none"/>
        </w:rPr>
      </w:pPr>
      <w:r>
        <w:rPr>
          <w:rFonts w:hint="eastAsia" w:eastAsia="黑体"/>
          <w:color w:val="auto"/>
          <w:sz w:val="44"/>
          <w:szCs w:val="44"/>
          <w:highlight w:val="none"/>
        </w:rPr>
        <w:t>（商务标文件）</w:t>
      </w:r>
    </w:p>
    <w:p w14:paraId="5233A7A0">
      <w:pPr>
        <w:rPr>
          <w:rFonts w:eastAsia="黑体"/>
          <w:color w:val="auto"/>
          <w:sz w:val="28"/>
          <w:szCs w:val="28"/>
          <w:highlight w:val="none"/>
        </w:rPr>
      </w:pPr>
    </w:p>
    <w:p w14:paraId="43CABC2F">
      <w:pPr>
        <w:rPr>
          <w:rFonts w:eastAsia="黑体"/>
          <w:color w:val="auto"/>
          <w:sz w:val="28"/>
          <w:szCs w:val="28"/>
          <w:highlight w:val="none"/>
        </w:rPr>
      </w:pPr>
    </w:p>
    <w:p w14:paraId="71DEDE43">
      <w:pPr>
        <w:rPr>
          <w:rFonts w:eastAsia="黑体"/>
          <w:color w:val="auto"/>
          <w:sz w:val="28"/>
          <w:szCs w:val="28"/>
          <w:highlight w:val="none"/>
        </w:rPr>
      </w:pPr>
    </w:p>
    <w:p w14:paraId="36DC7DA5">
      <w:pPr>
        <w:rPr>
          <w:rFonts w:eastAsia="黑体"/>
          <w:color w:val="auto"/>
          <w:sz w:val="28"/>
          <w:szCs w:val="28"/>
          <w:highlight w:val="none"/>
        </w:rPr>
      </w:pPr>
    </w:p>
    <w:p w14:paraId="2417994B">
      <w:pPr>
        <w:rPr>
          <w:rFonts w:eastAsia="黑体"/>
          <w:color w:val="auto"/>
          <w:sz w:val="28"/>
          <w:szCs w:val="28"/>
          <w:highlight w:val="none"/>
        </w:rPr>
      </w:pPr>
    </w:p>
    <w:p w14:paraId="2FE30B29">
      <w:pPr>
        <w:pStyle w:val="2"/>
        <w:rPr>
          <w:rFonts w:eastAsia="黑体"/>
          <w:color w:val="auto"/>
          <w:sz w:val="28"/>
          <w:szCs w:val="28"/>
          <w:highlight w:val="none"/>
        </w:rPr>
      </w:pPr>
    </w:p>
    <w:p w14:paraId="2C94B9E0">
      <w:pPr>
        <w:rPr>
          <w:rFonts w:eastAsia="黑体"/>
          <w:color w:val="auto"/>
          <w:sz w:val="28"/>
          <w:szCs w:val="28"/>
          <w:highlight w:val="none"/>
        </w:rPr>
      </w:pPr>
    </w:p>
    <w:p w14:paraId="60B50654">
      <w:pPr>
        <w:pStyle w:val="2"/>
        <w:rPr>
          <w:rFonts w:eastAsia="黑体"/>
          <w:color w:val="auto"/>
          <w:sz w:val="28"/>
          <w:szCs w:val="28"/>
          <w:highlight w:val="none"/>
        </w:rPr>
      </w:pPr>
    </w:p>
    <w:p w14:paraId="1A057870">
      <w:pPr>
        <w:rPr>
          <w:rFonts w:eastAsia="黑体"/>
          <w:color w:val="auto"/>
          <w:sz w:val="28"/>
          <w:szCs w:val="28"/>
          <w:highlight w:val="none"/>
        </w:rPr>
      </w:pPr>
    </w:p>
    <w:p w14:paraId="47184028">
      <w:pPr>
        <w:pStyle w:val="2"/>
        <w:rPr>
          <w:rFonts w:eastAsia="黑体"/>
          <w:color w:val="auto"/>
          <w:sz w:val="28"/>
          <w:szCs w:val="28"/>
          <w:highlight w:val="none"/>
        </w:rPr>
      </w:pPr>
    </w:p>
    <w:p w14:paraId="256A9F5C">
      <w:pPr>
        <w:rPr>
          <w:rFonts w:eastAsia="黑体"/>
          <w:color w:val="auto"/>
          <w:sz w:val="28"/>
          <w:szCs w:val="28"/>
          <w:highlight w:val="none"/>
        </w:rPr>
      </w:pPr>
    </w:p>
    <w:p w14:paraId="06585454">
      <w:pPr>
        <w:pStyle w:val="2"/>
        <w:rPr>
          <w:rFonts w:eastAsia="黑体"/>
          <w:color w:val="auto"/>
          <w:sz w:val="28"/>
          <w:szCs w:val="28"/>
          <w:highlight w:val="none"/>
        </w:rPr>
      </w:pPr>
    </w:p>
    <w:p w14:paraId="13905336">
      <w:pPr>
        <w:rPr>
          <w:rFonts w:eastAsia="黑体"/>
          <w:color w:val="auto"/>
          <w:sz w:val="28"/>
          <w:szCs w:val="28"/>
          <w:highlight w:val="none"/>
        </w:rPr>
      </w:pPr>
    </w:p>
    <w:p w14:paraId="04CEE8C1">
      <w:pPr>
        <w:pStyle w:val="2"/>
        <w:rPr>
          <w:rFonts w:eastAsia="黑体"/>
          <w:color w:val="auto"/>
          <w:sz w:val="28"/>
          <w:szCs w:val="28"/>
          <w:highlight w:val="none"/>
        </w:rPr>
      </w:pPr>
    </w:p>
    <w:p w14:paraId="41E22440">
      <w:pPr>
        <w:rPr>
          <w:color w:val="auto"/>
          <w:highlight w:val="none"/>
        </w:rPr>
      </w:pPr>
    </w:p>
    <w:p w14:paraId="4291D545">
      <w:pPr>
        <w:rPr>
          <w:rFonts w:eastAsia="黑体"/>
          <w:color w:val="auto"/>
          <w:sz w:val="28"/>
          <w:szCs w:val="28"/>
          <w:highlight w:val="none"/>
        </w:rPr>
      </w:pPr>
    </w:p>
    <w:p w14:paraId="18277AA5">
      <w:pPr>
        <w:rPr>
          <w:rFonts w:eastAsia="黑体"/>
          <w:color w:val="auto"/>
          <w:sz w:val="28"/>
          <w:szCs w:val="28"/>
          <w:highlight w:val="none"/>
        </w:rPr>
      </w:pPr>
    </w:p>
    <w:p w14:paraId="11341AE7">
      <w:pPr>
        <w:rPr>
          <w:rFonts w:eastAsia="黑体"/>
          <w:color w:val="auto"/>
          <w:sz w:val="28"/>
          <w:szCs w:val="28"/>
          <w:highlight w:val="none"/>
        </w:rPr>
      </w:pPr>
    </w:p>
    <w:p w14:paraId="19B3D8E0">
      <w:pPr>
        <w:rPr>
          <w:rFonts w:eastAsia="黑体"/>
          <w:color w:val="auto"/>
          <w:sz w:val="28"/>
          <w:szCs w:val="28"/>
          <w:highlight w:val="none"/>
        </w:rPr>
      </w:pPr>
    </w:p>
    <w:p w14:paraId="755F3C8D">
      <w:pPr>
        <w:rPr>
          <w:rFonts w:eastAsia="黑体"/>
          <w:color w:val="auto"/>
          <w:sz w:val="28"/>
          <w:szCs w:val="28"/>
          <w:highlight w:val="none"/>
        </w:rPr>
      </w:pPr>
    </w:p>
    <w:p w14:paraId="54941CD6">
      <w:pPr>
        <w:rPr>
          <w:rFonts w:eastAsia="黑体"/>
          <w:color w:val="auto"/>
          <w:sz w:val="28"/>
          <w:szCs w:val="28"/>
          <w:highlight w:val="none"/>
        </w:rPr>
      </w:pPr>
    </w:p>
    <w:p w14:paraId="3520EBF3">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盖</w:t>
      </w:r>
      <w:r>
        <w:rPr>
          <w:rFonts w:eastAsia="黑体"/>
          <w:color w:val="auto"/>
          <w:sz w:val="28"/>
          <w:szCs w:val="28"/>
          <w:highlight w:val="none"/>
        </w:rPr>
        <w:t>章）</w:t>
      </w:r>
    </w:p>
    <w:p w14:paraId="069176EE">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签字或盖章</w:t>
      </w:r>
      <w:r>
        <w:rPr>
          <w:rFonts w:eastAsia="黑体"/>
          <w:color w:val="auto"/>
          <w:sz w:val="28"/>
          <w:szCs w:val="28"/>
          <w:highlight w:val="none"/>
        </w:rPr>
        <w:t>）</w:t>
      </w:r>
    </w:p>
    <w:p w14:paraId="677D1DAF">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02D7F4CF">
      <w:pPr>
        <w:rPr>
          <w:color w:val="auto"/>
          <w:highlight w:val="none"/>
        </w:rPr>
      </w:pPr>
    </w:p>
    <w:p w14:paraId="5030C46A">
      <w:pPr>
        <w:pStyle w:val="2"/>
        <w:ind w:firstLine="420"/>
        <w:rPr>
          <w:color w:val="auto"/>
          <w:highlight w:val="none"/>
        </w:rPr>
      </w:pPr>
    </w:p>
    <w:p w14:paraId="52235C12">
      <w:pPr>
        <w:rPr>
          <w:color w:val="auto"/>
          <w:highlight w:val="none"/>
        </w:rPr>
      </w:pPr>
    </w:p>
    <w:p w14:paraId="75602320">
      <w:pPr>
        <w:spacing w:beforeLines="50" w:afterLines="50" w:line="440" w:lineRule="exact"/>
        <w:ind w:firstLine="643" w:firstLineChars="200"/>
        <w:jc w:val="left"/>
        <w:rPr>
          <w:rStyle w:val="66"/>
          <w:rFonts w:ascii="宋体" w:hAnsi="宋体" w:cs="宋体"/>
          <w:color w:val="auto"/>
          <w:sz w:val="32"/>
          <w:highlight w:val="none"/>
        </w:rPr>
      </w:pPr>
      <w:r>
        <w:rPr>
          <w:rStyle w:val="66"/>
          <w:rFonts w:hint="eastAsia" w:ascii="宋体" w:hAnsi="宋体" w:cs="宋体"/>
          <w:color w:val="auto"/>
          <w:sz w:val="32"/>
          <w:highlight w:val="none"/>
        </w:rPr>
        <w:br w:type="page"/>
      </w:r>
      <w:r>
        <w:rPr>
          <w:rStyle w:val="66"/>
          <w:rFonts w:hint="eastAsia" w:ascii="宋体" w:hAnsi="宋体" w:cs="宋体"/>
          <w:color w:val="auto"/>
          <w:sz w:val="32"/>
          <w:highlight w:val="none"/>
        </w:rPr>
        <w:t>投标文件</w:t>
      </w:r>
      <w:bookmarkEnd w:id="1037"/>
      <w:bookmarkEnd w:id="1038"/>
      <w:bookmarkEnd w:id="1039"/>
      <w:r>
        <w:rPr>
          <w:rStyle w:val="66"/>
          <w:rFonts w:hint="eastAsia" w:ascii="宋体" w:hAnsi="宋体" w:cs="宋体"/>
          <w:color w:val="auto"/>
          <w:sz w:val="32"/>
          <w:highlight w:val="none"/>
          <w:lang w:val="en-US"/>
        </w:rPr>
        <w:t>三</w:t>
      </w:r>
      <w:r>
        <w:rPr>
          <w:rStyle w:val="66"/>
          <w:rFonts w:hint="eastAsia" w:ascii="宋体" w:hAnsi="宋体" w:cs="宋体"/>
          <w:color w:val="auto"/>
          <w:sz w:val="32"/>
          <w:highlight w:val="none"/>
        </w:rPr>
        <w:t>：</w:t>
      </w:r>
      <w:r>
        <w:rPr>
          <w:rStyle w:val="66"/>
          <w:rFonts w:hint="eastAsia" w:ascii="宋体" w:hAnsi="宋体" w:cs="宋体"/>
          <w:color w:val="auto"/>
          <w:sz w:val="32"/>
          <w:highlight w:val="none"/>
          <w:lang w:val="en-US"/>
        </w:rPr>
        <w:t>商务</w:t>
      </w:r>
      <w:r>
        <w:rPr>
          <w:rStyle w:val="66"/>
          <w:rFonts w:hint="eastAsia" w:ascii="宋体" w:hAnsi="宋体" w:cs="宋体"/>
          <w:color w:val="auto"/>
          <w:sz w:val="32"/>
          <w:highlight w:val="none"/>
        </w:rPr>
        <w:t>标目录</w:t>
      </w:r>
      <w:bookmarkEnd w:id="1040"/>
    </w:p>
    <w:bookmarkEnd w:id="1041"/>
    <w:bookmarkEnd w:id="1042"/>
    <w:bookmarkEnd w:id="1043"/>
    <w:p w14:paraId="5E29FE21">
      <w:pPr>
        <w:spacing w:line="440" w:lineRule="exact"/>
        <w:ind w:firstLine="420" w:firstLineChars="200"/>
        <w:jc w:val="left"/>
        <w:rPr>
          <w:rFonts w:hint="eastAsia" w:ascii="宋体" w:hAnsi="宋体" w:cs="宋体"/>
          <w:i/>
          <w:iCs/>
          <w:color w:val="auto"/>
          <w:szCs w:val="21"/>
          <w:highlight w:val="none"/>
        </w:rPr>
      </w:pPr>
      <w:r>
        <w:rPr>
          <w:rFonts w:hint="eastAsia" w:ascii="宋体" w:hAnsi="宋体" w:cs="宋体"/>
          <w:color w:val="auto"/>
          <w:szCs w:val="21"/>
          <w:highlight w:val="none"/>
        </w:rPr>
        <w:t>（1）投标函；</w:t>
      </w:r>
    </w:p>
    <w:p w14:paraId="718A89E8">
      <w:pPr>
        <w:adjustRightInd w:val="0"/>
        <w:snapToGrid w:val="0"/>
        <w:spacing w:line="560" w:lineRule="exact"/>
        <w:ind w:firstLine="420" w:firstLineChars="200"/>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olor w:val="auto"/>
          <w:szCs w:val="21"/>
          <w:highlight w:val="none"/>
        </w:rPr>
        <w:t>工程量清单报价书；</w:t>
      </w:r>
    </w:p>
    <w:p w14:paraId="62CE39A8">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推荐的材料品牌响应表（如有）</w:t>
      </w:r>
      <w:r>
        <w:rPr>
          <w:rFonts w:hint="eastAsia" w:ascii="宋体" w:hAnsi="宋体" w:cs="宋体"/>
          <w:color w:val="auto"/>
          <w:szCs w:val="21"/>
          <w:highlight w:val="none"/>
          <w:lang w:eastAsia="zh-CN"/>
        </w:rPr>
        <w:t>；</w:t>
      </w:r>
    </w:p>
    <w:p w14:paraId="124EEB2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商务评审需要及</w:t>
      </w:r>
      <w:r>
        <w:rPr>
          <w:rFonts w:hint="eastAsia" w:ascii="宋体" w:hAnsi="宋体" w:cs="宋体"/>
          <w:color w:val="auto"/>
          <w:szCs w:val="21"/>
          <w:highlight w:val="none"/>
        </w:rPr>
        <w:t>投标人认为需要提供的其他材料。</w:t>
      </w:r>
    </w:p>
    <w:p w14:paraId="6C33E03C">
      <w:pPr>
        <w:spacing w:line="540" w:lineRule="exact"/>
        <w:rPr>
          <w:rFonts w:eastAsia="黑体"/>
          <w:color w:val="auto"/>
          <w:sz w:val="20"/>
          <w:szCs w:val="20"/>
          <w:highlight w:val="none"/>
        </w:rPr>
      </w:pPr>
    </w:p>
    <w:p w14:paraId="6298A3F8">
      <w:pPr>
        <w:spacing w:line="540" w:lineRule="exact"/>
        <w:rPr>
          <w:rFonts w:eastAsia="黑体"/>
          <w:color w:val="auto"/>
          <w:sz w:val="20"/>
          <w:szCs w:val="20"/>
          <w:highlight w:val="none"/>
        </w:rPr>
      </w:pPr>
    </w:p>
    <w:p w14:paraId="02C61D0C">
      <w:pPr>
        <w:spacing w:line="540" w:lineRule="exact"/>
        <w:rPr>
          <w:rFonts w:eastAsia="黑体"/>
          <w:color w:val="auto"/>
          <w:sz w:val="20"/>
          <w:szCs w:val="20"/>
          <w:highlight w:val="none"/>
        </w:rPr>
      </w:pPr>
    </w:p>
    <w:p w14:paraId="49BDB19A">
      <w:pPr>
        <w:spacing w:line="360" w:lineRule="auto"/>
        <w:ind w:firstLine="420" w:firstLineChars="200"/>
        <w:jc w:val="right"/>
        <w:rPr>
          <w:color w:val="auto"/>
          <w:szCs w:val="21"/>
          <w:highlight w:val="none"/>
          <w:u w:val="single"/>
        </w:rPr>
      </w:pPr>
    </w:p>
    <w:p w14:paraId="0B636947">
      <w:pPr>
        <w:spacing w:line="360" w:lineRule="auto"/>
        <w:ind w:firstLine="420" w:firstLineChars="200"/>
        <w:jc w:val="right"/>
        <w:rPr>
          <w:color w:val="auto"/>
          <w:szCs w:val="21"/>
          <w:highlight w:val="none"/>
          <w:u w:val="single"/>
        </w:rPr>
      </w:pPr>
    </w:p>
    <w:p w14:paraId="2D4FC224">
      <w:pPr>
        <w:spacing w:line="360" w:lineRule="auto"/>
        <w:ind w:firstLine="420" w:firstLineChars="200"/>
        <w:jc w:val="right"/>
        <w:rPr>
          <w:color w:val="auto"/>
          <w:szCs w:val="21"/>
          <w:highlight w:val="none"/>
          <w:u w:val="single"/>
        </w:rPr>
      </w:pPr>
    </w:p>
    <w:p w14:paraId="3D4C3E8B">
      <w:pPr>
        <w:spacing w:line="360" w:lineRule="auto"/>
        <w:ind w:firstLine="420" w:firstLineChars="200"/>
        <w:jc w:val="right"/>
        <w:rPr>
          <w:color w:val="auto"/>
          <w:szCs w:val="21"/>
          <w:highlight w:val="none"/>
          <w:u w:val="single"/>
        </w:rPr>
      </w:pPr>
    </w:p>
    <w:p w14:paraId="4809EE95">
      <w:pPr>
        <w:spacing w:line="360" w:lineRule="auto"/>
        <w:ind w:firstLine="420" w:firstLineChars="200"/>
        <w:jc w:val="right"/>
        <w:rPr>
          <w:color w:val="auto"/>
          <w:szCs w:val="21"/>
          <w:highlight w:val="none"/>
          <w:u w:val="single"/>
        </w:rPr>
      </w:pPr>
    </w:p>
    <w:p w14:paraId="1E8CBC84">
      <w:pPr>
        <w:spacing w:line="360" w:lineRule="auto"/>
        <w:ind w:firstLine="420" w:firstLineChars="200"/>
        <w:jc w:val="right"/>
        <w:rPr>
          <w:color w:val="auto"/>
          <w:szCs w:val="21"/>
          <w:highlight w:val="none"/>
          <w:u w:val="single"/>
        </w:rPr>
      </w:pPr>
    </w:p>
    <w:p w14:paraId="5585CE67">
      <w:pPr>
        <w:spacing w:line="360" w:lineRule="auto"/>
        <w:ind w:firstLine="420" w:firstLineChars="200"/>
        <w:jc w:val="right"/>
        <w:rPr>
          <w:color w:val="auto"/>
          <w:szCs w:val="21"/>
          <w:highlight w:val="none"/>
          <w:u w:val="single"/>
        </w:rPr>
      </w:pPr>
    </w:p>
    <w:p w14:paraId="5AFD5D9C">
      <w:pPr>
        <w:spacing w:line="360" w:lineRule="auto"/>
        <w:ind w:firstLine="420" w:firstLineChars="200"/>
        <w:jc w:val="right"/>
        <w:rPr>
          <w:color w:val="auto"/>
          <w:szCs w:val="21"/>
          <w:highlight w:val="none"/>
          <w:u w:val="single"/>
        </w:rPr>
      </w:pPr>
    </w:p>
    <w:p w14:paraId="69C53793">
      <w:pPr>
        <w:jc w:val="center"/>
        <w:rPr>
          <w:b/>
          <w:color w:val="auto"/>
          <w:sz w:val="32"/>
          <w:szCs w:val="32"/>
          <w:highlight w:val="none"/>
        </w:rPr>
      </w:pPr>
    </w:p>
    <w:p w14:paraId="5E8DD0F1">
      <w:pPr>
        <w:jc w:val="center"/>
        <w:rPr>
          <w:b/>
          <w:color w:val="auto"/>
          <w:sz w:val="32"/>
          <w:szCs w:val="32"/>
          <w:highlight w:val="none"/>
        </w:rPr>
      </w:pPr>
    </w:p>
    <w:p w14:paraId="504438C1">
      <w:pPr>
        <w:jc w:val="center"/>
        <w:rPr>
          <w:b/>
          <w:color w:val="auto"/>
          <w:sz w:val="32"/>
          <w:szCs w:val="32"/>
          <w:highlight w:val="none"/>
        </w:rPr>
      </w:pPr>
    </w:p>
    <w:p w14:paraId="5FE5A533">
      <w:pPr>
        <w:jc w:val="center"/>
        <w:rPr>
          <w:b/>
          <w:color w:val="auto"/>
          <w:sz w:val="32"/>
          <w:szCs w:val="32"/>
          <w:highlight w:val="none"/>
        </w:rPr>
      </w:pPr>
    </w:p>
    <w:p w14:paraId="73D0B4F5">
      <w:pPr>
        <w:jc w:val="center"/>
        <w:rPr>
          <w:b/>
          <w:color w:val="auto"/>
          <w:sz w:val="32"/>
          <w:szCs w:val="32"/>
          <w:highlight w:val="none"/>
        </w:rPr>
      </w:pPr>
    </w:p>
    <w:p w14:paraId="3F1858B2">
      <w:pPr>
        <w:jc w:val="center"/>
        <w:rPr>
          <w:b/>
          <w:color w:val="auto"/>
          <w:sz w:val="32"/>
          <w:szCs w:val="32"/>
          <w:highlight w:val="none"/>
        </w:rPr>
      </w:pPr>
    </w:p>
    <w:p w14:paraId="4C5775B6">
      <w:pPr>
        <w:jc w:val="center"/>
        <w:rPr>
          <w:b/>
          <w:color w:val="auto"/>
          <w:sz w:val="32"/>
          <w:szCs w:val="32"/>
          <w:highlight w:val="none"/>
        </w:rPr>
      </w:pPr>
    </w:p>
    <w:p w14:paraId="00B4126E">
      <w:pPr>
        <w:spacing w:line="360" w:lineRule="auto"/>
        <w:rPr>
          <w:b/>
          <w:bCs/>
          <w:color w:val="auto"/>
          <w:sz w:val="32"/>
          <w:szCs w:val="32"/>
          <w:highlight w:val="none"/>
        </w:rPr>
      </w:pPr>
    </w:p>
    <w:p w14:paraId="135BC210">
      <w:pPr>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（1）投 标 函</w:t>
      </w:r>
    </w:p>
    <w:p w14:paraId="5999E67B">
      <w:pPr>
        <w:adjustRightInd w:val="0"/>
        <w:snapToGrid w:val="0"/>
        <w:spacing w:line="560" w:lineRule="exact"/>
        <w:rPr>
          <w:rFonts w:ascii="宋体" w:hAnsi="宋体"/>
          <w:color w:val="auto"/>
          <w:sz w:val="24"/>
          <w:highlight w:val="none"/>
          <w:u w:val="single"/>
        </w:rPr>
      </w:pPr>
      <w:bookmarkStart w:id="1044" w:name="_Toc15058950"/>
      <w:bookmarkStart w:id="1045" w:name="_Toc506107366"/>
      <w:bookmarkStart w:id="1046" w:name="_Toc35425140"/>
      <w:bookmarkStart w:id="1047" w:name="_Toc35424974"/>
      <w:r>
        <w:rPr>
          <w:rFonts w:hint="eastAsia" w:ascii="宋体" w:hAnsi="宋体"/>
          <w:color w:val="auto"/>
          <w:sz w:val="24"/>
          <w:highlight w:val="none"/>
        </w:rPr>
        <w:t>致：</w:t>
      </w:r>
      <w:r>
        <w:rPr>
          <w:rFonts w:ascii="宋体" w:hAnsi="宋体"/>
          <w:color w:val="auto"/>
          <w:sz w:val="24"/>
          <w:highlight w:val="none"/>
          <w:u w:val="single"/>
        </w:rPr>
        <w:t xml:space="preserve">        </w:t>
      </w:r>
      <w:r>
        <w:rPr>
          <w:rFonts w:hint="eastAsia" w:ascii="宋体" w:hAnsi="宋体"/>
          <w:color w:val="auto"/>
          <w:sz w:val="24"/>
          <w:highlight w:val="none"/>
          <w:u w:val="single"/>
        </w:rPr>
        <w:t>（招标人）</w:t>
      </w:r>
      <w:r>
        <w:rPr>
          <w:rFonts w:ascii="宋体" w:hAnsi="宋体"/>
          <w:color w:val="auto"/>
          <w:sz w:val="24"/>
          <w:highlight w:val="none"/>
          <w:u w:val="single"/>
        </w:rPr>
        <w:t xml:space="preserve">      </w:t>
      </w:r>
    </w:p>
    <w:p w14:paraId="2EFB3FB2">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1、根据你方招</w:t>
      </w:r>
      <w:bookmarkStart w:id="1048" w:name="_Toc60061591"/>
      <w:r>
        <w:rPr>
          <w:rFonts w:hint="eastAsia" w:ascii="宋体" w:hAnsi="宋体"/>
          <w:color w:val="auto"/>
          <w:sz w:val="24"/>
          <w:highlight w:val="none"/>
        </w:rPr>
        <w:t>标项目编号为</w:t>
      </w:r>
      <w:r>
        <w:rPr>
          <w:rFonts w:ascii="宋体" w:hAnsi="宋体"/>
          <w:color w:val="auto"/>
          <w:sz w:val="24"/>
          <w:highlight w:val="none"/>
          <w:u w:val="single"/>
        </w:rPr>
        <w:t xml:space="preserve">  </w:t>
      </w:r>
      <w:bookmarkEnd w:id="1048"/>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的</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招标文件，遵照《中华人民共和国招标投标法》等有关规定，经踏勘项目现场和研究上述招标文件的投标须知、合同条件、技术规范、图纸、工程量清单和其他有关文件后，我方愿以</w:t>
      </w:r>
      <w:r>
        <w:rPr>
          <w:rFonts w:ascii="宋体" w:hAnsi="宋体"/>
          <w:color w:val="auto"/>
          <w:sz w:val="24"/>
          <w:highlight w:val="none"/>
        </w:rPr>
        <w:t xml:space="preserve"> </w:t>
      </w:r>
      <w:r>
        <w:rPr>
          <w:rFonts w:hint="eastAsia" w:ascii="宋体" w:hAnsi="宋体"/>
          <w:color w:val="auto"/>
          <w:sz w:val="24"/>
          <w:highlight w:val="none"/>
        </w:rPr>
        <w:t>（币种，金额、单位）</w:t>
      </w:r>
      <w:r>
        <w:rPr>
          <w:rFonts w:hint="eastAsia" w:ascii="宋体" w:hAnsi="宋体"/>
          <w:color w:val="auto"/>
          <w:sz w:val="24"/>
          <w:highlight w:val="none"/>
          <w:u w:val="single"/>
        </w:rPr>
        <w:t>人民币           元</w:t>
      </w:r>
      <w:r>
        <w:rPr>
          <w:rFonts w:hint="eastAsia" w:ascii="宋体" w:hAnsi="宋体"/>
          <w:color w:val="auto"/>
          <w:sz w:val="24"/>
          <w:highlight w:val="none"/>
        </w:rPr>
        <w:t>的投标报价承包上述工程的施工、竣工，并承担任何质量缺陷保修责任。</w:t>
      </w:r>
    </w:p>
    <w:p w14:paraId="6E54F70A">
      <w:pPr>
        <w:tabs>
          <w:tab w:val="left" w:pos="840"/>
        </w:tabs>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2、我方已详细审核全部招标文件及有关附件，承诺招标文件及有关附件中所有条款。</w:t>
      </w:r>
    </w:p>
    <w:p w14:paraId="5374D010">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3、一旦我方中标，我方将派出</w:t>
      </w:r>
      <w:r>
        <w:rPr>
          <w:rFonts w:hint="eastAsia" w:ascii="宋体" w:hAnsi="宋体"/>
          <w:color w:val="auto"/>
          <w:sz w:val="24"/>
          <w:highlight w:val="none"/>
          <w:u w:val="single"/>
        </w:rPr>
        <w:t xml:space="preserve">           </w:t>
      </w:r>
      <w:r>
        <w:rPr>
          <w:rFonts w:hint="eastAsia" w:ascii="宋体" w:hAnsi="宋体"/>
          <w:color w:val="auto"/>
          <w:sz w:val="24"/>
          <w:highlight w:val="none"/>
        </w:rPr>
        <w:t>建造师为本工程项目经理，保证按照招标人要求开始本工程的施工，并在</w:t>
      </w:r>
      <w:r>
        <w:rPr>
          <w:rFonts w:ascii="宋体" w:hAnsi="宋体"/>
          <w:color w:val="auto"/>
          <w:sz w:val="24"/>
          <w:highlight w:val="none"/>
          <w:u w:val="single"/>
        </w:rPr>
        <w:t xml:space="preserve">       </w:t>
      </w:r>
      <w:r>
        <w:rPr>
          <w:rFonts w:hint="eastAsia" w:ascii="宋体" w:hAnsi="宋体"/>
          <w:color w:val="auto"/>
          <w:sz w:val="24"/>
          <w:highlight w:val="none"/>
        </w:rPr>
        <w:t>个日历天（</w:t>
      </w:r>
      <w:r>
        <w:rPr>
          <w:rFonts w:hint="eastAsia" w:ascii="宋体" w:hAnsi="宋体" w:cs="宋体"/>
          <w:b/>
          <w:color w:val="auto"/>
          <w:sz w:val="21"/>
          <w:szCs w:val="21"/>
          <w:highlight w:val="none"/>
          <w:lang w:val="en-US" w:eastAsia="zh-CN"/>
        </w:rPr>
        <w:t>以中标公示期结束后的第一天起计算工期</w:t>
      </w:r>
      <w:r>
        <w:rPr>
          <w:rFonts w:hint="eastAsia" w:ascii="宋体" w:hAnsi="宋体"/>
          <w:color w:val="auto"/>
          <w:sz w:val="24"/>
          <w:highlight w:val="none"/>
        </w:rPr>
        <w:t>）内完成本合同的施工，并移交整个工程，工程质量达到</w:t>
      </w:r>
      <w:r>
        <w:rPr>
          <w:rFonts w:ascii="宋体" w:hAnsi="宋体"/>
          <w:color w:val="auto"/>
          <w:sz w:val="24"/>
          <w:highlight w:val="none"/>
          <w:u w:val="single"/>
        </w:rPr>
        <w:t xml:space="preserve">          </w:t>
      </w:r>
      <w:r>
        <w:rPr>
          <w:rFonts w:hint="eastAsia" w:ascii="宋体" w:hAnsi="宋体"/>
          <w:color w:val="auto"/>
          <w:sz w:val="24"/>
          <w:highlight w:val="none"/>
        </w:rPr>
        <w:t xml:space="preserve"> 标准。</w:t>
      </w:r>
    </w:p>
    <w:p w14:paraId="29379AB6">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4、随本投标书，我方同时按照招标文件的要求提交投标保证金。如果我方在投标截止后撤销投标文件，或在中标后无正当理由不与招标人订立合同，在签订合同时向招标人提出附加条件，或者不按照招标文件要求提交履约保证金，贵单位有权不予退还投标保证金。</w:t>
      </w:r>
    </w:p>
    <w:p w14:paraId="620FEEC1">
      <w:pPr>
        <w:adjustRightInd w:val="0"/>
        <w:snapToGrid w:val="0"/>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5、如果我方中标我方将按照招标文件的规定提交履约担保。工程验收合格后，方可退还。</w:t>
      </w:r>
    </w:p>
    <w:p w14:paraId="29775305">
      <w:pPr>
        <w:adjustRightInd w:val="0"/>
        <w:snapToGrid w:val="0"/>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6、我方承诺在招标文件规定的投标有效期内不撤销投标文件。</w:t>
      </w:r>
    </w:p>
    <w:p w14:paraId="4712772F">
      <w:pPr>
        <w:adjustRightInd w:val="0"/>
        <w:snapToGrid w:val="0"/>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7、我单位提供如下通讯地址：</w:t>
      </w:r>
      <w:r>
        <w:rPr>
          <w:rFonts w:hint="eastAsia" w:ascii="宋体" w:hAnsi="宋体"/>
          <w:color w:val="auto"/>
          <w:sz w:val="24"/>
          <w:highlight w:val="none"/>
          <w:u w:val="single"/>
        </w:rPr>
        <w:t xml:space="preserve">                </w:t>
      </w:r>
      <w:r>
        <w:rPr>
          <w:rFonts w:hint="eastAsia" w:ascii="宋体" w:hAnsi="宋体"/>
          <w:color w:val="auto"/>
          <w:sz w:val="24"/>
          <w:highlight w:val="none"/>
        </w:rPr>
        <w:t>电子邮箱（地址），确认本项目相关法律文书均通过提供的以上地址送达，相关文书只要发送至以上电子邮箱（地址）即视为送达，投标人愿意承担一切法律后果。</w:t>
      </w:r>
    </w:p>
    <w:p w14:paraId="65E84C38">
      <w:pPr>
        <w:adjustRightInd w:val="0"/>
        <w:snapToGrid w:val="0"/>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u w:val="single"/>
        </w:rPr>
        <w:t xml:space="preserve">                           </w:t>
      </w:r>
      <w:r>
        <w:rPr>
          <w:rFonts w:hint="eastAsia" w:ascii="宋体" w:hAnsi="宋体"/>
          <w:color w:val="auto"/>
          <w:sz w:val="24"/>
          <w:highlight w:val="none"/>
        </w:rPr>
        <w:t>（其他补充说明）。</w:t>
      </w:r>
    </w:p>
    <w:p w14:paraId="42137373">
      <w:pPr>
        <w:adjustRightInd w:val="0"/>
        <w:snapToGrid w:val="0"/>
        <w:spacing w:line="560" w:lineRule="exact"/>
        <w:ind w:firstLine="480" w:firstLineChars="200"/>
        <w:rPr>
          <w:rFonts w:hint="eastAsia" w:ascii="宋体" w:hAnsi="宋体"/>
          <w:color w:val="auto"/>
          <w:sz w:val="24"/>
          <w:highlight w:val="none"/>
        </w:rPr>
      </w:pPr>
    </w:p>
    <w:p w14:paraId="4A2F664B">
      <w:pPr>
        <w:adjustRightInd w:val="0"/>
        <w:snapToGrid w:val="0"/>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（签章）</w:t>
      </w:r>
    </w:p>
    <w:p w14:paraId="3E17B40D">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（签章）联系人：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 xml:space="preserve">                 </w:t>
      </w:r>
    </w:p>
    <w:p w14:paraId="1BF2B9BA">
      <w:pPr>
        <w:adjustRightInd w:val="0"/>
        <w:snapToGrid w:val="0"/>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单位地址：</w:t>
      </w:r>
      <w:r>
        <w:rPr>
          <w:rFonts w:hint="eastAsia" w:ascii="宋体" w:hAnsi="宋体"/>
          <w:color w:val="auto"/>
          <w:sz w:val="24"/>
          <w:highlight w:val="none"/>
          <w:u w:val="single"/>
        </w:rPr>
        <w:t xml:space="preserve">                                       </w:t>
      </w:r>
    </w:p>
    <w:p w14:paraId="72290E2C">
      <w:pPr>
        <w:adjustRightInd w:val="0"/>
        <w:snapToGrid w:val="0"/>
        <w:spacing w:line="560" w:lineRule="exact"/>
        <w:ind w:firstLine="480" w:firstLineChars="200"/>
        <w:rPr>
          <w:rFonts w:ascii="宋体" w:hAnsi="宋体"/>
          <w:color w:val="auto"/>
          <w:sz w:val="24"/>
          <w:highlight w:val="none"/>
          <w:u w:val="single"/>
        </w:rPr>
      </w:pPr>
      <w:r>
        <w:rPr>
          <w:rFonts w:hint="eastAsia" w:ascii="宋体" w:hAnsi="宋体"/>
          <w:color w:val="auto"/>
          <w:sz w:val="24"/>
          <w:highlight w:val="none"/>
        </w:rPr>
        <w:t>邮政编码：</w:t>
      </w:r>
      <w:r>
        <w:rPr>
          <w:rFonts w:ascii="宋体" w:hAnsi="宋体"/>
          <w:color w:val="auto"/>
          <w:sz w:val="24"/>
          <w:highlight w:val="none"/>
          <w:u w:val="single"/>
        </w:rPr>
        <w:t xml:space="preserve">            </w:t>
      </w:r>
      <w:r>
        <w:rPr>
          <w:rFonts w:hint="eastAsia" w:ascii="宋体" w:hAnsi="宋体"/>
          <w:color w:val="auto"/>
          <w:sz w:val="24"/>
          <w:highlight w:val="none"/>
        </w:rPr>
        <w:t>联系人手机号码：</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传真：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B6B8EDE">
      <w:pPr>
        <w:adjustRightInd w:val="0"/>
        <w:snapToGrid w:val="0"/>
        <w:spacing w:line="560" w:lineRule="exact"/>
        <w:ind w:firstLine="480" w:firstLineChars="200"/>
        <w:rPr>
          <w:color w:val="auto"/>
          <w:szCs w:val="21"/>
          <w:highlight w:val="none"/>
          <w:u w:val="single"/>
        </w:rPr>
      </w:pPr>
      <w:r>
        <w:rPr>
          <w:rFonts w:hint="eastAsia" w:ascii="宋体" w:hAnsi="宋体"/>
          <w:color w:val="auto"/>
          <w:sz w:val="24"/>
          <w:highlight w:val="none"/>
        </w:rPr>
        <w:t>日期：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5B5391C8">
      <w:pPr>
        <w:pStyle w:val="8"/>
        <w:adjustRightInd w:val="0"/>
        <w:snapToGrid w:val="0"/>
        <w:spacing w:before="0" w:after="0" w:line="560" w:lineRule="exact"/>
        <w:jc w:val="center"/>
        <w:rPr>
          <w:color w:val="auto"/>
          <w:highlight w:val="none"/>
        </w:rPr>
        <w:sectPr>
          <w:headerReference r:id="rId6" w:type="default"/>
          <w:footerReference r:id="rId7" w:type="default"/>
          <w:pgSz w:w="11910" w:h="16840"/>
          <w:pgMar w:top="1060" w:right="660" w:bottom="1020" w:left="1120" w:header="0" w:footer="833" w:gutter="0"/>
          <w:cols w:space="720" w:num="1"/>
        </w:sectPr>
      </w:pPr>
      <w:bookmarkStart w:id="1049" w:name="_Toc95223544"/>
    </w:p>
    <w:bookmarkEnd w:id="1049"/>
    <w:p w14:paraId="3C2CA66A">
      <w:pPr>
        <w:pStyle w:val="8"/>
        <w:adjustRightInd w:val="0"/>
        <w:snapToGrid w:val="0"/>
        <w:spacing w:before="0" w:after="0" w:line="560" w:lineRule="exact"/>
        <w:jc w:val="center"/>
        <w:rPr>
          <w:rFonts w:hint="eastAsia"/>
          <w:color w:val="auto"/>
          <w:highlight w:val="none"/>
        </w:rPr>
      </w:pPr>
      <w:bookmarkStart w:id="1050" w:name="_Toc95223545"/>
      <w:r>
        <w:rPr>
          <w:rFonts w:hint="eastAsia"/>
          <w:color w:val="auto"/>
          <w:highlight w:val="none"/>
        </w:rPr>
        <w:t>（2）工程量清单报价书</w:t>
      </w:r>
    </w:p>
    <w:p w14:paraId="229E6DE0">
      <w:pPr>
        <w:jc w:val="center"/>
        <w:rPr>
          <w:rFonts w:ascii="Calibri" w:hAnsi="Calibri"/>
          <w:color w:val="auto"/>
          <w:sz w:val="32"/>
          <w:szCs w:val="32"/>
          <w:highlight w:val="none"/>
        </w:rPr>
      </w:pPr>
    </w:p>
    <w:p w14:paraId="2092E749">
      <w:pPr>
        <w:jc w:val="center"/>
        <w:rPr>
          <w:rFonts w:ascii="Calibri" w:hAnsi="Calibri"/>
          <w:color w:val="auto"/>
          <w:sz w:val="32"/>
          <w:szCs w:val="32"/>
          <w:highlight w:val="none"/>
        </w:rPr>
      </w:pPr>
      <w:r>
        <w:rPr>
          <w:rFonts w:hint="eastAsia" w:ascii="仿宋_GB2312" w:hAnsi="Calibri" w:eastAsia="仿宋_GB2312"/>
          <w:b/>
          <w:color w:val="auto"/>
          <w:sz w:val="36"/>
          <w:szCs w:val="36"/>
          <w:highlight w:val="none"/>
        </w:rPr>
        <w:t>①</w:t>
      </w:r>
      <w:r>
        <w:rPr>
          <w:rFonts w:hint="eastAsia" w:ascii="Calibri" w:hAnsi="Calibri"/>
          <w:b/>
          <w:color w:val="auto"/>
          <w:sz w:val="36"/>
          <w:szCs w:val="36"/>
          <w:highlight w:val="none"/>
        </w:rPr>
        <w:t>工程量清单报价书（封面）</w:t>
      </w:r>
      <w:r>
        <w:rPr>
          <w:rFonts w:hint="eastAsia" w:ascii="Calibri" w:hAnsi="Calibri"/>
          <w:color w:val="auto"/>
          <w:sz w:val="32"/>
          <w:szCs w:val="32"/>
          <w:highlight w:val="none"/>
          <w:vertAlign w:val="superscript"/>
        </w:rPr>
        <w:t>1</w:t>
      </w:r>
    </w:p>
    <w:p w14:paraId="55492B33">
      <w:pPr>
        <w:jc w:val="center"/>
        <w:rPr>
          <w:rFonts w:ascii="Calibri" w:hAnsi="Calibri"/>
          <w:b/>
          <w:color w:val="auto"/>
          <w:sz w:val="32"/>
          <w:szCs w:val="32"/>
          <w:highlight w:val="none"/>
        </w:rPr>
      </w:pPr>
    </w:p>
    <w:p w14:paraId="286BA557">
      <w:pPr>
        <w:ind w:firstLine="643" w:firstLineChars="200"/>
        <w:jc w:val="center"/>
        <w:rPr>
          <w:rFonts w:ascii="Calibri" w:hAnsi="Calibri"/>
          <w:b/>
          <w:color w:val="auto"/>
          <w:sz w:val="32"/>
          <w:szCs w:val="32"/>
          <w:highlight w:val="none"/>
        </w:rPr>
      </w:pPr>
      <w:r>
        <w:rPr>
          <w:rFonts w:hint="eastAsia" w:ascii="Calibri" w:hAnsi="Calibri"/>
          <w:b/>
          <w:color w:val="auto"/>
          <w:sz w:val="32"/>
          <w:szCs w:val="32"/>
          <w:highlight w:val="none"/>
        </w:rPr>
        <w:t>投标总价</w:t>
      </w:r>
    </w:p>
    <w:p w14:paraId="3490060A">
      <w:pPr>
        <w:spacing w:line="800" w:lineRule="exact"/>
        <w:ind w:firstLine="640" w:firstLineChars="200"/>
        <w:rPr>
          <w:rFonts w:ascii="Calibri" w:hAnsi="Calibri"/>
          <w:color w:val="auto"/>
          <w:sz w:val="32"/>
          <w:szCs w:val="32"/>
          <w:highlight w:val="none"/>
          <w:u w:val="single"/>
        </w:rPr>
      </w:pPr>
      <w:r>
        <w:rPr>
          <w:rFonts w:hint="eastAsia" w:ascii="Calibri" w:hAnsi="Calibri"/>
          <w:color w:val="auto"/>
          <w:sz w:val="32"/>
          <w:szCs w:val="32"/>
          <w:highlight w:val="none"/>
        </w:rPr>
        <w:t>招标人：</w:t>
      </w:r>
      <w:r>
        <w:rPr>
          <w:rFonts w:hint="eastAsia" w:ascii="Calibri" w:hAnsi="Calibri"/>
          <w:color w:val="auto"/>
          <w:sz w:val="32"/>
          <w:szCs w:val="32"/>
          <w:highlight w:val="none"/>
          <w:u w:val="single"/>
        </w:rPr>
        <w:t xml:space="preserve">                                                 </w:t>
      </w:r>
    </w:p>
    <w:p w14:paraId="2E3FF9B7">
      <w:pPr>
        <w:spacing w:line="800" w:lineRule="exact"/>
        <w:ind w:firstLine="640" w:firstLineChars="200"/>
        <w:rPr>
          <w:rFonts w:ascii="Calibri" w:hAnsi="Calibri"/>
          <w:color w:val="auto"/>
          <w:sz w:val="32"/>
          <w:szCs w:val="32"/>
          <w:highlight w:val="none"/>
        </w:rPr>
      </w:pPr>
      <w:r>
        <w:rPr>
          <w:rFonts w:hint="eastAsia" w:ascii="Calibri" w:hAnsi="Calibri"/>
          <w:color w:val="auto"/>
          <w:sz w:val="32"/>
          <w:szCs w:val="32"/>
          <w:highlight w:val="none"/>
        </w:rPr>
        <w:t>工程名称：</w:t>
      </w:r>
      <w:r>
        <w:rPr>
          <w:rFonts w:hint="eastAsia" w:ascii="Calibri" w:hAnsi="Calibri"/>
          <w:color w:val="auto"/>
          <w:sz w:val="32"/>
          <w:szCs w:val="32"/>
          <w:highlight w:val="none"/>
          <w:u w:val="single"/>
        </w:rPr>
        <w:t xml:space="preserve">                                               </w:t>
      </w:r>
    </w:p>
    <w:p w14:paraId="4089071D">
      <w:pPr>
        <w:spacing w:line="800" w:lineRule="exact"/>
        <w:ind w:firstLine="640" w:firstLineChars="200"/>
        <w:rPr>
          <w:rFonts w:ascii="Calibri" w:hAnsi="Calibri"/>
          <w:color w:val="auto"/>
          <w:sz w:val="32"/>
          <w:szCs w:val="32"/>
          <w:highlight w:val="none"/>
          <w:u w:val="single"/>
        </w:rPr>
      </w:pPr>
      <w:r>
        <w:rPr>
          <w:rFonts w:hint="eastAsia" w:ascii="Calibri" w:hAnsi="Calibri"/>
          <w:color w:val="auto"/>
          <w:sz w:val="32"/>
          <w:szCs w:val="32"/>
          <w:highlight w:val="none"/>
        </w:rPr>
        <w:t>投标总价（小写）：</w:t>
      </w:r>
      <w:r>
        <w:rPr>
          <w:rFonts w:hint="eastAsia" w:ascii="Calibri" w:hAnsi="Calibri"/>
          <w:color w:val="auto"/>
          <w:sz w:val="32"/>
          <w:szCs w:val="32"/>
          <w:highlight w:val="none"/>
          <w:u w:val="single"/>
        </w:rPr>
        <w:t xml:space="preserve">                                       </w:t>
      </w:r>
    </w:p>
    <w:p w14:paraId="42D232DD">
      <w:pPr>
        <w:spacing w:line="800" w:lineRule="exact"/>
        <w:ind w:firstLine="1920" w:firstLineChars="600"/>
        <w:rPr>
          <w:rFonts w:ascii="Calibri" w:hAnsi="Calibri"/>
          <w:color w:val="auto"/>
          <w:sz w:val="32"/>
          <w:szCs w:val="32"/>
          <w:highlight w:val="none"/>
        </w:rPr>
      </w:pPr>
      <w:r>
        <w:rPr>
          <w:rFonts w:hint="eastAsia" w:ascii="Calibri" w:hAnsi="Calibri"/>
          <w:color w:val="auto"/>
          <w:sz w:val="32"/>
          <w:szCs w:val="32"/>
          <w:highlight w:val="none"/>
        </w:rPr>
        <w:t>（大写）：</w:t>
      </w:r>
      <w:r>
        <w:rPr>
          <w:rFonts w:hint="eastAsia" w:ascii="Calibri" w:hAnsi="Calibri"/>
          <w:color w:val="auto"/>
          <w:sz w:val="32"/>
          <w:szCs w:val="32"/>
          <w:highlight w:val="none"/>
          <w:u w:val="single"/>
        </w:rPr>
        <w:t xml:space="preserve">                                       </w:t>
      </w:r>
    </w:p>
    <w:p w14:paraId="17EF4FC3">
      <w:pPr>
        <w:spacing w:line="800" w:lineRule="exact"/>
        <w:ind w:firstLine="640" w:firstLineChars="200"/>
        <w:rPr>
          <w:rFonts w:ascii="Calibri" w:hAnsi="Calibri"/>
          <w:color w:val="auto"/>
          <w:sz w:val="32"/>
          <w:szCs w:val="32"/>
          <w:highlight w:val="none"/>
        </w:rPr>
      </w:pPr>
    </w:p>
    <w:p w14:paraId="30171593">
      <w:pPr>
        <w:spacing w:line="800" w:lineRule="exact"/>
        <w:ind w:firstLine="640" w:firstLineChars="200"/>
        <w:rPr>
          <w:rFonts w:ascii="Calibri" w:hAnsi="Calibri"/>
          <w:color w:val="auto"/>
          <w:sz w:val="32"/>
          <w:szCs w:val="32"/>
          <w:highlight w:val="none"/>
        </w:rPr>
      </w:pPr>
      <w:r>
        <w:rPr>
          <w:rFonts w:hint="eastAsia" w:ascii="Calibri" w:hAnsi="Calibri"/>
          <w:color w:val="auto"/>
          <w:sz w:val="32"/>
          <w:szCs w:val="32"/>
          <w:highlight w:val="none"/>
        </w:rPr>
        <w:t>投 标 人：</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 xml:space="preserve"> (单位盖章)</w:t>
      </w:r>
    </w:p>
    <w:p w14:paraId="3EAD4CF2">
      <w:pPr>
        <w:spacing w:line="800" w:lineRule="exact"/>
        <w:ind w:firstLine="640" w:firstLineChars="200"/>
        <w:rPr>
          <w:rFonts w:ascii="Calibri" w:hAnsi="Calibri"/>
          <w:color w:val="auto"/>
          <w:sz w:val="32"/>
          <w:szCs w:val="32"/>
          <w:highlight w:val="none"/>
        </w:rPr>
      </w:pPr>
    </w:p>
    <w:p w14:paraId="66381DB2">
      <w:pPr>
        <w:spacing w:line="800" w:lineRule="exact"/>
        <w:ind w:firstLine="640" w:firstLineChars="200"/>
        <w:rPr>
          <w:rFonts w:ascii="Calibri" w:hAnsi="Calibri"/>
          <w:color w:val="auto"/>
          <w:sz w:val="32"/>
          <w:szCs w:val="32"/>
          <w:highlight w:val="none"/>
        </w:rPr>
      </w:pPr>
      <w:r>
        <w:rPr>
          <w:rFonts w:hint="eastAsia" w:ascii="Calibri" w:hAnsi="Calibri"/>
          <w:color w:val="auto"/>
          <w:sz w:val="32"/>
          <w:szCs w:val="32"/>
          <w:highlight w:val="none"/>
        </w:rPr>
        <w:t>法定代表人：</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 xml:space="preserve"> (签字或盖章)</w:t>
      </w:r>
    </w:p>
    <w:p w14:paraId="05CC944E">
      <w:pPr>
        <w:spacing w:line="800" w:lineRule="exact"/>
        <w:ind w:firstLine="640" w:firstLineChars="200"/>
        <w:rPr>
          <w:rFonts w:ascii="Calibri" w:hAnsi="Calibri"/>
          <w:color w:val="auto"/>
          <w:sz w:val="32"/>
          <w:szCs w:val="32"/>
          <w:highlight w:val="none"/>
        </w:rPr>
      </w:pPr>
    </w:p>
    <w:p w14:paraId="24C41DDE">
      <w:pPr>
        <w:spacing w:line="800" w:lineRule="exact"/>
        <w:ind w:firstLine="640" w:firstLineChars="200"/>
        <w:rPr>
          <w:rFonts w:ascii="Calibri" w:hAnsi="Calibri"/>
          <w:color w:val="auto"/>
          <w:sz w:val="32"/>
          <w:szCs w:val="32"/>
          <w:highlight w:val="none"/>
          <w:u w:val="single"/>
        </w:rPr>
      </w:pPr>
      <w:r>
        <w:rPr>
          <w:rFonts w:hint="eastAsia" w:ascii="Calibri" w:hAnsi="Calibri"/>
          <w:color w:val="auto"/>
          <w:sz w:val="32"/>
          <w:szCs w:val="32"/>
          <w:highlight w:val="none"/>
        </w:rPr>
        <w:t>编制人：</w:t>
      </w:r>
      <w:r>
        <w:rPr>
          <w:rFonts w:hint="eastAsia" w:ascii="Calibri" w:hAnsi="Calibri"/>
          <w:color w:val="auto"/>
          <w:sz w:val="32"/>
          <w:szCs w:val="32"/>
          <w:highlight w:val="none"/>
          <w:u w:val="single"/>
        </w:rPr>
        <w:t xml:space="preserve">                                                 </w:t>
      </w:r>
    </w:p>
    <w:p w14:paraId="1EBBB111">
      <w:pPr>
        <w:spacing w:line="800" w:lineRule="exact"/>
        <w:ind w:firstLine="2720" w:firstLineChars="850"/>
        <w:rPr>
          <w:rFonts w:ascii="Calibri" w:hAnsi="Calibri"/>
          <w:color w:val="auto"/>
          <w:sz w:val="32"/>
          <w:szCs w:val="32"/>
          <w:highlight w:val="none"/>
          <w:u w:val="single"/>
        </w:rPr>
      </w:pPr>
      <w:r>
        <w:rPr>
          <w:rFonts w:hint="eastAsia" w:ascii="Calibri" w:hAnsi="Calibri"/>
          <w:color w:val="auto"/>
          <w:sz w:val="32"/>
          <w:szCs w:val="32"/>
          <w:highlight w:val="none"/>
        </w:rPr>
        <w:t xml:space="preserve"> (注册造价工程师签字并盖执业专用章)</w:t>
      </w:r>
    </w:p>
    <w:p w14:paraId="418AF6D3">
      <w:pPr>
        <w:spacing w:line="800" w:lineRule="exact"/>
        <w:ind w:firstLine="640" w:firstLineChars="200"/>
        <w:rPr>
          <w:rFonts w:ascii="Calibri" w:hAnsi="Calibri"/>
          <w:color w:val="auto"/>
          <w:sz w:val="32"/>
          <w:szCs w:val="32"/>
          <w:highlight w:val="none"/>
        </w:rPr>
      </w:pPr>
    </w:p>
    <w:p w14:paraId="24F6CC64">
      <w:pPr>
        <w:spacing w:line="800" w:lineRule="exact"/>
        <w:ind w:firstLine="640" w:firstLineChars="200"/>
        <w:rPr>
          <w:rFonts w:ascii="Calibri" w:hAnsi="Calibri"/>
          <w:color w:val="auto"/>
          <w:sz w:val="32"/>
          <w:szCs w:val="32"/>
          <w:highlight w:val="none"/>
        </w:rPr>
      </w:pPr>
      <w:r>
        <w:rPr>
          <w:rFonts w:hint="eastAsia" w:ascii="Calibri" w:hAnsi="Calibri"/>
          <w:color w:val="auto"/>
          <w:sz w:val="32"/>
          <w:szCs w:val="32"/>
          <w:highlight w:val="none"/>
        </w:rPr>
        <w:t>编制时间：</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年</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月</w:t>
      </w:r>
      <w:r>
        <w:rPr>
          <w:rFonts w:hint="eastAsia" w:ascii="Calibri" w:hAnsi="Calibri"/>
          <w:color w:val="auto"/>
          <w:sz w:val="32"/>
          <w:szCs w:val="32"/>
          <w:highlight w:val="none"/>
          <w:u w:val="single"/>
        </w:rPr>
        <w:t xml:space="preserve">          </w:t>
      </w:r>
      <w:r>
        <w:rPr>
          <w:rFonts w:hint="eastAsia" w:ascii="Calibri" w:hAnsi="Calibri"/>
          <w:color w:val="auto"/>
          <w:sz w:val="32"/>
          <w:szCs w:val="32"/>
          <w:highlight w:val="none"/>
        </w:rPr>
        <w:t>日</w:t>
      </w:r>
    </w:p>
    <w:p w14:paraId="535882F9">
      <w:pPr>
        <w:rPr>
          <w:rFonts w:ascii="Calibri" w:hAnsi="Calibri"/>
          <w:color w:val="auto"/>
          <w:sz w:val="32"/>
          <w:szCs w:val="32"/>
          <w:highlight w:val="none"/>
        </w:rPr>
      </w:pPr>
    </w:p>
    <w:p w14:paraId="4DBC01CA">
      <w:pPr>
        <w:rPr>
          <w:rFonts w:ascii="宋体" w:hAnsi="宋体"/>
          <w:color w:val="auto"/>
          <w:sz w:val="18"/>
          <w:szCs w:val="18"/>
          <w:highlight w:val="none"/>
        </w:rPr>
      </w:pPr>
      <w:r>
        <w:rPr>
          <w:rFonts w:hint="eastAsia" w:ascii="宋体" w:hAnsi="宋体"/>
          <w:color w:val="auto"/>
          <w:sz w:val="18"/>
          <w:szCs w:val="18"/>
          <w:highlight w:val="none"/>
        </w:rPr>
        <w:t>1注：投标文件格式中工程量清单报价书（封面）及投标报价编制人信息表与投标文件制作工具导出文件不一致的，以投标文件格式文件为准。</w:t>
      </w:r>
    </w:p>
    <w:p w14:paraId="4E6CCE20">
      <w:pPr>
        <w:jc w:val="center"/>
        <w:rPr>
          <w:rFonts w:hint="eastAsia" w:ascii="宋体" w:hAnsi="宋体"/>
          <w:color w:val="auto"/>
          <w:sz w:val="32"/>
          <w:szCs w:val="32"/>
          <w:highlight w:val="none"/>
        </w:rPr>
      </w:pPr>
    </w:p>
    <w:p w14:paraId="6EDE2CB5">
      <w:pPr>
        <w:rPr>
          <w:rFonts w:hint="eastAsia" w:ascii="宋体" w:hAnsi="宋体"/>
          <w:color w:val="auto"/>
          <w:sz w:val="32"/>
          <w:szCs w:val="32"/>
          <w:highlight w:val="none"/>
        </w:rPr>
      </w:pPr>
    </w:p>
    <w:p w14:paraId="76E3BEF3">
      <w:pPr>
        <w:jc w:val="center"/>
        <w:rPr>
          <w:rFonts w:hint="eastAsia" w:ascii="宋体" w:hAnsi="宋体"/>
          <w:color w:val="auto"/>
          <w:sz w:val="32"/>
          <w:szCs w:val="32"/>
          <w:highlight w:val="none"/>
        </w:rPr>
      </w:pPr>
    </w:p>
    <w:p w14:paraId="118193F4">
      <w:pPr>
        <w:jc w:val="center"/>
        <w:rPr>
          <w:rFonts w:ascii="Calibri" w:hAnsi="Calibri"/>
          <w:color w:val="auto"/>
          <w:sz w:val="32"/>
          <w:szCs w:val="32"/>
          <w:highlight w:val="none"/>
        </w:rPr>
      </w:pPr>
      <w:r>
        <w:rPr>
          <w:rFonts w:hint="eastAsia" w:ascii="宋体" w:hAnsi="宋体"/>
          <w:color w:val="auto"/>
          <w:sz w:val="32"/>
          <w:szCs w:val="32"/>
          <w:highlight w:val="none"/>
        </w:rPr>
        <w:t>②</w:t>
      </w:r>
      <w:r>
        <w:rPr>
          <w:rFonts w:hint="eastAsia" w:ascii="Calibri" w:hAnsi="Calibri"/>
          <w:color w:val="auto"/>
          <w:sz w:val="32"/>
          <w:szCs w:val="32"/>
          <w:highlight w:val="none"/>
        </w:rPr>
        <w:t>投标报价编制人信息表</w:t>
      </w:r>
      <w:r>
        <w:rPr>
          <w:rFonts w:hint="eastAsia" w:ascii="Calibri" w:hAnsi="Calibri"/>
          <w:color w:val="auto"/>
          <w:sz w:val="32"/>
          <w:szCs w:val="32"/>
          <w:highlight w:val="none"/>
          <w:vertAlign w:val="superscript"/>
        </w:rPr>
        <w:t>1</w:t>
      </w:r>
    </w:p>
    <w:p w14:paraId="27A04562">
      <w:pPr>
        <w:jc w:val="center"/>
        <w:rPr>
          <w:rFonts w:ascii="Calibri" w:hAnsi="Calibri"/>
          <w:color w:val="auto"/>
          <w:sz w:val="32"/>
          <w:szCs w:val="32"/>
          <w:highlight w:val="none"/>
        </w:rPr>
      </w:pPr>
    </w:p>
    <w:tbl>
      <w:tblPr>
        <w:tblStyle w:val="47"/>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16"/>
        <w:gridCol w:w="2951"/>
        <w:gridCol w:w="1737"/>
        <w:gridCol w:w="1563"/>
        <w:gridCol w:w="1967"/>
      </w:tblGrid>
      <w:tr w14:paraId="52C1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27" w:type="dxa"/>
            <w:noWrap w:val="0"/>
            <w:vAlign w:val="center"/>
          </w:tcPr>
          <w:p w14:paraId="0CCB8057">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r>
              <w:rPr>
                <w:rFonts w:hint="eastAsia" w:ascii="Calibri" w:hAnsi="Calibri"/>
                <w:color w:val="auto"/>
                <w:szCs w:val="22"/>
                <w:highlight w:val="none"/>
              </w:rPr>
              <w:t>序号</w:t>
            </w:r>
          </w:p>
        </w:tc>
        <w:tc>
          <w:tcPr>
            <w:tcW w:w="1216" w:type="dxa"/>
            <w:noWrap w:val="0"/>
            <w:vAlign w:val="center"/>
          </w:tcPr>
          <w:p w14:paraId="1E18C08B">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r>
              <w:rPr>
                <w:rFonts w:hint="eastAsia" w:ascii="Calibri" w:hAnsi="Calibri"/>
                <w:color w:val="auto"/>
                <w:szCs w:val="22"/>
                <w:highlight w:val="none"/>
              </w:rPr>
              <w:t>姓名</w:t>
            </w:r>
          </w:p>
        </w:tc>
        <w:tc>
          <w:tcPr>
            <w:tcW w:w="2951" w:type="dxa"/>
            <w:noWrap w:val="0"/>
            <w:vAlign w:val="center"/>
          </w:tcPr>
          <w:p w14:paraId="595CF280">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r>
              <w:rPr>
                <w:rFonts w:hint="eastAsia" w:ascii="Calibri" w:hAnsi="Calibri"/>
                <w:color w:val="auto"/>
                <w:szCs w:val="22"/>
                <w:highlight w:val="none"/>
              </w:rPr>
              <w:t>身份证号码</w:t>
            </w:r>
          </w:p>
        </w:tc>
        <w:tc>
          <w:tcPr>
            <w:tcW w:w="1737" w:type="dxa"/>
            <w:noWrap w:val="0"/>
            <w:vAlign w:val="center"/>
          </w:tcPr>
          <w:p w14:paraId="42BEB62B">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r>
              <w:rPr>
                <w:rFonts w:hint="eastAsia" w:ascii="Calibri" w:hAnsi="Calibri"/>
                <w:color w:val="auto"/>
                <w:szCs w:val="22"/>
                <w:highlight w:val="none"/>
              </w:rPr>
              <w:t>手机号码</w:t>
            </w:r>
          </w:p>
        </w:tc>
        <w:tc>
          <w:tcPr>
            <w:tcW w:w="1563" w:type="dxa"/>
            <w:noWrap w:val="0"/>
            <w:vAlign w:val="center"/>
          </w:tcPr>
          <w:p w14:paraId="2A74C82D">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r>
              <w:rPr>
                <w:rFonts w:hint="eastAsia" w:ascii="Calibri" w:hAnsi="Calibri"/>
                <w:color w:val="auto"/>
                <w:szCs w:val="22"/>
                <w:highlight w:val="none"/>
              </w:rPr>
              <w:t>单位名称</w:t>
            </w:r>
          </w:p>
        </w:tc>
        <w:tc>
          <w:tcPr>
            <w:tcW w:w="1967" w:type="dxa"/>
            <w:noWrap w:val="0"/>
            <w:vAlign w:val="center"/>
          </w:tcPr>
          <w:p w14:paraId="027876DE">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r>
              <w:rPr>
                <w:rFonts w:hint="eastAsia" w:ascii="Calibri" w:hAnsi="Calibri"/>
                <w:color w:val="auto"/>
                <w:szCs w:val="22"/>
                <w:highlight w:val="none"/>
              </w:rPr>
              <w:t>注册造价工程师注册证书号</w:t>
            </w:r>
          </w:p>
        </w:tc>
      </w:tr>
      <w:tr w14:paraId="3D74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7" w:type="dxa"/>
            <w:noWrap w:val="0"/>
            <w:vAlign w:val="center"/>
          </w:tcPr>
          <w:p w14:paraId="23499BF2">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1216" w:type="dxa"/>
            <w:noWrap w:val="0"/>
            <w:vAlign w:val="center"/>
          </w:tcPr>
          <w:p w14:paraId="495BCD56">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2951" w:type="dxa"/>
            <w:noWrap w:val="0"/>
            <w:vAlign w:val="center"/>
          </w:tcPr>
          <w:p w14:paraId="01FB5E4E">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1737" w:type="dxa"/>
            <w:noWrap w:val="0"/>
            <w:vAlign w:val="center"/>
          </w:tcPr>
          <w:p w14:paraId="7CCA7AAD">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1563" w:type="dxa"/>
            <w:noWrap w:val="0"/>
            <w:vAlign w:val="center"/>
          </w:tcPr>
          <w:p w14:paraId="27667C8F">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1967" w:type="dxa"/>
            <w:noWrap w:val="0"/>
            <w:vAlign w:val="center"/>
          </w:tcPr>
          <w:p w14:paraId="2B4E175A">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r>
      <w:tr w14:paraId="0A4B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7" w:type="dxa"/>
            <w:noWrap w:val="0"/>
            <w:vAlign w:val="center"/>
          </w:tcPr>
          <w:p w14:paraId="5A7EA6B1">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1216" w:type="dxa"/>
            <w:noWrap w:val="0"/>
            <w:vAlign w:val="center"/>
          </w:tcPr>
          <w:p w14:paraId="0004E7D3">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2951" w:type="dxa"/>
            <w:noWrap w:val="0"/>
            <w:vAlign w:val="center"/>
          </w:tcPr>
          <w:p w14:paraId="4A106C46">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1737" w:type="dxa"/>
            <w:noWrap w:val="0"/>
            <w:vAlign w:val="center"/>
          </w:tcPr>
          <w:p w14:paraId="443EA188">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1563" w:type="dxa"/>
            <w:noWrap w:val="0"/>
            <w:vAlign w:val="center"/>
          </w:tcPr>
          <w:p w14:paraId="63BF106C">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c>
          <w:tcPr>
            <w:tcW w:w="1967" w:type="dxa"/>
            <w:noWrap w:val="0"/>
            <w:vAlign w:val="center"/>
          </w:tcPr>
          <w:p w14:paraId="4AF4C6A1">
            <w:pPr>
              <w:keepNext w:val="0"/>
              <w:keepLines w:val="0"/>
              <w:suppressLineNumbers w:val="0"/>
              <w:spacing w:before="0" w:beforeAutospacing="0" w:after="0" w:afterAutospacing="0"/>
              <w:ind w:left="0" w:right="0"/>
              <w:jc w:val="center"/>
              <w:rPr>
                <w:rFonts w:hint="default" w:ascii="Calibri" w:hAnsi="Calibri"/>
                <w:color w:val="auto"/>
                <w:szCs w:val="22"/>
                <w:highlight w:val="none"/>
              </w:rPr>
            </w:pPr>
          </w:p>
        </w:tc>
      </w:tr>
    </w:tbl>
    <w:p w14:paraId="3471054D">
      <w:pPr>
        <w:rPr>
          <w:rFonts w:ascii="宋体" w:hAnsi="宋体"/>
          <w:b/>
          <w:color w:val="auto"/>
          <w:sz w:val="24"/>
          <w:highlight w:val="none"/>
        </w:rPr>
      </w:pPr>
    </w:p>
    <w:p w14:paraId="67F56E31">
      <w:pPr>
        <w:spacing w:line="560" w:lineRule="exact"/>
        <w:rPr>
          <w:rFonts w:ascii="宋体" w:hAnsi="宋体"/>
          <w:b/>
          <w:color w:val="auto"/>
          <w:sz w:val="24"/>
          <w:highlight w:val="none"/>
        </w:rPr>
      </w:pPr>
      <w:r>
        <w:rPr>
          <w:rFonts w:hint="eastAsia" w:ascii="宋体" w:hAnsi="宋体"/>
          <w:b/>
          <w:color w:val="auto"/>
          <w:sz w:val="24"/>
          <w:highlight w:val="none"/>
        </w:rPr>
        <w:t>注：</w:t>
      </w:r>
    </w:p>
    <w:p w14:paraId="7515604D">
      <w:pPr>
        <w:spacing w:line="560" w:lineRule="exact"/>
        <w:rPr>
          <w:rFonts w:ascii="宋体" w:hAnsi="宋体"/>
          <w:color w:val="auto"/>
          <w:sz w:val="24"/>
          <w:highlight w:val="none"/>
        </w:rPr>
      </w:pPr>
      <w:r>
        <w:rPr>
          <w:rFonts w:hint="eastAsia" w:ascii="宋体" w:hAnsi="宋体"/>
          <w:color w:val="auto"/>
          <w:sz w:val="24"/>
          <w:highlight w:val="none"/>
        </w:rPr>
        <w:t>1. 提供投标报价编制人员的注册造价工程师证书扫描件或影印件；</w:t>
      </w:r>
    </w:p>
    <w:p w14:paraId="02739D9E">
      <w:pPr>
        <w:spacing w:line="560" w:lineRule="exact"/>
        <w:rPr>
          <w:rFonts w:ascii="宋体" w:hAnsi="宋体"/>
          <w:color w:val="auto"/>
          <w:sz w:val="24"/>
          <w:highlight w:val="none"/>
        </w:rPr>
      </w:pPr>
      <w:r>
        <w:rPr>
          <w:rFonts w:hint="eastAsia" w:ascii="宋体" w:hAnsi="宋体"/>
          <w:color w:val="auto"/>
          <w:sz w:val="24"/>
          <w:highlight w:val="none"/>
        </w:rPr>
        <w:t>2. 若投标报价编制人员为投标人委托的造价咨询单位注册造价人员，须提供与造价咨询单位签订的委托协议。</w:t>
      </w:r>
    </w:p>
    <w:p w14:paraId="76DE25A4">
      <w:pPr>
        <w:spacing w:line="560" w:lineRule="exact"/>
        <w:rPr>
          <w:rFonts w:ascii="宋体" w:hAnsi="宋体"/>
          <w:color w:val="auto"/>
          <w:sz w:val="24"/>
          <w:highlight w:val="none"/>
        </w:rPr>
      </w:pPr>
      <w:r>
        <w:rPr>
          <w:rFonts w:hint="eastAsia" w:ascii="宋体" w:hAnsi="宋体"/>
          <w:color w:val="auto"/>
          <w:sz w:val="24"/>
          <w:highlight w:val="none"/>
        </w:rPr>
        <w:t>3. 表格内容将作为公安机关和行政主管部门调查串通投标、允许他人以自己名义从事工程造价业务等违法违规行为的重要依据。</w:t>
      </w:r>
    </w:p>
    <w:p w14:paraId="38181D7F">
      <w:pPr>
        <w:spacing w:line="560" w:lineRule="exact"/>
        <w:rPr>
          <w:rFonts w:ascii="宋体" w:hAnsi="宋体"/>
          <w:color w:val="auto"/>
          <w:sz w:val="24"/>
          <w:highlight w:val="none"/>
        </w:rPr>
      </w:pPr>
      <w:r>
        <w:rPr>
          <w:rFonts w:hint="eastAsia" w:ascii="宋体" w:hAnsi="宋体"/>
          <w:color w:val="auto"/>
          <w:sz w:val="24"/>
          <w:highlight w:val="none"/>
        </w:rPr>
        <w:t>4. 投标人填写内容务必真实准确，否则将承担投标失败、中标无效的风险。</w:t>
      </w:r>
    </w:p>
    <w:p w14:paraId="6332EC9F">
      <w:pPr>
        <w:spacing w:line="560" w:lineRule="exact"/>
        <w:rPr>
          <w:rFonts w:ascii="宋体" w:hAnsi="宋体"/>
          <w:color w:val="auto"/>
          <w:sz w:val="24"/>
          <w:highlight w:val="none"/>
        </w:rPr>
      </w:pPr>
    </w:p>
    <w:p w14:paraId="4A93153C">
      <w:pPr>
        <w:spacing w:line="560" w:lineRule="exact"/>
        <w:rPr>
          <w:rFonts w:ascii="宋体" w:hAnsi="宋体"/>
          <w:color w:val="auto"/>
          <w:sz w:val="24"/>
          <w:highlight w:val="none"/>
        </w:rPr>
      </w:pPr>
    </w:p>
    <w:p w14:paraId="3B50596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③工程量清单报价书正文格式：见2018版“工程量清单计价文件”格式，在滁州市公共资源交易中心网站下载招标文件后，使用投标文件制作工具导出“招标清单文件”，即为“工程量清单计价文件”正文格式。</w:t>
      </w:r>
    </w:p>
    <w:p w14:paraId="397C5358">
      <w:pPr>
        <w:rPr>
          <w:rFonts w:ascii="宋体" w:hAnsi="宋体"/>
          <w:color w:val="auto"/>
          <w:sz w:val="24"/>
          <w:highlight w:val="none"/>
        </w:rPr>
      </w:pPr>
    </w:p>
    <w:p w14:paraId="023760DA">
      <w:pPr>
        <w:rPr>
          <w:rFonts w:ascii="宋体" w:hAnsi="宋体"/>
          <w:color w:val="auto"/>
          <w:sz w:val="24"/>
          <w:highlight w:val="none"/>
        </w:rPr>
      </w:pPr>
    </w:p>
    <w:p w14:paraId="6B7F7084">
      <w:pPr>
        <w:rPr>
          <w:rFonts w:ascii="宋体" w:hAnsi="宋体"/>
          <w:color w:val="auto"/>
          <w:sz w:val="24"/>
          <w:highlight w:val="none"/>
        </w:rPr>
      </w:pPr>
    </w:p>
    <w:p w14:paraId="242768FC">
      <w:pPr>
        <w:rPr>
          <w:rFonts w:ascii="宋体" w:hAnsi="宋体"/>
          <w:color w:val="auto"/>
          <w:sz w:val="24"/>
          <w:highlight w:val="none"/>
        </w:rPr>
      </w:pPr>
    </w:p>
    <w:p w14:paraId="630F85C2">
      <w:pPr>
        <w:rPr>
          <w:rFonts w:ascii="宋体" w:hAnsi="宋体"/>
          <w:color w:val="auto"/>
          <w:sz w:val="24"/>
          <w:highlight w:val="none"/>
        </w:rPr>
      </w:pPr>
    </w:p>
    <w:p w14:paraId="4291AE67">
      <w:pPr>
        <w:rPr>
          <w:rFonts w:ascii="宋体" w:hAnsi="宋体"/>
          <w:color w:val="auto"/>
          <w:sz w:val="22"/>
          <w:highlight w:val="none"/>
        </w:rPr>
      </w:pPr>
    </w:p>
    <w:p w14:paraId="35744078">
      <w:pPr>
        <w:rPr>
          <w:rFonts w:ascii="宋体" w:hAnsi="宋体"/>
          <w:color w:val="auto"/>
          <w:sz w:val="18"/>
          <w:highlight w:val="none"/>
        </w:rPr>
      </w:pPr>
      <w:r>
        <w:rPr>
          <w:rFonts w:hint="eastAsia" w:ascii="宋体" w:hAnsi="宋体"/>
          <w:color w:val="auto"/>
          <w:sz w:val="18"/>
          <w:highlight w:val="none"/>
          <w:vertAlign w:val="superscript"/>
        </w:rPr>
        <w:t>1</w:t>
      </w:r>
      <w:r>
        <w:rPr>
          <w:rFonts w:hint="eastAsia" w:ascii="宋体" w:hAnsi="宋体"/>
          <w:color w:val="auto"/>
          <w:sz w:val="18"/>
          <w:highlight w:val="none"/>
        </w:rPr>
        <w:t>注：投标文件格式中工程量清单报价书（封面）及投标报价编制人信息表与投标文件制作工具导出文件不一致的，以投标文件格式文件为准。</w:t>
      </w:r>
    </w:p>
    <w:p w14:paraId="1FEBEAB9">
      <w:pPr>
        <w:jc w:val="center"/>
        <w:rPr>
          <w:rFonts w:hint="eastAsia" w:ascii="Calibri" w:hAnsi="Calibri"/>
          <w:color w:val="auto"/>
          <w:sz w:val="32"/>
          <w:szCs w:val="32"/>
          <w:highlight w:val="none"/>
        </w:rPr>
      </w:pPr>
    </w:p>
    <w:p w14:paraId="584BF032">
      <w:pPr>
        <w:pStyle w:val="2"/>
        <w:rPr>
          <w:rFonts w:hint="eastAsia"/>
          <w:color w:val="auto"/>
          <w:highlight w:val="none"/>
        </w:rPr>
      </w:pPr>
    </w:p>
    <w:p w14:paraId="382B794B">
      <w:pPr>
        <w:pStyle w:val="8"/>
        <w:adjustRightInd w:val="0"/>
        <w:snapToGrid w:val="0"/>
        <w:spacing w:before="0" w:after="0" w:line="560" w:lineRule="exact"/>
        <w:jc w:val="center"/>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color w:val="auto"/>
          <w:highlight w:val="none"/>
        </w:rPr>
        <w:t>招标人推荐的材料品牌响应表</w:t>
      </w:r>
      <w:bookmarkEnd w:id="1050"/>
    </w:p>
    <w:p w14:paraId="41D7B16E">
      <w:pPr>
        <w:pStyle w:val="21"/>
        <w:tabs>
          <w:tab w:val="left" w:pos="6462"/>
          <w:tab w:val="left" w:pos="6988"/>
          <w:tab w:val="left" w:pos="7722"/>
        </w:tabs>
        <w:adjustRightInd w:val="0"/>
        <w:snapToGrid w:val="0"/>
        <w:spacing w:after="0" w:line="560" w:lineRule="exact"/>
        <w:jc w:val="center"/>
        <w:rPr>
          <w:color w:val="auto"/>
          <w:highlight w:val="none"/>
        </w:rPr>
      </w:pPr>
      <w:r>
        <w:rPr>
          <w:color w:val="auto"/>
          <w:highlight w:val="none"/>
        </w:rPr>
        <w:t>工程</w:t>
      </w:r>
      <w:r>
        <w:rPr>
          <w:color w:val="auto"/>
          <w:spacing w:val="-3"/>
          <w:highlight w:val="none"/>
        </w:rPr>
        <w:t>名</w:t>
      </w:r>
      <w:r>
        <w:rPr>
          <w:color w:val="auto"/>
          <w:highlight w:val="none"/>
        </w:rPr>
        <w:t>称：</w:t>
      </w:r>
      <w:r>
        <w:rPr>
          <w:rFonts w:hint="eastAsia"/>
          <w:color w:val="auto"/>
          <w:highlight w:val="none"/>
        </w:rPr>
        <w:t xml:space="preserve"> </w:t>
      </w:r>
      <w:r>
        <w:rPr>
          <w:color w:val="auto"/>
          <w:highlight w:val="none"/>
        </w:rPr>
        <w:tab/>
      </w:r>
      <w:r>
        <w:rPr>
          <w:color w:val="auto"/>
          <w:highlight w:val="none"/>
        </w:rPr>
        <w:t>第</w:t>
      </w:r>
      <w:r>
        <w:rPr>
          <w:color w:val="auto"/>
          <w:highlight w:val="none"/>
        </w:rPr>
        <w:tab/>
      </w:r>
      <w:r>
        <w:rPr>
          <w:color w:val="auto"/>
          <w:spacing w:val="-3"/>
          <w:highlight w:val="none"/>
        </w:rPr>
        <w:t>页</w:t>
      </w:r>
      <w:r>
        <w:rPr>
          <w:color w:val="auto"/>
          <w:highlight w:val="none"/>
        </w:rPr>
        <w:t>共</w:t>
      </w:r>
      <w:r>
        <w:rPr>
          <w:color w:val="auto"/>
          <w:highlight w:val="none"/>
        </w:rPr>
        <w:tab/>
      </w:r>
      <w:r>
        <w:rPr>
          <w:color w:val="auto"/>
          <w:highlight w:val="none"/>
        </w:rPr>
        <w:t>页</w:t>
      </w:r>
    </w:p>
    <w:p w14:paraId="17A1EA0A">
      <w:pPr>
        <w:pStyle w:val="21"/>
        <w:tabs>
          <w:tab w:val="left" w:pos="6462"/>
          <w:tab w:val="left" w:pos="6988"/>
          <w:tab w:val="left" w:pos="7722"/>
        </w:tabs>
        <w:adjustRightInd w:val="0"/>
        <w:snapToGrid w:val="0"/>
        <w:spacing w:after="0" w:line="560" w:lineRule="exact"/>
        <w:jc w:val="center"/>
        <w:rPr>
          <w:b/>
          <w:color w:val="auto"/>
          <w:sz w:val="28"/>
          <w:highlight w:val="none"/>
        </w:rPr>
      </w:pPr>
      <w:r>
        <w:rPr>
          <w:b/>
          <w:color w:val="auto"/>
          <w:sz w:val="28"/>
          <w:highlight w:val="none"/>
        </w:rPr>
        <w:t>品牌推荐表（如要求）</w:t>
      </w:r>
    </w:p>
    <w:p w14:paraId="2093B7C7">
      <w:pPr>
        <w:pStyle w:val="21"/>
        <w:adjustRightInd w:val="0"/>
        <w:snapToGrid w:val="0"/>
        <w:spacing w:after="0" w:line="560" w:lineRule="exact"/>
        <w:rPr>
          <w:b/>
          <w:color w:val="auto"/>
          <w:sz w:val="5"/>
          <w:highlight w:val="none"/>
        </w:rPr>
      </w:pPr>
    </w:p>
    <w:tbl>
      <w:tblPr>
        <w:tblStyle w:val="47"/>
        <w:tblW w:w="7816" w:type="dxa"/>
        <w:tblInd w:w="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30F3D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36" w:type="dxa"/>
            <w:noWrap w:val="0"/>
            <w:vAlign w:val="top"/>
          </w:tcPr>
          <w:p w14:paraId="3CF3BB44">
            <w:pPr>
              <w:pStyle w:val="96"/>
              <w:keepNext w:val="0"/>
              <w:keepLines w:val="0"/>
              <w:suppressLineNumbers w:val="0"/>
              <w:adjustRightInd w:val="0"/>
              <w:snapToGrid w:val="0"/>
              <w:spacing w:before="0" w:beforeAutospacing="0" w:after="0" w:afterAutospacing="0" w:line="560" w:lineRule="exact"/>
              <w:ind w:left="0" w:right="0"/>
              <w:jc w:val="center"/>
              <w:rPr>
                <w:rFonts w:hint="default" w:ascii="黑体" w:eastAsia="黑体"/>
                <w:color w:val="auto"/>
                <w:highlight w:val="none"/>
              </w:rPr>
            </w:pPr>
            <w:r>
              <w:rPr>
                <w:rFonts w:hint="eastAsia" w:ascii="黑体" w:eastAsia="黑体"/>
                <w:color w:val="auto"/>
                <w:highlight w:val="none"/>
              </w:rPr>
              <w:t>序号</w:t>
            </w:r>
          </w:p>
        </w:tc>
        <w:tc>
          <w:tcPr>
            <w:tcW w:w="1685" w:type="dxa"/>
            <w:noWrap w:val="0"/>
            <w:vAlign w:val="top"/>
          </w:tcPr>
          <w:p w14:paraId="117B9602">
            <w:pPr>
              <w:pStyle w:val="96"/>
              <w:keepNext w:val="0"/>
              <w:keepLines w:val="0"/>
              <w:suppressLineNumbers w:val="0"/>
              <w:adjustRightInd w:val="0"/>
              <w:snapToGrid w:val="0"/>
              <w:spacing w:before="0" w:beforeAutospacing="0" w:after="0" w:afterAutospacing="0" w:line="560" w:lineRule="exact"/>
              <w:ind w:left="0" w:right="0"/>
              <w:rPr>
                <w:rFonts w:hint="default" w:ascii="黑体" w:eastAsia="黑体"/>
                <w:color w:val="auto"/>
                <w:highlight w:val="none"/>
              </w:rPr>
            </w:pPr>
            <w:r>
              <w:rPr>
                <w:rFonts w:hint="eastAsia" w:ascii="黑体" w:eastAsia="黑体"/>
                <w:color w:val="auto"/>
                <w:highlight w:val="none"/>
              </w:rPr>
              <w:t>材料、设备名称</w:t>
            </w:r>
          </w:p>
        </w:tc>
        <w:tc>
          <w:tcPr>
            <w:tcW w:w="794" w:type="dxa"/>
            <w:noWrap w:val="0"/>
            <w:vAlign w:val="top"/>
          </w:tcPr>
          <w:p w14:paraId="5B6EF833">
            <w:pPr>
              <w:pStyle w:val="96"/>
              <w:keepNext w:val="0"/>
              <w:keepLines w:val="0"/>
              <w:suppressLineNumbers w:val="0"/>
              <w:adjustRightInd w:val="0"/>
              <w:snapToGrid w:val="0"/>
              <w:spacing w:before="0" w:beforeAutospacing="0" w:after="0" w:afterAutospacing="0" w:line="560" w:lineRule="exact"/>
              <w:ind w:left="0" w:right="0"/>
              <w:rPr>
                <w:rFonts w:hint="default" w:ascii="黑体" w:eastAsia="黑体"/>
                <w:color w:val="auto"/>
                <w:highlight w:val="none"/>
              </w:rPr>
            </w:pPr>
            <w:r>
              <w:rPr>
                <w:rFonts w:hint="eastAsia" w:ascii="黑体" w:eastAsia="黑体"/>
                <w:color w:val="auto"/>
                <w:highlight w:val="none"/>
              </w:rPr>
              <w:t>品牌 1</w:t>
            </w:r>
          </w:p>
        </w:tc>
        <w:tc>
          <w:tcPr>
            <w:tcW w:w="794" w:type="dxa"/>
            <w:noWrap w:val="0"/>
            <w:vAlign w:val="top"/>
          </w:tcPr>
          <w:p w14:paraId="1523FDA3">
            <w:pPr>
              <w:pStyle w:val="96"/>
              <w:keepNext w:val="0"/>
              <w:keepLines w:val="0"/>
              <w:suppressLineNumbers w:val="0"/>
              <w:adjustRightInd w:val="0"/>
              <w:snapToGrid w:val="0"/>
              <w:spacing w:before="0" w:beforeAutospacing="0" w:after="0" w:afterAutospacing="0" w:line="560" w:lineRule="exact"/>
              <w:ind w:left="0" w:right="0"/>
              <w:rPr>
                <w:rFonts w:hint="default" w:ascii="黑体" w:eastAsia="黑体"/>
                <w:color w:val="auto"/>
                <w:highlight w:val="none"/>
              </w:rPr>
            </w:pPr>
            <w:r>
              <w:rPr>
                <w:rFonts w:hint="eastAsia" w:ascii="黑体" w:eastAsia="黑体"/>
                <w:color w:val="auto"/>
                <w:highlight w:val="none"/>
              </w:rPr>
              <w:t>品牌 2</w:t>
            </w:r>
          </w:p>
        </w:tc>
        <w:tc>
          <w:tcPr>
            <w:tcW w:w="794" w:type="dxa"/>
            <w:noWrap w:val="0"/>
            <w:vAlign w:val="top"/>
          </w:tcPr>
          <w:p w14:paraId="10F746BE">
            <w:pPr>
              <w:pStyle w:val="96"/>
              <w:keepNext w:val="0"/>
              <w:keepLines w:val="0"/>
              <w:suppressLineNumbers w:val="0"/>
              <w:adjustRightInd w:val="0"/>
              <w:snapToGrid w:val="0"/>
              <w:spacing w:before="0" w:beforeAutospacing="0" w:after="0" w:afterAutospacing="0" w:line="560" w:lineRule="exact"/>
              <w:ind w:left="0" w:right="0"/>
              <w:rPr>
                <w:rFonts w:hint="default" w:ascii="黑体" w:eastAsia="黑体"/>
                <w:color w:val="auto"/>
                <w:highlight w:val="none"/>
              </w:rPr>
            </w:pPr>
            <w:r>
              <w:rPr>
                <w:rFonts w:hint="eastAsia" w:ascii="黑体" w:eastAsia="黑体"/>
                <w:color w:val="auto"/>
                <w:highlight w:val="none"/>
              </w:rPr>
              <w:t>品牌 3</w:t>
            </w:r>
          </w:p>
        </w:tc>
        <w:tc>
          <w:tcPr>
            <w:tcW w:w="791" w:type="dxa"/>
            <w:noWrap w:val="0"/>
            <w:vAlign w:val="top"/>
          </w:tcPr>
          <w:p w14:paraId="6BCDC94B">
            <w:pPr>
              <w:pStyle w:val="96"/>
              <w:keepNext w:val="0"/>
              <w:keepLines w:val="0"/>
              <w:suppressLineNumbers w:val="0"/>
              <w:adjustRightInd w:val="0"/>
              <w:snapToGrid w:val="0"/>
              <w:spacing w:before="0" w:beforeAutospacing="0" w:after="0" w:afterAutospacing="0" w:line="560" w:lineRule="exact"/>
              <w:ind w:left="0" w:right="0"/>
              <w:rPr>
                <w:rFonts w:hint="default" w:ascii="黑体" w:eastAsia="黑体"/>
                <w:color w:val="auto"/>
                <w:highlight w:val="none"/>
              </w:rPr>
            </w:pPr>
            <w:r>
              <w:rPr>
                <w:rFonts w:hint="eastAsia" w:ascii="黑体" w:eastAsia="黑体"/>
                <w:color w:val="auto"/>
                <w:highlight w:val="none"/>
              </w:rPr>
              <w:t>品牌 4</w:t>
            </w:r>
          </w:p>
        </w:tc>
        <w:tc>
          <w:tcPr>
            <w:tcW w:w="635" w:type="dxa"/>
            <w:noWrap w:val="0"/>
            <w:vAlign w:val="top"/>
          </w:tcPr>
          <w:p w14:paraId="6B598911">
            <w:pPr>
              <w:pStyle w:val="96"/>
              <w:keepNext w:val="0"/>
              <w:keepLines w:val="0"/>
              <w:suppressLineNumbers w:val="0"/>
              <w:adjustRightInd w:val="0"/>
              <w:snapToGrid w:val="0"/>
              <w:spacing w:before="0" w:beforeAutospacing="0" w:after="0" w:afterAutospacing="0" w:line="560" w:lineRule="exact"/>
              <w:ind w:left="0" w:right="0"/>
              <w:rPr>
                <w:rFonts w:hint="default" w:ascii="黑体" w:eastAsia="黑体"/>
                <w:color w:val="auto"/>
                <w:highlight w:val="none"/>
              </w:rPr>
            </w:pPr>
            <w:r>
              <w:rPr>
                <w:rFonts w:hint="eastAsia" w:ascii="黑体" w:eastAsia="黑体"/>
                <w:color w:val="auto"/>
                <w:highlight w:val="none"/>
              </w:rPr>
              <w:t>备注</w:t>
            </w:r>
          </w:p>
        </w:tc>
        <w:tc>
          <w:tcPr>
            <w:tcW w:w="1687" w:type="dxa"/>
            <w:noWrap w:val="0"/>
            <w:vAlign w:val="top"/>
          </w:tcPr>
          <w:p w14:paraId="652F8379">
            <w:pPr>
              <w:pStyle w:val="96"/>
              <w:keepNext w:val="0"/>
              <w:keepLines w:val="0"/>
              <w:suppressLineNumbers w:val="0"/>
              <w:adjustRightInd w:val="0"/>
              <w:snapToGrid w:val="0"/>
              <w:spacing w:before="0" w:beforeAutospacing="0" w:after="0" w:afterAutospacing="0" w:line="560" w:lineRule="exact"/>
              <w:ind w:left="0" w:right="0"/>
              <w:rPr>
                <w:rFonts w:hint="default" w:ascii="黑体" w:eastAsia="黑体"/>
                <w:color w:val="auto"/>
                <w:highlight w:val="none"/>
              </w:rPr>
            </w:pPr>
            <w:r>
              <w:rPr>
                <w:rFonts w:hint="eastAsia" w:ascii="黑体" w:eastAsia="黑体"/>
                <w:color w:val="auto"/>
                <w:highlight w:val="none"/>
              </w:rPr>
              <w:t>投标人选定品牌</w:t>
            </w:r>
          </w:p>
        </w:tc>
      </w:tr>
      <w:tr w14:paraId="4F0CF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23ECA18B">
            <w:pPr>
              <w:pStyle w:val="96"/>
              <w:keepNext w:val="0"/>
              <w:keepLines w:val="0"/>
              <w:suppressLineNumbers w:val="0"/>
              <w:adjustRightInd w:val="0"/>
              <w:snapToGrid w:val="0"/>
              <w:spacing w:before="0" w:beforeAutospacing="0" w:after="0" w:afterAutospacing="0" w:line="560" w:lineRule="exact"/>
              <w:ind w:left="0" w:right="0"/>
              <w:jc w:val="center"/>
              <w:rPr>
                <w:rFonts w:hint="default"/>
                <w:color w:val="auto"/>
                <w:highlight w:val="none"/>
              </w:rPr>
            </w:pPr>
          </w:p>
        </w:tc>
        <w:tc>
          <w:tcPr>
            <w:tcW w:w="1685" w:type="dxa"/>
            <w:noWrap w:val="0"/>
            <w:vAlign w:val="top"/>
          </w:tcPr>
          <w:p w14:paraId="5339A19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0EDF38B9">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3AB906C6">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0472401E">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26724164">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36F84504">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64783538">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0A583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57735DAD">
            <w:pPr>
              <w:pStyle w:val="96"/>
              <w:keepNext w:val="0"/>
              <w:keepLines w:val="0"/>
              <w:suppressLineNumbers w:val="0"/>
              <w:adjustRightInd w:val="0"/>
              <w:snapToGrid w:val="0"/>
              <w:spacing w:before="0" w:beforeAutospacing="0" w:after="0" w:afterAutospacing="0" w:line="560" w:lineRule="exact"/>
              <w:ind w:left="0" w:right="0"/>
              <w:jc w:val="center"/>
              <w:rPr>
                <w:rFonts w:hint="default"/>
                <w:color w:val="auto"/>
                <w:highlight w:val="none"/>
              </w:rPr>
            </w:pPr>
          </w:p>
        </w:tc>
        <w:tc>
          <w:tcPr>
            <w:tcW w:w="1685" w:type="dxa"/>
            <w:noWrap w:val="0"/>
            <w:vAlign w:val="top"/>
          </w:tcPr>
          <w:p w14:paraId="5B5903C2">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00B709BB">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48158BC9">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2D08CAE2">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2BAD5217">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0BD54FC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647EE6A6">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67A7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6" w:type="dxa"/>
            <w:tcBorders>
              <w:bottom w:val="single" w:color="000000" w:sz="6" w:space="0"/>
            </w:tcBorders>
            <w:noWrap w:val="0"/>
            <w:vAlign w:val="top"/>
          </w:tcPr>
          <w:p w14:paraId="530BCC5D">
            <w:pPr>
              <w:pStyle w:val="96"/>
              <w:keepNext w:val="0"/>
              <w:keepLines w:val="0"/>
              <w:suppressLineNumbers w:val="0"/>
              <w:adjustRightInd w:val="0"/>
              <w:snapToGrid w:val="0"/>
              <w:spacing w:before="0" w:beforeAutospacing="0" w:after="0" w:afterAutospacing="0" w:line="560" w:lineRule="exact"/>
              <w:ind w:left="0" w:right="0"/>
              <w:jc w:val="center"/>
              <w:rPr>
                <w:rFonts w:hint="default"/>
                <w:color w:val="auto"/>
                <w:highlight w:val="none"/>
              </w:rPr>
            </w:pPr>
          </w:p>
        </w:tc>
        <w:tc>
          <w:tcPr>
            <w:tcW w:w="1685" w:type="dxa"/>
            <w:tcBorders>
              <w:bottom w:val="single" w:color="000000" w:sz="6" w:space="0"/>
            </w:tcBorders>
            <w:noWrap w:val="0"/>
            <w:vAlign w:val="top"/>
          </w:tcPr>
          <w:p w14:paraId="3A4E5719">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tcBorders>
              <w:bottom w:val="single" w:color="000000" w:sz="6" w:space="0"/>
            </w:tcBorders>
            <w:noWrap w:val="0"/>
            <w:vAlign w:val="top"/>
          </w:tcPr>
          <w:p w14:paraId="497E515D">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tcBorders>
              <w:bottom w:val="single" w:color="000000" w:sz="6" w:space="0"/>
            </w:tcBorders>
            <w:noWrap w:val="0"/>
            <w:vAlign w:val="top"/>
          </w:tcPr>
          <w:p w14:paraId="0710242B">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tcBorders>
              <w:bottom w:val="single" w:color="000000" w:sz="6" w:space="0"/>
            </w:tcBorders>
            <w:noWrap w:val="0"/>
            <w:vAlign w:val="top"/>
          </w:tcPr>
          <w:p w14:paraId="02CFE3DC">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tcBorders>
              <w:bottom w:val="single" w:color="000000" w:sz="6" w:space="0"/>
            </w:tcBorders>
            <w:noWrap w:val="0"/>
            <w:vAlign w:val="top"/>
          </w:tcPr>
          <w:p w14:paraId="19117B8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tcBorders>
              <w:bottom w:val="single" w:color="000000" w:sz="6" w:space="0"/>
            </w:tcBorders>
            <w:noWrap w:val="0"/>
            <w:vAlign w:val="top"/>
          </w:tcPr>
          <w:p w14:paraId="3416D06A">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tcBorders>
              <w:bottom w:val="single" w:color="000000" w:sz="6" w:space="0"/>
            </w:tcBorders>
            <w:noWrap w:val="0"/>
            <w:vAlign w:val="top"/>
          </w:tcPr>
          <w:p w14:paraId="013E21A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49C6C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6" w:type="dxa"/>
            <w:tcBorders>
              <w:top w:val="single" w:color="000000" w:sz="6" w:space="0"/>
            </w:tcBorders>
            <w:noWrap w:val="0"/>
            <w:vAlign w:val="top"/>
          </w:tcPr>
          <w:p w14:paraId="7B6D9D92">
            <w:pPr>
              <w:pStyle w:val="96"/>
              <w:keepNext w:val="0"/>
              <w:keepLines w:val="0"/>
              <w:suppressLineNumbers w:val="0"/>
              <w:adjustRightInd w:val="0"/>
              <w:snapToGrid w:val="0"/>
              <w:spacing w:before="0" w:beforeAutospacing="0" w:after="0" w:afterAutospacing="0" w:line="560" w:lineRule="exact"/>
              <w:ind w:left="0" w:right="0"/>
              <w:jc w:val="center"/>
              <w:rPr>
                <w:rFonts w:hint="default"/>
                <w:color w:val="auto"/>
                <w:highlight w:val="none"/>
              </w:rPr>
            </w:pPr>
          </w:p>
        </w:tc>
        <w:tc>
          <w:tcPr>
            <w:tcW w:w="1685" w:type="dxa"/>
            <w:tcBorders>
              <w:top w:val="single" w:color="000000" w:sz="6" w:space="0"/>
            </w:tcBorders>
            <w:noWrap w:val="0"/>
            <w:vAlign w:val="top"/>
          </w:tcPr>
          <w:p w14:paraId="1A43B9D8">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tcBorders>
              <w:top w:val="single" w:color="000000" w:sz="6" w:space="0"/>
            </w:tcBorders>
            <w:noWrap w:val="0"/>
            <w:vAlign w:val="top"/>
          </w:tcPr>
          <w:p w14:paraId="1BA0452C">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tcBorders>
              <w:top w:val="single" w:color="000000" w:sz="6" w:space="0"/>
            </w:tcBorders>
            <w:noWrap w:val="0"/>
            <w:vAlign w:val="top"/>
          </w:tcPr>
          <w:p w14:paraId="2469E742">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tcBorders>
              <w:top w:val="single" w:color="000000" w:sz="6" w:space="0"/>
            </w:tcBorders>
            <w:noWrap w:val="0"/>
            <w:vAlign w:val="top"/>
          </w:tcPr>
          <w:p w14:paraId="13C1E3F0">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tcBorders>
              <w:top w:val="single" w:color="000000" w:sz="6" w:space="0"/>
            </w:tcBorders>
            <w:noWrap w:val="0"/>
            <w:vAlign w:val="top"/>
          </w:tcPr>
          <w:p w14:paraId="7197759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tcBorders>
              <w:top w:val="single" w:color="000000" w:sz="6" w:space="0"/>
            </w:tcBorders>
            <w:noWrap w:val="0"/>
            <w:vAlign w:val="top"/>
          </w:tcPr>
          <w:p w14:paraId="1AE5770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tcBorders>
              <w:top w:val="single" w:color="000000" w:sz="6" w:space="0"/>
            </w:tcBorders>
            <w:noWrap w:val="0"/>
            <w:vAlign w:val="top"/>
          </w:tcPr>
          <w:p w14:paraId="6B9724DD">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53F3E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73734D41">
            <w:pPr>
              <w:pStyle w:val="96"/>
              <w:keepNext w:val="0"/>
              <w:keepLines w:val="0"/>
              <w:suppressLineNumbers w:val="0"/>
              <w:adjustRightInd w:val="0"/>
              <w:snapToGrid w:val="0"/>
              <w:spacing w:before="0" w:beforeAutospacing="0" w:after="0" w:afterAutospacing="0" w:line="560" w:lineRule="exact"/>
              <w:ind w:left="0" w:right="0"/>
              <w:jc w:val="center"/>
              <w:rPr>
                <w:rFonts w:hint="default"/>
                <w:color w:val="auto"/>
                <w:highlight w:val="none"/>
              </w:rPr>
            </w:pPr>
          </w:p>
        </w:tc>
        <w:tc>
          <w:tcPr>
            <w:tcW w:w="1685" w:type="dxa"/>
            <w:noWrap w:val="0"/>
            <w:vAlign w:val="top"/>
          </w:tcPr>
          <w:p w14:paraId="6430D9A0">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13F7D689">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1DB28E2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42E2FD8B">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79EA5E4B">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3320D20E">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7F265583">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0932D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342C94FC">
            <w:pPr>
              <w:pStyle w:val="96"/>
              <w:keepNext w:val="0"/>
              <w:keepLines w:val="0"/>
              <w:suppressLineNumbers w:val="0"/>
              <w:adjustRightInd w:val="0"/>
              <w:snapToGrid w:val="0"/>
              <w:spacing w:before="0" w:beforeAutospacing="0" w:after="0" w:afterAutospacing="0" w:line="560" w:lineRule="exact"/>
              <w:ind w:left="0" w:right="0"/>
              <w:jc w:val="center"/>
              <w:rPr>
                <w:rFonts w:hint="default"/>
                <w:color w:val="auto"/>
                <w:highlight w:val="none"/>
              </w:rPr>
            </w:pPr>
          </w:p>
        </w:tc>
        <w:tc>
          <w:tcPr>
            <w:tcW w:w="1685" w:type="dxa"/>
            <w:noWrap w:val="0"/>
            <w:vAlign w:val="top"/>
          </w:tcPr>
          <w:p w14:paraId="3A33F5D7">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431D1223">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695C8980">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2C1E4DC6">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7467E41E">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124151AA">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1C222133">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2FE2E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4A78F84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5" w:type="dxa"/>
            <w:noWrap w:val="0"/>
            <w:vAlign w:val="top"/>
          </w:tcPr>
          <w:p w14:paraId="2F9570B7">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11D7105E">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3D4B5D2D">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3A6E035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54B3525B">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599FDF2C">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393B077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209F7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478DDC4B">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5" w:type="dxa"/>
            <w:noWrap w:val="0"/>
            <w:vAlign w:val="top"/>
          </w:tcPr>
          <w:p w14:paraId="2A749768">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25383D4C">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02563E74">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1EAA917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4D8AF97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5D5B894B">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0A7F6D9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086E2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70A172E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5" w:type="dxa"/>
            <w:noWrap w:val="0"/>
            <w:vAlign w:val="top"/>
          </w:tcPr>
          <w:p w14:paraId="03323EDE">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3DE62D7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7963498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19C61BA2">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26188FD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4FE5C093">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553FD52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7C5B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36" w:type="dxa"/>
            <w:noWrap w:val="0"/>
            <w:vAlign w:val="top"/>
          </w:tcPr>
          <w:p w14:paraId="216C9A74">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5" w:type="dxa"/>
            <w:noWrap w:val="0"/>
            <w:vAlign w:val="top"/>
          </w:tcPr>
          <w:p w14:paraId="6ED39854">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14F31412">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7CF846C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277FECEA">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1E7E9DA4">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1663B6E7">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2833AC88">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5ED21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36" w:type="dxa"/>
            <w:noWrap w:val="0"/>
            <w:vAlign w:val="top"/>
          </w:tcPr>
          <w:p w14:paraId="2AAFAB94">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5" w:type="dxa"/>
            <w:noWrap w:val="0"/>
            <w:vAlign w:val="top"/>
          </w:tcPr>
          <w:p w14:paraId="073EB462">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097405D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49C36816">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0909A9FA">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53CEFCA0">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0FA9537A">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60909F77">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627A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370F5825">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5" w:type="dxa"/>
            <w:noWrap w:val="0"/>
            <w:vAlign w:val="top"/>
          </w:tcPr>
          <w:p w14:paraId="4D41B02D">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36E684D6">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412C240B">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460D1D01">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240EAF3A">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65552EF7">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08A38929">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1516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6693CC63">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5" w:type="dxa"/>
            <w:noWrap w:val="0"/>
            <w:vAlign w:val="top"/>
          </w:tcPr>
          <w:p w14:paraId="0A09A70D">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44432A8E">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44ECF9F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191C7EA4">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58DDBED8">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1947D45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38F753B2">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r w14:paraId="26B1B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noWrap w:val="0"/>
            <w:vAlign w:val="top"/>
          </w:tcPr>
          <w:p w14:paraId="26568C0A">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5" w:type="dxa"/>
            <w:noWrap w:val="0"/>
            <w:vAlign w:val="top"/>
          </w:tcPr>
          <w:p w14:paraId="732CA658">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129FCA1F">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11229A00">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4" w:type="dxa"/>
            <w:noWrap w:val="0"/>
            <w:vAlign w:val="top"/>
          </w:tcPr>
          <w:p w14:paraId="7EABE42E">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791" w:type="dxa"/>
            <w:noWrap w:val="0"/>
            <w:vAlign w:val="top"/>
          </w:tcPr>
          <w:p w14:paraId="5F8B444D">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635" w:type="dxa"/>
            <w:noWrap w:val="0"/>
            <w:vAlign w:val="top"/>
          </w:tcPr>
          <w:p w14:paraId="55B4ED4A">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c>
          <w:tcPr>
            <w:tcW w:w="1687" w:type="dxa"/>
            <w:noWrap w:val="0"/>
            <w:vAlign w:val="top"/>
          </w:tcPr>
          <w:p w14:paraId="3168962A">
            <w:pPr>
              <w:pStyle w:val="96"/>
              <w:keepNext w:val="0"/>
              <w:keepLines w:val="0"/>
              <w:suppressLineNumbers w:val="0"/>
              <w:adjustRightInd w:val="0"/>
              <w:snapToGrid w:val="0"/>
              <w:spacing w:before="0" w:beforeAutospacing="0" w:after="0" w:afterAutospacing="0" w:line="560" w:lineRule="exact"/>
              <w:ind w:left="0" w:right="0"/>
              <w:rPr>
                <w:rFonts w:hint="default" w:ascii="Times New Roman"/>
                <w:color w:val="auto"/>
                <w:sz w:val="20"/>
                <w:highlight w:val="none"/>
              </w:rPr>
            </w:pPr>
          </w:p>
        </w:tc>
      </w:tr>
    </w:tbl>
    <w:p w14:paraId="4C9EC9F3">
      <w:pPr>
        <w:pStyle w:val="21"/>
        <w:adjustRightInd w:val="0"/>
        <w:snapToGrid w:val="0"/>
        <w:spacing w:after="0" w:line="560" w:lineRule="exact"/>
        <w:ind w:firstLine="420"/>
        <w:rPr>
          <w:color w:val="auto"/>
          <w:highlight w:val="none"/>
        </w:rPr>
      </w:pPr>
      <w:r>
        <w:rPr>
          <w:color w:val="auto"/>
          <w:highlight w:val="none"/>
        </w:rPr>
        <w:t>注：</w:t>
      </w:r>
      <w:r>
        <w:rPr>
          <w:rFonts w:hint="eastAsia"/>
          <w:color w:val="auto"/>
          <w:highlight w:val="none"/>
        </w:rPr>
        <w:t>1、</w:t>
      </w:r>
      <w:r>
        <w:rPr>
          <w:color w:val="auto"/>
          <w:highlight w:val="none"/>
        </w:rPr>
        <w:t>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14:paraId="665EF6AF">
      <w:pPr>
        <w:pStyle w:val="69"/>
        <w:tabs>
          <w:tab w:val="left" w:pos="1319"/>
        </w:tabs>
        <w:adjustRightInd w:val="0"/>
        <w:snapToGrid w:val="0"/>
        <w:spacing w:line="560" w:lineRule="exact"/>
        <w:ind w:left="0" w:firstLine="408" w:firstLineChars="200"/>
        <w:rPr>
          <w:color w:val="auto"/>
          <w:highlight w:val="none"/>
        </w:rPr>
        <w:sectPr>
          <w:pgSz w:w="11910" w:h="16840"/>
          <w:pgMar w:top="1060" w:right="660" w:bottom="1020" w:left="1120" w:header="0" w:footer="833" w:gutter="0"/>
          <w:cols w:space="720" w:num="1"/>
        </w:sectPr>
      </w:pPr>
      <w:r>
        <w:rPr>
          <w:rFonts w:hint="eastAsia"/>
          <w:color w:val="auto"/>
          <w:spacing w:val="-3"/>
          <w:highlight w:val="none"/>
        </w:rPr>
        <w:t>2、</w:t>
      </w:r>
      <w:r>
        <w:rPr>
          <w:color w:val="auto"/>
          <w:spacing w:val="-3"/>
          <w:highlight w:val="none"/>
        </w:rPr>
        <w:t>对于招标人推荐品牌的材料、设备等，投标人如认为招标人推荐的品牌有限定性、唯一性、明显不在同一档次等级的或者其他疑问的，应在本项目</w:t>
      </w:r>
      <w:r>
        <w:rPr>
          <w:rFonts w:hint="eastAsia"/>
          <w:color w:val="auto"/>
          <w:spacing w:val="-3"/>
          <w:highlight w:val="none"/>
        </w:rPr>
        <w:t>异议</w:t>
      </w:r>
      <w:r>
        <w:rPr>
          <w:color w:val="auto"/>
          <w:spacing w:val="-3"/>
          <w:highlight w:val="none"/>
        </w:rPr>
        <w:t>提出的截止时间前通过电子交易系统</w:t>
      </w:r>
      <w:r>
        <w:rPr>
          <w:rFonts w:hint="eastAsia"/>
          <w:color w:val="auto"/>
          <w:spacing w:val="-3"/>
          <w:highlight w:val="none"/>
        </w:rPr>
        <w:t>向招标人提出。</w:t>
      </w:r>
    </w:p>
    <w:bookmarkEnd w:id="7"/>
    <w:bookmarkEnd w:id="8"/>
    <w:bookmarkEnd w:id="9"/>
    <w:bookmarkEnd w:id="10"/>
    <w:bookmarkEnd w:id="11"/>
    <w:bookmarkEnd w:id="1044"/>
    <w:bookmarkEnd w:id="1045"/>
    <w:bookmarkEnd w:id="1046"/>
    <w:bookmarkEnd w:id="1047"/>
    <w:p w14:paraId="30C5F9C0">
      <w:pPr>
        <w:pStyle w:val="44"/>
        <w:spacing w:beforeLines="50" w:afterLines="50" w:line="440" w:lineRule="exact"/>
        <w:rPr>
          <w:bCs/>
          <w:color w:val="auto"/>
          <w:szCs w:val="32"/>
          <w:highlight w:val="none"/>
        </w:rPr>
      </w:pPr>
      <w:bookmarkStart w:id="1051" w:name="_Toc78803402"/>
      <w:bookmarkStart w:id="1052" w:name="_Toc15593"/>
      <w:bookmarkStart w:id="1053" w:name="_Toc8955"/>
      <w:bookmarkStart w:id="1054" w:name="_Toc29114"/>
      <w:r>
        <w:rPr>
          <w:rFonts w:hint="eastAsia"/>
          <w:bCs/>
          <w:color w:val="auto"/>
          <w:szCs w:val="32"/>
          <w:highlight w:val="none"/>
        </w:rPr>
        <w:t>第</w:t>
      </w:r>
      <w:r>
        <w:rPr>
          <w:rFonts w:hint="eastAsia"/>
          <w:bCs/>
          <w:color w:val="auto"/>
          <w:szCs w:val="32"/>
          <w:highlight w:val="none"/>
          <w:lang w:val="en-US" w:eastAsia="zh-CN"/>
        </w:rPr>
        <w:t>九</w:t>
      </w:r>
      <w:r>
        <w:rPr>
          <w:rFonts w:hint="eastAsia"/>
          <w:bCs/>
          <w:color w:val="auto"/>
          <w:szCs w:val="32"/>
          <w:highlight w:val="none"/>
        </w:rPr>
        <w:t>章  招标单位、招标代理机构对本招标文件的确认</w:t>
      </w:r>
      <w:bookmarkEnd w:id="1051"/>
      <w:bookmarkEnd w:id="1052"/>
      <w:bookmarkEnd w:id="1053"/>
      <w:bookmarkEnd w:id="1054"/>
    </w:p>
    <w:p w14:paraId="4323E0B4">
      <w:pPr>
        <w:pStyle w:val="21"/>
        <w:rPr>
          <w:color w:val="auto"/>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458D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548C283E">
            <w:pPr>
              <w:keepNext w:val="0"/>
              <w:keepLines w:val="0"/>
              <w:suppressLineNumbers w:val="0"/>
              <w:wordWrap w:val="0"/>
              <w:adjustRightInd w:val="0"/>
              <w:snapToGrid w:val="0"/>
              <w:spacing w:before="0" w:beforeAutospacing="0" w:after="0" w:afterAutospacing="0" w:line="560" w:lineRule="exact"/>
              <w:ind w:left="0" w:right="0"/>
              <w:rPr>
                <w:rFonts w:hint="default"/>
                <w:color w:val="auto"/>
                <w:sz w:val="30"/>
                <w:highlight w:val="none"/>
              </w:rPr>
            </w:pPr>
          </w:p>
          <w:p w14:paraId="50FFB3C0">
            <w:pPr>
              <w:keepNext w:val="0"/>
              <w:keepLines w:val="0"/>
              <w:suppressLineNumbers w:val="0"/>
              <w:spacing w:before="0" w:beforeAutospacing="0" w:after="0" w:afterAutospacing="0" w:line="560" w:lineRule="exact"/>
              <w:ind w:left="0" w:right="0" w:firstLine="560" w:firstLineChars="200"/>
              <w:rPr>
                <w:rFonts w:hint="default"/>
                <w:color w:val="auto"/>
                <w:sz w:val="28"/>
                <w:szCs w:val="28"/>
                <w:highlight w:val="none"/>
              </w:rPr>
            </w:pPr>
            <w:r>
              <w:rPr>
                <w:rFonts w:hint="eastAsia"/>
                <w:color w:val="auto"/>
                <w:sz w:val="28"/>
                <w:szCs w:val="28"/>
                <w:highlight w:val="none"/>
              </w:rPr>
              <w:t>我单位对</w:t>
            </w:r>
            <w:r>
              <w:rPr>
                <w:rFonts w:hint="eastAsia"/>
                <w:color w:val="auto"/>
                <w:sz w:val="28"/>
                <w:szCs w:val="28"/>
                <w:highlight w:val="none"/>
                <w:u w:val="single"/>
              </w:rPr>
              <w:t xml:space="preserve"> </w:t>
            </w:r>
            <w:r>
              <w:rPr>
                <w:rFonts w:hint="eastAsia"/>
                <w:color w:val="auto"/>
                <w:sz w:val="28"/>
                <w:szCs w:val="28"/>
                <w:highlight w:val="none"/>
                <w:u w:val="single"/>
                <w:lang w:eastAsia="zh-CN"/>
              </w:rPr>
              <w:t>滁州市奥体中心停车场光伏项目</w:t>
            </w:r>
            <w:r>
              <w:rPr>
                <w:rFonts w:hint="eastAsia"/>
                <w:color w:val="auto"/>
                <w:sz w:val="28"/>
                <w:szCs w:val="28"/>
                <w:highlight w:val="none"/>
                <w:u w:val="single"/>
              </w:rPr>
              <w:t xml:space="preserve"> </w:t>
            </w:r>
            <w:r>
              <w:rPr>
                <w:rFonts w:hint="eastAsia"/>
                <w:color w:val="auto"/>
                <w:sz w:val="28"/>
                <w:szCs w:val="28"/>
                <w:highlight w:val="none"/>
              </w:rPr>
              <w:t>的招标文件进行确认。</w:t>
            </w:r>
          </w:p>
          <w:p w14:paraId="38EFFB3A">
            <w:pPr>
              <w:keepNext w:val="0"/>
              <w:keepLines w:val="0"/>
              <w:suppressLineNumbers w:val="0"/>
              <w:spacing w:before="0" w:beforeAutospacing="0" w:after="0" w:afterAutospacing="0" w:line="560" w:lineRule="exact"/>
              <w:ind w:left="0" w:right="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滁州工投新能源开发有限公司</w:t>
            </w:r>
            <w:r>
              <w:rPr>
                <w:rFonts w:hint="eastAsia" w:ascii="宋体" w:hAnsi="宋体"/>
                <w:color w:val="auto"/>
                <w:sz w:val="28"/>
                <w:szCs w:val="28"/>
                <w:highlight w:val="none"/>
              </w:rPr>
              <w:t xml:space="preserve">  </w:t>
            </w:r>
          </w:p>
          <w:p w14:paraId="00271239">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宋体"/>
                <w:color w:val="auto"/>
                <w:sz w:val="28"/>
                <w:szCs w:val="28"/>
                <w:highlight w:val="none"/>
                <w:lang w:val="en-US" w:eastAsia="zh-CN"/>
              </w:rPr>
              <w:t>李工</w:t>
            </w:r>
          </w:p>
          <w:p w14:paraId="50C84CF0">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宋体"/>
                <w:color w:val="auto"/>
                <w:sz w:val="28"/>
                <w:szCs w:val="28"/>
                <w:highlight w:val="none"/>
                <w:lang w:eastAsia="zh-CN"/>
              </w:rPr>
            </w:pPr>
            <w:r>
              <w:rPr>
                <w:rFonts w:hint="eastAsia" w:ascii="宋体" w:hAnsi="宋体" w:eastAsia="宋体" w:cs="Times New Roman"/>
                <w:color w:val="auto"/>
                <w:sz w:val="28"/>
                <w:szCs w:val="28"/>
                <w:highlight w:val="none"/>
              </w:rPr>
              <w:t>联系电话：</w:t>
            </w:r>
            <w:r>
              <w:rPr>
                <w:rFonts w:hint="eastAsia" w:ascii="宋体" w:hAnsi="宋体" w:eastAsia="宋体" w:cs="宋体"/>
                <w:color w:val="auto"/>
                <w:sz w:val="28"/>
                <w:szCs w:val="28"/>
                <w:highlight w:val="none"/>
                <w:lang w:eastAsia="zh-CN"/>
              </w:rPr>
              <w:t>0550-3018358</w:t>
            </w:r>
          </w:p>
          <w:p w14:paraId="67226BAB">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监督电话：0550-3017855</w:t>
            </w:r>
          </w:p>
          <w:p w14:paraId="4BA8D35A">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A2E4021">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81D1AF5">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0CA65F0">
            <w:pPr>
              <w:keepNext w:val="0"/>
              <w:keepLines w:val="0"/>
              <w:suppressLineNumbers w:val="0"/>
              <w:wordWrap w:val="0"/>
              <w:spacing w:before="0" w:beforeAutospacing="0" w:after="0" w:afterAutospacing="0" w:line="560" w:lineRule="exact"/>
              <w:ind w:left="0" w:right="0" w:firstLine="5740" w:firstLineChars="2050"/>
              <w:rPr>
                <w:rFonts w:hint="default" w:ascii="宋体" w:hAnsi="宋体"/>
                <w:color w:val="auto"/>
                <w:sz w:val="28"/>
                <w:szCs w:val="28"/>
                <w:highlight w:val="none"/>
              </w:rPr>
            </w:pPr>
            <w:r>
              <w:rPr>
                <w:rFonts w:hint="eastAsia" w:ascii="宋体" w:hAnsi="宋体"/>
                <w:color w:val="auto"/>
                <w:sz w:val="28"/>
                <w:szCs w:val="28"/>
                <w:highlight w:val="none"/>
              </w:rPr>
              <w:t>（单位盖章）</w:t>
            </w:r>
          </w:p>
          <w:p w14:paraId="50625C05">
            <w:pPr>
              <w:keepNext w:val="0"/>
              <w:keepLines w:val="0"/>
              <w:suppressLineNumbers w:val="0"/>
              <w:spacing w:before="0" w:beforeAutospacing="0" w:after="0" w:afterAutospacing="0" w:line="560" w:lineRule="exact"/>
              <w:ind w:left="0" w:right="0" w:firstLine="5880" w:firstLineChars="210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25日</w:t>
            </w:r>
          </w:p>
          <w:p w14:paraId="7034CE44">
            <w:pPr>
              <w:pStyle w:val="2"/>
              <w:keepNext w:val="0"/>
              <w:keepLines w:val="0"/>
              <w:suppressLineNumbers w:val="0"/>
              <w:spacing w:before="0" w:beforeAutospacing="0" w:after="0" w:afterAutospacing="0"/>
              <w:ind w:right="0" w:firstLine="420"/>
              <w:rPr>
                <w:rFonts w:hint="default"/>
                <w:color w:val="auto"/>
                <w:highlight w:val="none"/>
              </w:rPr>
            </w:pPr>
          </w:p>
        </w:tc>
      </w:tr>
      <w:tr w14:paraId="168E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754185B2">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rPr>
            </w:pPr>
          </w:p>
          <w:p w14:paraId="41D7941C">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355D0EDC">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联 系 人：</w:t>
            </w:r>
            <w:r>
              <w:rPr>
                <w:rFonts w:hint="eastAsia" w:ascii="宋体" w:hAnsi="宋体" w:cs="宋体"/>
                <w:color w:val="auto"/>
                <w:sz w:val="28"/>
                <w:szCs w:val="28"/>
                <w:highlight w:val="none"/>
                <w:lang w:val="en-US" w:eastAsia="zh-CN"/>
              </w:rPr>
              <w:t>王芳</w:t>
            </w:r>
          </w:p>
          <w:p w14:paraId="24C87FDE">
            <w:pPr>
              <w:keepNext w:val="0"/>
              <w:keepLines w:val="0"/>
              <w:suppressLineNumbers w:val="0"/>
              <w:spacing w:before="0" w:beforeAutospacing="0" w:after="0" w:afterAutospacing="0" w:line="560" w:lineRule="exact"/>
              <w:ind w:left="0" w:right="0"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联系方式：0550-351951</w:t>
            </w:r>
            <w:r>
              <w:rPr>
                <w:rFonts w:hint="eastAsia" w:ascii="宋体" w:hAnsi="宋体" w:cs="宋体"/>
                <w:color w:val="auto"/>
                <w:sz w:val="28"/>
                <w:szCs w:val="28"/>
                <w:highlight w:val="none"/>
                <w:lang w:val="en-US" w:eastAsia="zh-CN"/>
              </w:rPr>
              <w:t>9、18955055067</w:t>
            </w:r>
          </w:p>
          <w:p w14:paraId="3E806929">
            <w:pPr>
              <w:keepNext w:val="0"/>
              <w:keepLines w:val="0"/>
              <w:suppressLineNumbers w:val="0"/>
              <w:spacing w:before="0" w:beforeAutospacing="0" w:after="0" w:afterAutospacing="0" w:line="560" w:lineRule="exact"/>
              <w:ind w:left="0" w:right="0" w:firstLine="5040" w:firstLineChars="1800"/>
              <w:rPr>
                <w:rFonts w:hint="default" w:ascii="宋体" w:hAnsi="宋体" w:cs="宋体"/>
                <w:color w:val="auto"/>
                <w:sz w:val="28"/>
                <w:szCs w:val="28"/>
                <w:highlight w:val="none"/>
              </w:rPr>
            </w:pPr>
          </w:p>
          <w:p w14:paraId="55B9486B">
            <w:pPr>
              <w:keepNext w:val="0"/>
              <w:keepLines w:val="0"/>
              <w:suppressLineNumbers w:val="0"/>
              <w:spacing w:before="0" w:beforeAutospacing="0" w:after="0" w:afterAutospacing="0" w:line="560" w:lineRule="exact"/>
              <w:ind w:left="0" w:right="0" w:firstLine="5460" w:firstLineChars="1950"/>
              <w:rPr>
                <w:rFonts w:hint="default" w:ascii="宋体" w:hAnsi="宋体" w:cs="宋体"/>
                <w:color w:val="auto"/>
                <w:sz w:val="28"/>
                <w:szCs w:val="28"/>
                <w:highlight w:val="none"/>
              </w:rPr>
            </w:pPr>
          </w:p>
          <w:p w14:paraId="3752E80D">
            <w:pPr>
              <w:keepNext w:val="0"/>
              <w:keepLines w:val="0"/>
              <w:suppressLineNumbers w:val="0"/>
              <w:spacing w:before="0" w:beforeAutospacing="0" w:after="0" w:afterAutospacing="0" w:line="560" w:lineRule="exact"/>
              <w:ind w:left="0" w:right="0" w:firstLine="5880" w:firstLineChars="2100"/>
              <w:rPr>
                <w:rFonts w:hint="default" w:ascii="宋体" w:hAnsi="宋体" w:cs="宋体"/>
                <w:color w:val="auto"/>
                <w:sz w:val="28"/>
                <w:szCs w:val="28"/>
                <w:highlight w:val="none"/>
              </w:rPr>
            </w:pPr>
            <w:r>
              <w:rPr>
                <w:rFonts w:hint="eastAsia" w:ascii="宋体" w:hAnsi="宋体" w:cs="宋体"/>
                <w:color w:val="auto"/>
                <w:sz w:val="28"/>
                <w:szCs w:val="28"/>
                <w:highlight w:val="none"/>
              </w:rPr>
              <w:t>（单位盖章）</w:t>
            </w:r>
          </w:p>
          <w:p w14:paraId="3C87CC8E">
            <w:pPr>
              <w:keepNext w:val="0"/>
              <w:keepLines w:val="0"/>
              <w:suppressLineNumbers w:val="0"/>
              <w:spacing w:before="0" w:beforeAutospacing="0" w:after="0" w:afterAutospacing="0" w:line="560" w:lineRule="exact"/>
              <w:ind w:left="0" w:right="0" w:firstLine="6020" w:firstLineChars="215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25日</w:t>
            </w:r>
          </w:p>
          <w:p w14:paraId="3EA56A6D">
            <w:pPr>
              <w:pStyle w:val="2"/>
              <w:keepNext w:val="0"/>
              <w:keepLines w:val="0"/>
              <w:suppressLineNumbers w:val="0"/>
              <w:spacing w:before="0" w:beforeAutospacing="0" w:after="0" w:afterAutospacing="0"/>
              <w:ind w:right="0" w:firstLine="420"/>
              <w:rPr>
                <w:rFonts w:hint="default"/>
                <w:color w:val="auto"/>
                <w:highlight w:val="none"/>
              </w:rPr>
            </w:pPr>
          </w:p>
        </w:tc>
      </w:tr>
    </w:tbl>
    <w:p w14:paraId="65E0A74C">
      <w:pPr>
        <w:rPr>
          <w:color w:val="auto"/>
          <w:highlight w:val="none"/>
        </w:rPr>
      </w:pPr>
    </w:p>
    <w:p w14:paraId="1E4F13F3">
      <w:pPr>
        <w:pStyle w:val="2"/>
        <w:rPr>
          <w:color w:val="auto"/>
          <w:highlight w:val="none"/>
        </w:rPr>
      </w:pPr>
    </w:p>
    <w:p w14:paraId="58FEBE90">
      <w:pPr>
        <w:pStyle w:val="2"/>
        <w:ind w:left="0" w:leftChars="0" w:firstLine="0" w:firstLineChars="0"/>
        <w:rPr>
          <w:color w:val="auto"/>
          <w:highlight w:val="none"/>
        </w:rPr>
      </w:pPr>
    </w:p>
    <w:sectPr>
      <w:headerReference r:id="rId8" w:type="default"/>
      <w:footerReference r:id="rId9"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1C438">
    <w:pPr>
      <w:pStyle w:val="31"/>
      <w:rPr>
        <w:rStyle w:val="51"/>
      </w:rPr>
    </w:pPr>
  </w:p>
  <w:p w14:paraId="12644639">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6FEB">
    <w:pPr>
      <w:pStyle w:val="31"/>
      <w:rPr>
        <w:rStyle w:val="51"/>
      </w:rPr>
    </w:pPr>
  </w:p>
  <w:p w14:paraId="3089D402">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5370">
    <w:pPr>
      <w:spacing w:line="219" w:lineRule="auto"/>
      <w:ind w:left="4189"/>
      <w:rPr>
        <w:rFonts w:ascii="宋体" w:hAnsi="宋体" w:cs="宋体"/>
        <w:sz w:val="18"/>
        <w:szCs w:val="18"/>
        <w:highlight w:val="yellow"/>
      </w:rPr>
    </w:pPr>
    <w:r>
      <w:rPr>
        <w:sz w:val="18"/>
        <w:highlight w:val="yellow"/>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8D36E7">
                          <w:pPr>
                            <w:pStyle w:val="31"/>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3C8D36E7">
                    <w:pPr>
                      <w:pStyle w:val="3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7A4C">
    <w:pPr>
      <w:pStyle w:val="31"/>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8537F">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D8537F">
                    <w:pPr>
                      <w:pStyle w:val="31"/>
                    </w:pPr>
                    <w:r>
                      <w:fldChar w:fldCharType="begin"/>
                    </w:r>
                    <w:r>
                      <w:instrText xml:space="preserve"> PAGE  \* MERGEFORMAT </w:instrText>
                    </w:r>
                    <w:r>
                      <w:fldChar w:fldCharType="separate"/>
                    </w:r>
                    <w:r>
                      <w:t>1</w:t>
                    </w:r>
                    <w:r>
                      <w:fldChar w:fldCharType="end"/>
                    </w:r>
                  </w:p>
                </w:txbxContent>
              </v:textbox>
            </v:shape>
          </w:pict>
        </mc:Fallback>
      </mc:AlternateContent>
    </w:r>
  </w:p>
  <w:p w14:paraId="1805372A">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02416">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5ED28">
    <w:pPr>
      <w:pStyle w:val="32"/>
      <w:pBdr>
        <w:bottom w:val="none" w:color="auto" w:sz="0" w:space="0"/>
      </w:pBdr>
      <w:jc w:val="right"/>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A34C">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0D545"/>
    <w:multiLevelType w:val="singleLevel"/>
    <w:tmpl w:val="BFD0D545"/>
    <w:lvl w:ilvl="0" w:tentative="0">
      <w:start w:val="3"/>
      <w:numFmt w:val="decimal"/>
      <w:suff w:val="nothing"/>
      <w:lvlText w:val="（%1）"/>
      <w:lvlJc w:val="left"/>
    </w:lvl>
  </w:abstractNum>
  <w:abstractNum w:abstractNumId="1">
    <w:nsid w:val="D5B19CE4"/>
    <w:multiLevelType w:val="singleLevel"/>
    <w:tmpl w:val="D5B19CE4"/>
    <w:lvl w:ilvl="0" w:tentative="0">
      <w:start w:val="1"/>
      <w:numFmt w:val="decimal"/>
      <w:suff w:val="nothing"/>
      <w:lvlText w:val="（%1）"/>
      <w:lvlJc w:val="left"/>
    </w:lvl>
  </w:abstractNum>
  <w:abstractNum w:abstractNumId="2">
    <w:nsid w:val="DCB3E590"/>
    <w:multiLevelType w:val="singleLevel"/>
    <w:tmpl w:val="DCB3E590"/>
    <w:lvl w:ilvl="0" w:tentative="0">
      <w:start w:val="10"/>
      <w:numFmt w:val="decimal"/>
      <w:suff w:val="nothing"/>
      <w:lvlText w:val="（%1）"/>
      <w:lvlJc w:val="left"/>
    </w:lvl>
  </w:abstractNum>
  <w:abstractNum w:abstractNumId="3">
    <w:nsid w:val="1E80E6C8"/>
    <w:multiLevelType w:val="singleLevel"/>
    <w:tmpl w:val="1E80E6C8"/>
    <w:lvl w:ilvl="0" w:tentative="0">
      <w:start w:val="3"/>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NotTrackMoves/>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YjY1ZDQ4YjFjYTVkNDM0YTJmYjQ2ZjhhNmFiODU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C7854"/>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542AFA"/>
    <w:rsid w:val="015460A2"/>
    <w:rsid w:val="015E6630"/>
    <w:rsid w:val="016C75C7"/>
    <w:rsid w:val="018D524F"/>
    <w:rsid w:val="019036D8"/>
    <w:rsid w:val="01A01767"/>
    <w:rsid w:val="01A40E48"/>
    <w:rsid w:val="01A66FAC"/>
    <w:rsid w:val="01BD4FDC"/>
    <w:rsid w:val="01C42B8B"/>
    <w:rsid w:val="01CE3A0A"/>
    <w:rsid w:val="01E941AE"/>
    <w:rsid w:val="01ED256A"/>
    <w:rsid w:val="01FE504C"/>
    <w:rsid w:val="021A6C4F"/>
    <w:rsid w:val="021F6C88"/>
    <w:rsid w:val="02201D8C"/>
    <w:rsid w:val="0221105C"/>
    <w:rsid w:val="02240E71"/>
    <w:rsid w:val="022F6268"/>
    <w:rsid w:val="0230144B"/>
    <w:rsid w:val="023E2A8F"/>
    <w:rsid w:val="023F01AC"/>
    <w:rsid w:val="02497F02"/>
    <w:rsid w:val="025C7268"/>
    <w:rsid w:val="025D37A6"/>
    <w:rsid w:val="02630A21"/>
    <w:rsid w:val="027520D7"/>
    <w:rsid w:val="028265A2"/>
    <w:rsid w:val="02910656"/>
    <w:rsid w:val="029452C8"/>
    <w:rsid w:val="0299330C"/>
    <w:rsid w:val="029C2053"/>
    <w:rsid w:val="029E3E12"/>
    <w:rsid w:val="02AE2F1E"/>
    <w:rsid w:val="02B07476"/>
    <w:rsid w:val="02B12263"/>
    <w:rsid w:val="02B34262"/>
    <w:rsid w:val="02BA6D6B"/>
    <w:rsid w:val="02BC6761"/>
    <w:rsid w:val="02C30781"/>
    <w:rsid w:val="02C32A89"/>
    <w:rsid w:val="02EB23C8"/>
    <w:rsid w:val="02ED4254"/>
    <w:rsid w:val="02F54A67"/>
    <w:rsid w:val="02FB586B"/>
    <w:rsid w:val="032764F6"/>
    <w:rsid w:val="032C124E"/>
    <w:rsid w:val="03355FAD"/>
    <w:rsid w:val="03357A15"/>
    <w:rsid w:val="033F6615"/>
    <w:rsid w:val="034A4B76"/>
    <w:rsid w:val="035148F2"/>
    <w:rsid w:val="03604B36"/>
    <w:rsid w:val="03646BB0"/>
    <w:rsid w:val="036A455B"/>
    <w:rsid w:val="03700AD7"/>
    <w:rsid w:val="03881BEB"/>
    <w:rsid w:val="03B07722"/>
    <w:rsid w:val="03B94246"/>
    <w:rsid w:val="03C9092D"/>
    <w:rsid w:val="03C947DD"/>
    <w:rsid w:val="03CC3F79"/>
    <w:rsid w:val="03CD0376"/>
    <w:rsid w:val="03E73921"/>
    <w:rsid w:val="03E868D9"/>
    <w:rsid w:val="03EB0F95"/>
    <w:rsid w:val="03F1290E"/>
    <w:rsid w:val="04002E0B"/>
    <w:rsid w:val="040F03FA"/>
    <w:rsid w:val="0412438A"/>
    <w:rsid w:val="04136717"/>
    <w:rsid w:val="041D2A27"/>
    <w:rsid w:val="04332546"/>
    <w:rsid w:val="04533461"/>
    <w:rsid w:val="046E6DDE"/>
    <w:rsid w:val="047015B8"/>
    <w:rsid w:val="048D54DF"/>
    <w:rsid w:val="04B51F1A"/>
    <w:rsid w:val="04BD0338"/>
    <w:rsid w:val="04C56D31"/>
    <w:rsid w:val="04CD0D24"/>
    <w:rsid w:val="04CF0F22"/>
    <w:rsid w:val="04D7542D"/>
    <w:rsid w:val="04DD163F"/>
    <w:rsid w:val="04E452F2"/>
    <w:rsid w:val="04E82F5F"/>
    <w:rsid w:val="05084E1A"/>
    <w:rsid w:val="051C4018"/>
    <w:rsid w:val="0536624A"/>
    <w:rsid w:val="05476ED2"/>
    <w:rsid w:val="05507187"/>
    <w:rsid w:val="05547F50"/>
    <w:rsid w:val="05586D81"/>
    <w:rsid w:val="055909BC"/>
    <w:rsid w:val="056775E0"/>
    <w:rsid w:val="05812096"/>
    <w:rsid w:val="05962A91"/>
    <w:rsid w:val="05A174D0"/>
    <w:rsid w:val="05A31C11"/>
    <w:rsid w:val="05A54A82"/>
    <w:rsid w:val="05B15E1B"/>
    <w:rsid w:val="05B6570E"/>
    <w:rsid w:val="05B719DB"/>
    <w:rsid w:val="05C8568A"/>
    <w:rsid w:val="05D411B5"/>
    <w:rsid w:val="05DC03BC"/>
    <w:rsid w:val="05E03755"/>
    <w:rsid w:val="05E05D39"/>
    <w:rsid w:val="05EE025B"/>
    <w:rsid w:val="05F81055"/>
    <w:rsid w:val="05FB2E46"/>
    <w:rsid w:val="06274DE9"/>
    <w:rsid w:val="0643158D"/>
    <w:rsid w:val="064A73D7"/>
    <w:rsid w:val="0652465D"/>
    <w:rsid w:val="06606ACF"/>
    <w:rsid w:val="06632C8A"/>
    <w:rsid w:val="066C44D0"/>
    <w:rsid w:val="066F0F20"/>
    <w:rsid w:val="06780BE4"/>
    <w:rsid w:val="067D77AC"/>
    <w:rsid w:val="0688298E"/>
    <w:rsid w:val="06A978A6"/>
    <w:rsid w:val="06BA455D"/>
    <w:rsid w:val="06BA577F"/>
    <w:rsid w:val="06C373A0"/>
    <w:rsid w:val="06CA61EA"/>
    <w:rsid w:val="06CE3AAD"/>
    <w:rsid w:val="06D3256B"/>
    <w:rsid w:val="06E93094"/>
    <w:rsid w:val="07142FC9"/>
    <w:rsid w:val="0716354A"/>
    <w:rsid w:val="071A113A"/>
    <w:rsid w:val="071A5532"/>
    <w:rsid w:val="073F7F68"/>
    <w:rsid w:val="07433326"/>
    <w:rsid w:val="074D1200"/>
    <w:rsid w:val="074E4657"/>
    <w:rsid w:val="07701435"/>
    <w:rsid w:val="078057A6"/>
    <w:rsid w:val="0791006E"/>
    <w:rsid w:val="07A93817"/>
    <w:rsid w:val="07AA51F7"/>
    <w:rsid w:val="07C047C7"/>
    <w:rsid w:val="07C16E32"/>
    <w:rsid w:val="07C956F1"/>
    <w:rsid w:val="07DE071F"/>
    <w:rsid w:val="07E53D2A"/>
    <w:rsid w:val="07E724F1"/>
    <w:rsid w:val="07F54B10"/>
    <w:rsid w:val="080D2DB2"/>
    <w:rsid w:val="08236132"/>
    <w:rsid w:val="0824157E"/>
    <w:rsid w:val="082A5712"/>
    <w:rsid w:val="08365D8B"/>
    <w:rsid w:val="083932FD"/>
    <w:rsid w:val="083C1D74"/>
    <w:rsid w:val="08442529"/>
    <w:rsid w:val="08664D5B"/>
    <w:rsid w:val="087338E5"/>
    <w:rsid w:val="087E552F"/>
    <w:rsid w:val="08935065"/>
    <w:rsid w:val="08994E2C"/>
    <w:rsid w:val="089E0248"/>
    <w:rsid w:val="08AA7F40"/>
    <w:rsid w:val="08AC09F8"/>
    <w:rsid w:val="08AF1C74"/>
    <w:rsid w:val="08B76FB8"/>
    <w:rsid w:val="08BB3B09"/>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659B3"/>
    <w:rsid w:val="09697733"/>
    <w:rsid w:val="097D56DC"/>
    <w:rsid w:val="099064B9"/>
    <w:rsid w:val="09953804"/>
    <w:rsid w:val="099A0675"/>
    <w:rsid w:val="099C034D"/>
    <w:rsid w:val="09A71810"/>
    <w:rsid w:val="09AF52BC"/>
    <w:rsid w:val="09C556F2"/>
    <w:rsid w:val="09C9680A"/>
    <w:rsid w:val="09DB3327"/>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A7141"/>
    <w:rsid w:val="0AEE775A"/>
    <w:rsid w:val="0AFF5154"/>
    <w:rsid w:val="0B0260FA"/>
    <w:rsid w:val="0B127FA5"/>
    <w:rsid w:val="0B187C06"/>
    <w:rsid w:val="0B462863"/>
    <w:rsid w:val="0B4B3360"/>
    <w:rsid w:val="0B6153F6"/>
    <w:rsid w:val="0B6C4BE2"/>
    <w:rsid w:val="0B832C7E"/>
    <w:rsid w:val="0B895D1E"/>
    <w:rsid w:val="0B903157"/>
    <w:rsid w:val="0B9335CE"/>
    <w:rsid w:val="0BA653BF"/>
    <w:rsid w:val="0BAC6F99"/>
    <w:rsid w:val="0BCD1EAC"/>
    <w:rsid w:val="0BCF142C"/>
    <w:rsid w:val="0BCF27CB"/>
    <w:rsid w:val="0BDC319A"/>
    <w:rsid w:val="0BFB783E"/>
    <w:rsid w:val="0BFD5373"/>
    <w:rsid w:val="0BFD6481"/>
    <w:rsid w:val="0BFE68ED"/>
    <w:rsid w:val="0C0F0CD9"/>
    <w:rsid w:val="0C605BA6"/>
    <w:rsid w:val="0C631998"/>
    <w:rsid w:val="0C6821F6"/>
    <w:rsid w:val="0C9724B3"/>
    <w:rsid w:val="0C990787"/>
    <w:rsid w:val="0C992D4F"/>
    <w:rsid w:val="0CAE3A50"/>
    <w:rsid w:val="0CB1049E"/>
    <w:rsid w:val="0CBF15FF"/>
    <w:rsid w:val="0CC20F4F"/>
    <w:rsid w:val="0CD90540"/>
    <w:rsid w:val="0CD91857"/>
    <w:rsid w:val="0CDA4E4E"/>
    <w:rsid w:val="0CF258A4"/>
    <w:rsid w:val="0D212A41"/>
    <w:rsid w:val="0D214045"/>
    <w:rsid w:val="0D215F2C"/>
    <w:rsid w:val="0D314FE6"/>
    <w:rsid w:val="0D330BC5"/>
    <w:rsid w:val="0D540C02"/>
    <w:rsid w:val="0D571C0F"/>
    <w:rsid w:val="0D5F19BA"/>
    <w:rsid w:val="0D637F0E"/>
    <w:rsid w:val="0D645222"/>
    <w:rsid w:val="0D6A5410"/>
    <w:rsid w:val="0D794CB6"/>
    <w:rsid w:val="0D8324ED"/>
    <w:rsid w:val="0D8F059D"/>
    <w:rsid w:val="0D8F5855"/>
    <w:rsid w:val="0D907EAE"/>
    <w:rsid w:val="0D936D15"/>
    <w:rsid w:val="0D9827E5"/>
    <w:rsid w:val="0DAF3D29"/>
    <w:rsid w:val="0DBB49DC"/>
    <w:rsid w:val="0DBC0BBA"/>
    <w:rsid w:val="0DC466B9"/>
    <w:rsid w:val="0DC54945"/>
    <w:rsid w:val="0DCC281C"/>
    <w:rsid w:val="0DF25BA4"/>
    <w:rsid w:val="0DF77047"/>
    <w:rsid w:val="0DFD573A"/>
    <w:rsid w:val="0DFE1012"/>
    <w:rsid w:val="0E0B029F"/>
    <w:rsid w:val="0E230373"/>
    <w:rsid w:val="0E236E8B"/>
    <w:rsid w:val="0E2A41ED"/>
    <w:rsid w:val="0E30302E"/>
    <w:rsid w:val="0E351EED"/>
    <w:rsid w:val="0E397874"/>
    <w:rsid w:val="0E43752E"/>
    <w:rsid w:val="0E461B92"/>
    <w:rsid w:val="0E6059EA"/>
    <w:rsid w:val="0E632208"/>
    <w:rsid w:val="0E6574A4"/>
    <w:rsid w:val="0E7C6025"/>
    <w:rsid w:val="0E844468"/>
    <w:rsid w:val="0E910299"/>
    <w:rsid w:val="0E9E135B"/>
    <w:rsid w:val="0EA44F43"/>
    <w:rsid w:val="0EA62844"/>
    <w:rsid w:val="0EC2669E"/>
    <w:rsid w:val="0EC95C60"/>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C41BDA"/>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5C0FEB"/>
    <w:rsid w:val="108120DC"/>
    <w:rsid w:val="108950E7"/>
    <w:rsid w:val="109135C4"/>
    <w:rsid w:val="10A4426E"/>
    <w:rsid w:val="10B656D8"/>
    <w:rsid w:val="10BB6F68"/>
    <w:rsid w:val="10C37A22"/>
    <w:rsid w:val="10C556C7"/>
    <w:rsid w:val="10C55FD8"/>
    <w:rsid w:val="10F772EF"/>
    <w:rsid w:val="11017A58"/>
    <w:rsid w:val="11023D17"/>
    <w:rsid w:val="110F34C8"/>
    <w:rsid w:val="111016B8"/>
    <w:rsid w:val="114415F3"/>
    <w:rsid w:val="11491151"/>
    <w:rsid w:val="1159543F"/>
    <w:rsid w:val="116230D1"/>
    <w:rsid w:val="116A7E05"/>
    <w:rsid w:val="11722460"/>
    <w:rsid w:val="117A4F14"/>
    <w:rsid w:val="119D6F55"/>
    <w:rsid w:val="11B63433"/>
    <w:rsid w:val="11BD7371"/>
    <w:rsid w:val="11CB1987"/>
    <w:rsid w:val="11D529F0"/>
    <w:rsid w:val="11DC5FC8"/>
    <w:rsid w:val="11E71072"/>
    <w:rsid w:val="11F55D84"/>
    <w:rsid w:val="11F95233"/>
    <w:rsid w:val="11FE73E1"/>
    <w:rsid w:val="1206271C"/>
    <w:rsid w:val="120A654C"/>
    <w:rsid w:val="120E39AF"/>
    <w:rsid w:val="12114BE2"/>
    <w:rsid w:val="121911ED"/>
    <w:rsid w:val="12261816"/>
    <w:rsid w:val="122816CA"/>
    <w:rsid w:val="1231523F"/>
    <w:rsid w:val="12392AE3"/>
    <w:rsid w:val="12404237"/>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477178"/>
    <w:rsid w:val="13597FDE"/>
    <w:rsid w:val="135C5234"/>
    <w:rsid w:val="13610A7C"/>
    <w:rsid w:val="136415FC"/>
    <w:rsid w:val="1370511E"/>
    <w:rsid w:val="138A2CF3"/>
    <w:rsid w:val="139600FA"/>
    <w:rsid w:val="139B1B3C"/>
    <w:rsid w:val="13AC7923"/>
    <w:rsid w:val="13BB36C2"/>
    <w:rsid w:val="13C163E4"/>
    <w:rsid w:val="13C24A51"/>
    <w:rsid w:val="13C53EDE"/>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5E67DE"/>
    <w:rsid w:val="1461426A"/>
    <w:rsid w:val="146975C2"/>
    <w:rsid w:val="14802FFF"/>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E6FE7"/>
    <w:rsid w:val="15535F3F"/>
    <w:rsid w:val="155C3CBE"/>
    <w:rsid w:val="15697093"/>
    <w:rsid w:val="15760076"/>
    <w:rsid w:val="157E5DA4"/>
    <w:rsid w:val="159F6FD6"/>
    <w:rsid w:val="15A5462A"/>
    <w:rsid w:val="15B01BBF"/>
    <w:rsid w:val="15EC3B3E"/>
    <w:rsid w:val="15F1786F"/>
    <w:rsid w:val="15F24B15"/>
    <w:rsid w:val="15F46C2A"/>
    <w:rsid w:val="16121567"/>
    <w:rsid w:val="16175528"/>
    <w:rsid w:val="16236B8C"/>
    <w:rsid w:val="162D4D4B"/>
    <w:rsid w:val="16343F81"/>
    <w:rsid w:val="163634D4"/>
    <w:rsid w:val="163948ED"/>
    <w:rsid w:val="164275F4"/>
    <w:rsid w:val="164717FA"/>
    <w:rsid w:val="1654148B"/>
    <w:rsid w:val="165710DF"/>
    <w:rsid w:val="16573B76"/>
    <w:rsid w:val="165B71D5"/>
    <w:rsid w:val="16677B31"/>
    <w:rsid w:val="166869FF"/>
    <w:rsid w:val="16700A7A"/>
    <w:rsid w:val="16734728"/>
    <w:rsid w:val="167D1103"/>
    <w:rsid w:val="1683572D"/>
    <w:rsid w:val="1698298B"/>
    <w:rsid w:val="169E0BEA"/>
    <w:rsid w:val="16A3744A"/>
    <w:rsid w:val="16AF7EFC"/>
    <w:rsid w:val="16D00899"/>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079EF"/>
    <w:rsid w:val="17C212EB"/>
    <w:rsid w:val="17C42121"/>
    <w:rsid w:val="17D66D1D"/>
    <w:rsid w:val="17D82A95"/>
    <w:rsid w:val="17D86805"/>
    <w:rsid w:val="17FB6C91"/>
    <w:rsid w:val="18053F1E"/>
    <w:rsid w:val="18085749"/>
    <w:rsid w:val="180B6D06"/>
    <w:rsid w:val="181A3262"/>
    <w:rsid w:val="181C3FF8"/>
    <w:rsid w:val="18365CFA"/>
    <w:rsid w:val="18410454"/>
    <w:rsid w:val="184114A1"/>
    <w:rsid w:val="18425C49"/>
    <w:rsid w:val="186969E3"/>
    <w:rsid w:val="18883A30"/>
    <w:rsid w:val="188C7694"/>
    <w:rsid w:val="18AE37F5"/>
    <w:rsid w:val="18BE3F0D"/>
    <w:rsid w:val="18C140E3"/>
    <w:rsid w:val="18CD6371"/>
    <w:rsid w:val="18DA0A8E"/>
    <w:rsid w:val="18DC03A2"/>
    <w:rsid w:val="18E11EA5"/>
    <w:rsid w:val="18FA4C8D"/>
    <w:rsid w:val="19054750"/>
    <w:rsid w:val="19083037"/>
    <w:rsid w:val="19092828"/>
    <w:rsid w:val="19103908"/>
    <w:rsid w:val="1933462F"/>
    <w:rsid w:val="19354E36"/>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407304"/>
    <w:rsid w:val="1A60672B"/>
    <w:rsid w:val="1A630F50"/>
    <w:rsid w:val="1A6732FB"/>
    <w:rsid w:val="1A7871D0"/>
    <w:rsid w:val="1A7929A3"/>
    <w:rsid w:val="1A7B4669"/>
    <w:rsid w:val="1A870B38"/>
    <w:rsid w:val="1A8C5DB8"/>
    <w:rsid w:val="1A8C6CF6"/>
    <w:rsid w:val="1A9417D9"/>
    <w:rsid w:val="1AA572B8"/>
    <w:rsid w:val="1AA70EB7"/>
    <w:rsid w:val="1AAA4949"/>
    <w:rsid w:val="1AB31D2F"/>
    <w:rsid w:val="1AC00AAF"/>
    <w:rsid w:val="1ACE55DA"/>
    <w:rsid w:val="1ACE6054"/>
    <w:rsid w:val="1ACE6D27"/>
    <w:rsid w:val="1AD734D7"/>
    <w:rsid w:val="1AE0038B"/>
    <w:rsid w:val="1AE34AB0"/>
    <w:rsid w:val="1AEF625F"/>
    <w:rsid w:val="1B403FA5"/>
    <w:rsid w:val="1B450A9E"/>
    <w:rsid w:val="1B481CDF"/>
    <w:rsid w:val="1B4B17D0"/>
    <w:rsid w:val="1B524326"/>
    <w:rsid w:val="1B55168B"/>
    <w:rsid w:val="1B561283"/>
    <w:rsid w:val="1B5A455C"/>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03A01"/>
    <w:rsid w:val="1C762201"/>
    <w:rsid w:val="1C87757C"/>
    <w:rsid w:val="1C911F05"/>
    <w:rsid w:val="1C9232F2"/>
    <w:rsid w:val="1C943E77"/>
    <w:rsid w:val="1C993860"/>
    <w:rsid w:val="1CA06DAD"/>
    <w:rsid w:val="1CB517E1"/>
    <w:rsid w:val="1CBF5FD1"/>
    <w:rsid w:val="1CC07FCD"/>
    <w:rsid w:val="1CCD060E"/>
    <w:rsid w:val="1CCE78E1"/>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832A14"/>
    <w:rsid w:val="1D8C44DA"/>
    <w:rsid w:val="1D90430C"/>
    <w:rsid w:val="1DA228F6"/>
    <w:rsid w:val="1DA26C67"/>
    <w:rsid w:val="1DB571C9"/>
    <w:rsid w:val="1DB624A5"/>
    <w:rsid w:val="1DBF6F58"/>
    <w:rsid w:val="1DD41F50"/>
    <w:rsid w:val="1DFB74DD"/>
    <w:rsid w:val="1DFC5003"/>
    <w:rsid w:val="1E203D43"/>
    <w:rsid w:val="1E2527AC"/>
    <w:rsid w:val="1E2A3F9F"/>
    <w:rsid w:val="1E65546D"/>
    <w:rsid w:val="1E7B6900"/>
    <w:rsid w:val="1E933E22"/>
    <w:rsid w:val="1EB60A31"/>
    <w:rsid w:val="1EC6457D"/>
    <w:rsid w:val="1EC7170B"/>
    <w:rsid w:val="1EC7534C"/>
    <w:rsid w:val="1ECD7160"/>
    <w:rsid w:val="1ED11BB0"/>
    <w:rsid w:val="1ED34F83"/>
    <w:rsid w:val="1ED641E3"/>
    <w:rsid w:val="1EED4935"/>
    <w:rsid w:val="1EF15FC6"/>
    <w:rsid w:val="1F196F16"/>
    <w:rsid w:val="1F1F544D"/>
    <w:rsid w:val="1F294330"/>
    <w:rsid w:val="1F2A3EE6"/>
    <w:rsid w:val="1F5164BE"/>
    <w:rsid w:val="1F530AFF"/>
    <w:rsid w:val="1F550636"/>
    <w:rsid w:val="1F5642FC"/>
    <w:rsid w:val="1F6725BD"/>
    <w:rsid w:val="1F6F0182"/>
    <w:rsid w:val="1F751014"/>
    <w:rsid w:val="1F7A16FF"/>
    <w:rsid w:val="1F841E94"/>
    <w:rsid w:val="1F86410F"/>
    <w:rsid w:val="1F88077C"/>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542A53"/>
    <w:rsid w:val="20665891"/>
    <w:rsid w:val="20823312"/>
    <w:rsid w:val="208241B4"/>
    <w:rsid w:val="208F5999"/>
    <w:rsid w:val="20AA6F98"/>
    <w:rsid w:val="20AF45AF"/>
    <w:rsid w:val="20B05494"/>
    <w:rsid w:val="20B417FA"/>
    <w:rsid w:val="20BD4F1E"/>
    <w:rsid w:val="20D109C9"/>
    <w:rsid w:val="20EE5770"/>
    <w:rsid w:val="20FD17BE"/>
    <w:rsid w:val="2107261C"/>
    <w:rsid w:val="210B52D2"/>
    <w:rsid w:val="21147FEE"/>
    <w:rsid w:val="2132760F"/>
    <w:rsid w:val="213F7E47"/>
    <w:rsid w:val="21592FEC"/>
    <w:rsid w:val="215B2DFE"/>
    <w:rsid w:val="215C5CD9"/>
    <w:rsid w:val="215F2E6D"/>
    <w:rsid w:val="218B2E3C"/>
    <w:rsid w:val="219E13DD"/>
    <w:rsid w:val="21AC3DB3"/>
    <w:rsid w:val="21B5456C"/>
    <w:rsid w:val="21C0289A"/>
    <w:rsid w:val="21C314C7"/>
    <w:rsid w:val="21CB366A"/>
    <w:rsid w:val="21E53DD4"/>
    <w:rsid w:val="21F91F85"/>
    <w:rsid w:val="21FE67C3"/>
    <w:rsid w:val="21FF567A"/>
    <w:rsid w:val="220019CB"/>
    <w:rsid w:val="22080E1D"/>
    <w:rsid w:val="222E4A4B"/>
    <w:rsid w:val="224564ED"/>
    <w:rsid w:val="225B1C1A"/>
    <w:rsid w:val="22655D1C"/>
    <w:rsid w:val="227A5579"/>
    <w:rsid w:val="227B3EC3"/>
    <w:rsid w:val="22AC6E9D"/>
    <w:rsid w:val="22AF6B28"/>
    <w:rsid w:val="22B21656"/>
    <w:rsid w:val="22BF1959"/>
    <w:rsid w:val="22FE3A70"/>
    <w:rsid w:val="23007343"/>
    <w:rsid w:val="230A1D1E"/>
    <w:rsid w:val="230F3D0A"/>
    <w:rsid w:val="232E3EB1"/>
    <w:rsid w:val="23341448"/>
    <w:rsid w:val="23385650"/>
    <w:rsid w:val="23425BAE"/>
    <w:rsid w:val="234339E2"/>
    <w:rsid w:val="23517B9F"/>
    <w:rsid w:val="23531B69"/>
    <w:rsid w:val="235C6C70"/>
    <w:rsid w:val="237F04EF"/>
    <w:rsid w:val="23841437"/>
    <w:rsid w:val="23880DD8"/>
    <w:rsid w:val="238A3CA3"/>
    <w:rsid w:val="23AA4BFB"/>
    <w:rsid w:val="23AF4708"/>
    <w:rsid w:val="23C16A9A"/>
    <w:rsid w:val="23C465C3"/>
    <w:rsid w:val="23E66003"/>
    <w:rsid w:val="23F80076"/>
    <w:rsid w:val="23FC534D"/>
    <w:rsid w:val="23FE2FB7"/>
    <w:rsid w:val="23FE3AF7"/>
    <w:rsid w:val="24150BCD"/>
    <w:rsid w:val="241B7142"/>
    <w:rsid w:val="241F6BDF"/>
    <w:rsid w:val="24452007"/>
    <w:rsid w:val="244802C7"/>
    <w:rsid w:val="244C0B39"/>
    <w:rsid w:val="245A32E7"/>
    <w:rsid w:val="246102B6"/>
    <w:rsid w:val="24635935"/>
    <w:rsid w:val="24660E6A"/>
    <w:rsid w:val="24665559"/>
    <w:rsid w:val="24691825"/>
    <w:rsid w:val="248E0BEE"/>
    <w:rsid w:val="249222CA"/>
    <w:rsid w:val="249B49DE"/>
    <w:rsid w:val="24B056E4"/>
    <w:rsid w:val="24BE3012"/>
    <w:rsid w:val="24CC572F"/>
    <w:rsid w:val="24CF65FC"/>
    <w:rsid w:val="24D258A5"/>
    <w:rsid w:val="24DA6A74"/>
    <w:rsid w:val="24DB4BCD"/>
    <w:rsid w:val="24F602A0"/>
    <w:rsid w:val="250025A0"/>
    <w:rsid w:val="252966D9"/>
    <w:rsid w:val="25296C9F"/>
    <w:rsid w:val="25401D76"/>
    <w:rsid w:val="2544236B"/>
    <w:rsid w:val="25453733"/>
    <w:rsid w:val="255249D2"/>
    <w:rsid w:val="256C3562"/>
    <w:rsid w:val="257F6C45"/>
    <w:rsid w:val="25882662"/>
    <w:rsid w:val="258C736F"/>
    <w:rsid w:val="25977271"/>
    <w:rsid w:val="259B2D68"/>
    <w:rsid w:val="259E7D45"/>
    <w:rsid w:val="25A6077B"/>
    <w:rsid w:val="25A941CC"/>
    <w:rsid w:val="25A97E1E"/>
    <w:rsid w:val="25B40CD0"/>
    <w:rsid w:val="25BC160E"/>
    <w:rsid w:val="25BF4424"/>
    <w:rsid w:val="25C17AFA"/>
    <w:rsid w:val="25C251DB"/>
    <w:rsid w:val="25E00E0C"/>
    <w:rsid w:val="25EF379B"/>
    <w:rsid w:val="25FA611E"/>
    <w:rsid w:val="25FC2044"/>
    <w:rsid w:val="25FD7B6A"/>
    <w:rsid w:val="260C11C1"/>
    <w:rsid w:val="261049C1"/>
    <w:rsid w:val="261E645E"/>
    <w:rsid w:val="26215F4F"/>
    <w:rsid w:val="26383109"/>
    <w:rsid w:val="264043A1"/>
    <w:rsid w:val="2641214D"/>
    <w:rsid w:val="264E7E9A"/>
    <w:rsid w:val="26597FFC"/>
    <w:rsid w:val="265F30DF"/>
    <w:rsid w:val="26697AAB"/>
    <w:rsid w:val="266D2F42"/>
    <w:rsid w:val="2673065B"/>
    <w:rsid w:val="26746071"/>
    <w:rsid w:val="267839D3"/>
    <w:rsid w:val="26802C75"/>
    <w:rsid w:val="268423E1"/>
    <w:rsid w:val="26890627"/>
    <w:rsid w:val="26937CAB"/>
    <w:rsid w:val="26A43060"/>
    <w:rsid w:val="26BB1EFF"/>
    <w:rsid w:val="26BB2001"/>
    <w:rsid w:val="26C467F8"/>
    <w:rsid w:val="26DD103B"/>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BF60E1"/>
    <w:rsid w:val="27C53958"/>
    <w:rsid w:val="27D36D37"/>
    <w:rsid w:val="27DA4B73"/>
    <w:rsid w:val="27E61F25"/>
    <w:rsid w:val="27EC31BB"/>
    <w:rsid w:val="27ED2CBD"/>
    <w:rsid w:val="27F53BDC"/>
    <w:rsid w:val="27F63DA6"/>
    <w:rsid w:val="27FA5CB6"/>
    <w:rsid w:val="280D34EA"/>
    <w:rsid w:val="281466B1"/>
    <w:rsid w:val="281713B7"/>
    <w:rsid w:val="281824A7"/>
    <w:rsid w:val="28312BBF"/>
    <w:rsid w:val="283902DE"/>
    <w:rsid w:val="283B7736"/>
    <w:rsid w:val="284C64E6"/>
    <w:rsid w:val="2852403A"/>
    <w:rsid w:val="28530F27"/>
    <w:rsid w:val="285F673E"/>
    <w:rsid w:val="28644CCA"/>
    <w:rsid w:val="28687E65"/>
    <w:rsid w:val="286B1C5E"/>
    <w:rsid w:val="28732D83"/>
    <w:rsid w:val="288F6949"/>
    <w:rsid w:val="28911AF2"/>
    <w:rsid w:val="289151CA"/>
    <w:rsid w:val="28A10C81"/>
    <w:rsid w:val="28A2680F"/>
    <w:rsid w:val="28AB1AFF"/>
    <w:rsid w:val="28B63487"/>
    <w:rsid w:val="28DF17A9"/>
    <w:rsid w:val="28E92551"/>
    <w:rsid w:val="28EB31BC"/>
    <w:rsid w:val="28EB583C"/>
    <w:rsid w:val="28EB65CC"/>
    <w:rsid w:val="28EC2844"/>
    <w:rsid w:val="28F402DA"/>
    <w:rsid w:val="28FC78BE"/>
    <w:rsid w:val="29000A40"/>
    <w:rsid w:val="29031621"/>
    <w:rsid w:val="290F29AF"/>
    <w:rsid w:val="292D0766"/>
    <w:rsid w:val="293634F4"/>
    <w:rsid w:val="29600B3C"/>
    <w:rsid w:val="29606D8E"/>
    <w:rsid w:val="29671ECA"/>
    <w:rsid w:val="29770361"/>
    <w:rsid w:val="2985201E"/>
    <w:rsid w:val="29A273A6"/>
    <w:rsid w:val="29C55899"/>
    <w:rsid w:val="29C96048"/>
    <w:rsid w:val="29D3130E"/>
    <w:rsid w:val="29DC1452"/>
    <w:rsid w:val="29F2147C"/>
    <w:rsid w:val="2A0C4A40"/>
    <w:rsid w:val="2A0D3DED"/>
    <w:rsid w:val="2A104310"/>
    <w:rsid w:val="2A133E0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AFE060C"/>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1D0F66"/>
    <w:rsid w:val="2C3447BE"/>
    <w:rsid w:val="2C3B1B1B"/>
    <w:rsid w:val="2C3C07B5"/>
    <w:rsid w:val="2C3C1CCE"/>
    <w:rsid w:val="2C3D3C75"/>
    <w:rsid w:val="2C4B420E"/>
    <w:rsid w:val="2C56006A"/>
    <w:rsid w:val="2C5A16A1"/>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5756FC"/>
    <w:rsid w:val="2D5D5591"/>
    <w:rsid w:val="2D74743A"/>
    <w:rsid w:val="2D7C11D4"/>
    <w:rsid w:val="2D7F4766"/>
    <w:rsid w:val="2D8D3A62"/>
    <w:rsid w:val="2DAF3E40"/>
    <w:rsid w:val="2DBE7F60"/>
    <w:rsid w:val="2DDF3360"/>
    <w:rsid w:val="2DE81100"/>
    <w:rsid w:val="2DF6381D"/>
    <w:rsid w:val="2DF6788C"/>
    <w:rsid w:val="2E0D1588"/>
    <w:rsid w:val="2E3944B7"/>
    <w:rsid w:val="2E3D6EFE"/>
    <w:rsid w:val="2E4749F8"/>
    <w:rsid w:val="2E4C1B78"/>
    <w:rsid w:val="2E73313B"/>
    <w:rsid w:val="2E81720F"/>
    <w:rsid w:val="2E866E5E"/>
    <w:rsid w:val="2E9077CD"/>
    <w:rsid w:val="2EA916B2"/>
    <w:rsid w:val="2EB46A04"/>
    <w:rsid w:val="2EB84F76"/>
    <w:rsid w:val="2EC62DA5"/>
    <w:rsid w:val="2ECB7077"/>
    <w:rsid w:val="2EED318E"/>
    <w:rsid w:val="2EFE3F3B"/>
    <w:rsid w:val="2F0C331C"/>
    <w:rsid w:val="2F0F1794"/>
    <w:rsid w:val="2F176141"/>
    <w:rsid w:val="2F1A0856"/>
    <w:rsid w:val="2F2443BA"/>
    <w:rsid w:val="2F2B5B05"/>
    <w:rsid w:val="2F386C31"/>
    <w:rsid w:val="2F475C7E"/>
    <w:rsid w:val="2F486024"/>
    <w:rsid w:val="2F523B34"/>
    <w:rsid w:val="2F5E78CC"/>
    <w:rsid w:val="2F667CCB"/>
    <w:rsid w:val="2F681310"/>
    <w:rsid w:val="2F6C283B"/>
    <w:rsid w:val="2F743B89"/>
    <w:rsid w:val="2F7E2877"/>
    <w:rsid w:val="2F8567D8"/>
    <w:rsid w:val="2F8B5040"/>
    <w:rsid w:val="2F9107C4"/>
    <w:rsid w:val="2F961B57"/>
    <w:rsid w:val="2FA40DFE"/>
    <w:rsid w:val="2FDC6A42"/>
    <w:rsid w:val="2FE65B09"/>
    <w:rsid w:val="2FFF53A8"/>
    <w:rsid w:val="30047098"/>
    <w:rsid w:val="30077F63"/>
    <w:rsid w:val="30115CE5"/>
    <w:rsid w:val="30135C1F"/>
    <w:rsid w:val="30191760"/>
    <w:rsid w:val="3028092A"/>
    <w:rsid w:val="302F54E7"/>
    <w:rsid w:val="30477D6F"/>
    <w:rsid w:val="304863A9"/>
    <w:rsid w:val="306C4DF1"/>
    <w:rsid w:val="30726790"/>
    <w:rsid w:val="30801AC4"/>
    <w:rsid w:val="30823D65"/>
    <w:rsid w:val="30831C53"/>
    <w:rsid w:val="308E438B"/>
    <w:rsid w:val="30A43A04"/>
    <w:rsid w:val="30C87FB8"/>
    <w:rsid w:val="30CB1DAF"/>
    <w:rsid w:val="30E90E2B"/>
    <w:rsid w:val="30ED02EA"/>
    <w:rsid w:val="30FF267A"/>
    <w:rsid w:val="30FF594C"/>
    <w:rsid w:val="310A2A14"/>
    <w:rsid w:val="310F59F0"/>
    <w:rsid w:val="31125E2D"/>
    <w:rsid w:val="31395BA8"/>
    <w:rsid w:val="3141666D"/>
    <w:rsid w:val="31422C6A"/>
    <w:rsid w:val="3143321D"/>
    <w:rsid w:val="31480833"/>
    <w:rsid w:val="314B14BF"/>
    <w:rsid w:val="3158219E"/>
    <w:rsid w:val="316D537E"/>
    <w:rsid w:val="31716348"/>
    <w:rsid w:val="317355F2"/>
    <w:rsid w:val="31807FCD"/>
    <w:rsid w:val="3185517F"/>
    <w:rsid w:val="3185793C"/>
    <w:rsid w:val="319475D5"/>
    <w:rsid w:val="31975317"/>
    <w:rsid w:val="31A041CB"/>
    <w:rsid w:val="31A87524"/>
    <w:rsid w:val="31B06C89"/>
    <w:rsid w:val="31B91778"/>
    <w:rsid w:val="31C2569E"/>
    <w:rsid w:val="31C96BD0"/>
    <w:rsid w:val="31D04385"/>
    <w:rsid w:val="31D45FDF"/>
    <w:rsid w:val="31D9377A"/>
    <w:rsid w:val="31E15891"/>
    <w:rsid w:val="31F043F4"/>
    <w:rsid w:val="32170EE1"/>
    <w:rsid w:val="325066A8"/>
    <w:rsid w:val="3255680A"/>
    <w:rsid w:val="32563FE3"/>
    <w:rsid w:val="325C6E21"/>
    <w:rsid w:val="325D3410"/>
    <w:rsid w:val="325F0A17"/>
    <w:rsid w:val="3260226B"/>
    <w:rsid w:val="327652E9"/>
    <w:rsid w:val="327A5FF1"/>
    <w:rsid w:val="32810B80"/>
    <w:rsid w:val="32A468A4"/>
    <w:rsid w:val="32A55CC0"/>
    <w:rsid w:val="32A937D2"/>
    <w:rsid w:val="32C95971"/>
    <w:rsid w:val="32CF5928"/>
    <w:rsid w:val="32D97115"/>
    <w:rsid w:val="32E41009"/>
    <w:rsid w:val="32E9078F"/>
    <w:rsid w:val="32ED34FF"/>
    <w:rsid w:val="330856D0"/>
    <w:rsid w:val="332B3F69"/>
    <w:rsid w:val="33316646"/>
    <w:rsid w:val="333A06E2"/>
    <w:rsid w:val="33462B8C"/>
    <w:rsid w:val="33491C13"/>
    <w:rsid w:val="335E45B2"/>
    <w:rsid w:val="33617488"/>
    <w:rsid w:val="33680D19"/>
    <w:rsid w:val="33691E57"/>
    <w:rsid w:val="336E025D"/>
    <w:rsid w:val="336F654B"/>
    <w:rsid w:val="33735D99"/>
    <w:rsid w:val="33736E76"/>
    <w:rsid w:val="337570A4"/>
    <w:rsid w:val="33833CFC"/>
    <w:rsid w:val="33A269EC"/>
    <w:rsid w:val="33A856B1"/>
    <w:rsid w:val="33A930DF"/>
    <w:rsid w:val="33AB2922"/>
    <w:rsid w:val="33AE6B10"/>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9D6F1D"/>
    <w:rsid w:val="34AF7CC9"/>
    <w:rsid w:val="34B14942"/>
    <w:rsid w:val="34C87463"/>
    <w:rsid w:val="34DB376C"/>
    <w:rsid w:val="34E526B4"/>
    <w:rsid w:val="34F03DC0"/>
    <w:rsid w:val="34FE7262"/>
    <w:rsid w:val="352407FC"/>
    <w:rsid w:val="352612DF"/>
    <w:rsid w:val="35284201"/>
    <w:rsid w:val="35322B1F"/>
    <w:rsid w:val="3535498A"/>
    <w:rsid w:val="35471E10"/>
    <w:rsid w:val="354F3660"/>
    <w:rsid w:val="355004C3"/>
    <w:rsid w:val="3556146D"/>
    <w:rsid w:val="355724F0"/>
    <w:rsid w:val="35584DBD"/>
    <w:rsid w:val="356B5D07"/>
    <w:rsid w:val="357240D1"/>
    <w:rsid w:val="357A4D33"/>
    <w:rsid w:val="35810326"/>
    <w:rsid w:val="358C5E8C"/>
    <w:rsid w:val="358D7C9B"/>
    <w:rsid w:val="358E2186"/>
    <w:rsid w:val="35A53AF4"/>
    <w:rsid w:val="35AA4C6A"/>
    <w:rsid w:val="35B90B5D"/>
    <w:rsid w:val="35C81F43"/>
    <w:rsid w:val="35CC1726"/>
    <w:rsid w:val="35DE239E"/>
    <w:rsid w:val="35E06512"/>
    <w:rsid w:val="35E33F92"/>
    <w:rsid w:val="36010FB1"/>
    <w:rsid w:val="360212D1"/>
    <w:rsid w:val="360C7B72"/>
    <w:rsid w:val="360E2480"/>
    <w:rsid w:val="361327DB"/>
    <w:rsid w:val="361C6D2E"/>
    <w:rsid w:val="361E1B63"/>
    <w:rsid w:val="361F1CFE"/>
    <w:rsid w:val="362F026F"/>
    <w:rsid w:val="36371201"/>
    <w:rsid w:val="363720E3"/>
    <w:rsid w:val="3639711B"/>
    <w:rsid w:val="363E765D"/>
    <w:rsid w:val="364611F8"/>
    <w:rsid w:val="36592830"/>
    <w:rsid w:val="36632356"/>
    <w:rsid w:val="367409D2"/>
    <w:rsid w:val="367B56C5"/>
    <w:rsid w:val="367C5173"/>
    <w:rsid w:val="36915D46"/>
    <w:rsid w:val="36B81FB7"/>
    <w:rsid w:val="36BA3202"/>
    <w:rsid w:val="36CA31B0"/>
    <w:rsid w:val="36D20797"/>
    <w:rsid w:val="36E65B3A"/>
    <w:rsid w:val="36FF3742"/>
    <w:rsid w:val="370346A6"/>
    <w:rsid w:val="37113475"/>
    <w:rsid w:val="37252E94"/>
    <w:rsid w:val="37296474"/>
    <w:rsid w:val="373227C5"/>
    <w:rsid w:val="37405833"/>
    <w:rsid w:val="374101FF"/>
    <w:rsid w:val="375869AC"/>
    <w:rsid w:val="375B253A"/>
    <w:rsid w:val="375F2433"/>
    <w:rsid w:val="37666B6B"/>
    <w:rsid w:val="37675674"/>
    <w:rsid w:val="376B1978"/>
    <w:rsid w:val="37940CA8"/>
    <w:rsid w:val="37C0746E"/>
    <w:rsid w:val="37D848CF"/>
    <w:rsid w:val="37DA41AF"/>
    <w:rsid w:val="37DB157C"/>
    <w:rsid w:val="37DB3C7D"/>
    <w:rsid w:val="37EE7D30"/>
    <w:rsid w:val="37F62976"/>
    <w:rsid w:val="37F77F19"/>
    <w:rsid w:val="38034F62"/>
    <w:rsid w:val="38042FDA"/>
    <w:rsid w:val="381C3F20"/>
    <w:rsid w:val="3822692C"/>
    <w:rsid w:val="38343F2A"/>
    <w:rsid w:val="38490F9C"/>
    <w:rsid w:val="384C1631"/>
    <w:rsid w:val="38542754"/>
    <w:rsid w:val="386C03A0"/>
    <w:rsid w:val="386D6DD1"/>
    <w:rsid w:val="387D5108"/>
    <w:rsid w:val="38850AD8"/>
    <w:rsid w:val="38B10FD7"/>
    <w:rsid w:val="38B2326B"/>
    <w:rsid w:val="38BD498D"/>
    <w:rsid w:val="38D81B11"/>
    <w:rsid w:val="38ED2653"/>
    <w:rsid w:val="38FC71A8"/>
    <w:rsid w:val="38FD1F03"/>
    <w:rsid w:val="39020983"/>
    <w:rsid w:val="39037F6C"/>
    <w:rsid w:val="3904042D"/>
    <w:rsid w:val="3916668B"/>
    <w:rsid w:val="39214610"/>
    <w:rsid w:val="39265342"/>
    <w:rsid w:val="39317DFF"/>
    <w:rsid w:val="39464964"/>
    <w:rsid w:val="395224D9"/>
    <w:rsid w:val="39535FC7"/>
    <w:rsid w:val="395601FC"/>
    <w:rsid w:val="397B4E62"/>
    <w:rsid w:val="39972B1A"/>
    <w:rsid w:val="399A1410"/>
    <w:rsid w:val="39C47D94"/>
    <w:rsid w:val="39CD1539"/>
    <w:rsid w:val="39CD5D32"/>
    <w:rsid w:val="39DA1DFA"/>
    <w:rsid w:val="39DC71EB"/>
    <w:rsid w:val="39DD4817"/>
    <w:rsid w:val="39DD5D2E"/>
    <w:rsid w:val="39E01A69"/>
    <w:rsid w:val="39ED1E73"/>
    <w:rsid w:val="39FD79FE"/>
    <w:rsid w:val="3A045F91"/>
    <w:rsid w:val="3A076679"/>
    <w:rsid w:val="3A0A0953"/>
    <w:rsid w:val="3A211C22"/>
    <w:rsid w:val="3A2C4127"/>
    <w:rsid w:val="3A3C7179"/>
    <w:rsid w:val="3A4F0AA8"/>
    <w:rsid w:val="3A543DA5"/>
    <w:rsid w:val="3A5576B6"/>
    <w:rsid w:val="3A682780"/>
    <w:rsid w:val="3A687850"/>
    <w:rsid w:val="3A697EB7"/>
    <w:rsid w:val="3A6E455A"/>
    <w:rsid w:val="3A701E17"/>
    <w:rsid w:val="3A764E67"/>
    <w:rsid w:val="3A7F0311"/>
    <w:rsid w:val="3A845141"/>
    <w:rsid w:val="3A8538B6"/>
    <w:rsid w:val="3A884EF1"/>
    <w:rsid w:val="3A8C5141"/>
    <w:rsid w:val="3A99205F"/>
    <w:rsid w:val="3AA52853"/>
    <w:rsid w:val="3AA648FE"/>
    <w:rsid w:val="3AAA7D3D"/>
    <w:rsid w:val="3AD117FB"/>
    <w:rsid w:val="3AD4138A"/>
    <w:rsid w:val="3AD72904"/>
    <w:rsid w:val="3AD75A09"/>
    <w:rsid w:val="3ADC5AFD"/>
    <w:rsid w:val="3AE17BBC"/>
    <w:rsid w:val="3AED6A12"/>
    <w:rsid w:val="3B007A89"/>
    <w:rsid w:val="3B0E664A"/>
    <w:rsid w:val="3B0F5ABD"/>
    <w:rsid w:val="3B2F4F75"/>
    <w:rsid w:val="3B31477D"/>
    <w:rsid w:val="3B315914"/>
    <w:rsid w:val="3B422101"/>
    <w:rsid w:val="3B4715CB"/>
    <w:rsid w:val="3B5008D7"/>
    <w:rsid w:val="3B7346FF"/>
    <w:rsid w:val="3B7D5180"/>
    <w:rsid w:val="3B7F15E2"/>
    <w:rsid w:val="3B824942"/>
    <w:rsid w:val="3B8536A6"/>
    <w:rsid w:val="3B9F0C51"/>
    <w:rsid w:val="3BA00572"/>
    <w:rsid w:val="3BB1021B"/>
    <w:rsid w:val="3BE15B0C"/>
    <w:rsid w:val="3BF72A83"/>
    <w:rsid w:val="3C135790"/>
    <w:rsid w:val="3C1752F7"/>
    <w:rsid w:val="3C193171"/>
    <w:rsid w:val="3C1E3214"/>
    <w:rsid w:val="3C2528C6"/>
    <w:rsid w:val="3C371BD0"/>
    <w:rsid w:val="3C4F1FEA"/>
    <w:rsid w:val="3C5A58BF"/>
    <w:rsid w:val="3C5B6745"/>
    <w:rsid w:val="3C5E3DBD"/>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254E4B"/>
    <w:rsid w:val="3D295A26"/>
    <w:rsid w:val="3D36346C"/>
    <w:rsid w:val="3D4269DA"/>
    <w:rsid w:val="3D430EA3"/>
    <w:rsid w:val="3D47560D"/>
    <w:rsid w:val="3D483B85"/>
    <w:rsid w:val="3D523BCD"/>
    <w:rsid w:val="3D645169"/>
    <w:rsid w:val="3D6933DE"/>
    <w:rsid w:val="3D7C3859"/>
    <w:rsid w:val="3D80607F"/>
    <w:rsid w:val="3D8F2120"/>
    <w:rsid w:val="3D8F30A0"/>
    <w:rsid w:val="3D9372DA"/>
    <w:rsid w:val="3D990E61"/>
    <w:rsid w:val="3DA327E5"/>
    <w:rsid w:val="3DB01C7C"/>
    <w:rsid w:val="3DB334D8"/>
    <w:rsid w:val="3DBA1ADA"/>
    <w:rsid w:val="3DC355A6"/>
    <w:rsid w:val="3DC42D6E"/>
    <w:rsid w:val="3DD009EA"/>
    <w:rsid w:val="3DD05142"/>
    <w:rsid w:val="3DD122A2"/>
    <w:rsid w:val="3DD64752"/>
    <w:rsid w:val="3DD80DF7"/>
    <w:rsid w:val="3DE17E96"/>
    <w:rsid w:val="3DE26317"/>
    <w:rsid w:val="3DEB1B40"/>
    <w:rsid w:val="3DFC4E7F"/>
    <w:rsid w:val="3E097D00"/>
    <w:rsid w:val="3E0A6467"/>
    <w:rsid w:val="3E0D0E3B"/>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4497A"/>
    <w:rsid w:val="3EEF22EE"/>
    <w:rsid w:val="3EF02AD3"/>
    <w:rsid w:val="3F024C1A"/>
    <w:rsid w:val="3F0D0FA0"/>
    <w:rsid w:val="3F21052E"/>
    <w:rsid w:val="3F330C34"/>
    <w:rsid w:val="3F3917F4"/>
    <w:rsid w:val="3F397A0D"/>
    <w:rsid w:val="3F4A39C9"/>
    <w:rsid w:val="3F625E8E"/>
    <w:rsid w:val="3F6A673B"/>
    <w:rsid w:val="3F716AD8"/>
    <w:rsid w:val="3F725458"/>
    <w:rsid w:val="3F8844F1"/>
    <w:rsid w:val="3F8C2A74"/>
    <w:rsid w:val="3FA70307"/>
    <w:rsid w:val="3FA7458E"/>
    <w:rsid w:val="3FB22390"/>
    <w:rsid w:val="3FB4130E"/>
    <w:rsid w:val="3FCF1529"/>
    <w:rsid w:val="3FDD2A57"/>
    <w:rsid w:val="3FE37E33"/>
    <w:rsid w:val="3FEF2134"/>
    <w:rsid w:val="3FF027C2"/>
    <w:rsid w:val="3FF55C7D"/>
    <w:rsid w:val="3FF676AC"/>
    <w:rsid w:val="400E03CE"/>
    <w:rsid w:val="401171AD"/>
    <w:rsid w:val="40225AF1"/>
    <w:rsid w:val="403D5148"/>
    <w:rsid w:val="403D6B94"/>
    <w:rsid w:val="40507C98"/>
    <w:rsid w:val="40580367"/>
    <w:rsid w:val="4061657E"/>
    <w:rsid w:val="40642B5B"/>
    <w:rsid w:val="40695C34"/>
    <w:rsid w:val="406A7016"/>
    <w:rsid w:val="40767673"/>
    <w:rsid w:val="407707ED"/>
    <w:rsid w:val="40892318"/>
    <w:rsid w:val="408E0789"/>
    <w:rsid w:val="40A76FA9"/>
    <w:rsid w:val="40AC084A"/>
    <w:rsid w:val="40D05FDB"/>
    <w:rsid w:val="40DB515E"/>
    <w:rsid w:val="40E30197"/>
    <w:rsid w:val="40E63D94"/>
    <w:rsid w:val="40EA1367"/>
    <w:rsid w:val="40EB151F"/>
    <w:rsid w:val="40ED4F53"/>
    <w:rsid w:val="40F25A91"/>
    <w:rsid w:val="40FD0036"/>
    <w:rsid w:val="41061575"/>
    <w:rsid w:val="411C387B"/>
    <w:rsid w:val="41292B74"/>
    <w:rsid w:val="41406E31"/>
    <w:rsid w:val="414E3836"/>
    <w:rsid w:val="41592854"/>
    <w:rsid w:val="41670735"/>
    <w:rsid w:val="416E516B"/>
    <w:rsid w:val="418812BB"/>
    <w:rsid w:val="418D4040"/>
    <w:rsid w:val="419E7FFC"/>
    <w:rsid w:val="419F3079"/>
    <w:rsid w:val="41A153F5"/>
    <w:rsid w:val="41AE3A67"/>
    <w:rsid w:val="41C95125"/>
    <w:rsid w:val="41EA02ED"/>
    <w:rsid w:val="42075BA1"/>
    <w:rsid w:val="4215282E"/>
    <w:rsid w:val="42166627"/>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0460"/>
    <w:rsid w:val="42C13D5C"/>
    <w:rsid w:val="42D65C3E"/>
    <w:rsid w:val="42DD74CF"/>
    <w:rsid w:val="42DF3579"/>
    <w:rsid w:val="42E264C2"/>
    <w:rsid w:val="42E85CD3"/>
    <w:rsid w:val="42F54D63"/>
    <w:rsid w:val="43011E27"/>
    <w:rsid w:val="430D368B"/>
    <w:rsid w:val="430F20A0"/>
    <w:rsid w:val="43135F0F"/>
    <w:rsid w:val="431B6CC7"/>
    <w:rsid w:val="43225F65"/>
    <w:rsid w:val="433A3C4A"/>
    <w:rsid w:val="435720D9"/>
    <w:rsid w:val="435D7A57"/>
    <w:rsid w:val="43615785"/>
    <w:rsid w:val="43732880"/>
    <w:rsid w:val="43865952"/>
    <w:rsid w:val="438F0BB0"/>
    <w:rsid w:val="43993170"/>
    <w:rsid w:val="43BF04EA"/>
    <w:rsid w:val="43C05A1E"/>
    <w:rsid w:val="43CF4932"/>
    <w:rsid w:val="43D22CDA"/>
    <w:rsid w:val="43D354DC"/>
    <w:rsid w:val="43E3106F"/>
    <w:rsid w:val="4405353A"/>
    <w:rsid w:val="44063CF3"/>
    <w:rsid w:val="44072973"/>
    <w:rsid w:val="44095C00"/>
    <w:rsid w:val="44117E2D"/>
    <w:rsid w:val="441822E7"/>
    <w:rsid w:val="442F13DF"/>
    <w:rsid w:val="44426345"/>
    <w:rsid w:val="444B2816"/>
    <w:rsid w:val="445279AA"/>
    <w:rsid w:val="4453331F"/>
    <w:rsid w:val="445F3A86"/>
    <w:rsid w:val="4478636B"/>
    <w:rsid w:val="447A0DB3"/>
    <w:rsid w:val="447B4624"/>
    <w:rsid w:val="447D2B53"/>
    <w:rsid w:val="4481712B"/>
    <w:rsid w:val="44901E7E"/>
    <w:rsid w:val="449F54A7"/>
    <w:rsid w:val="44A1052F"/>
    <w:rsid w:val="44C93406"/>
    <w:rsid w:val="44D74994"/>
    <w:rsid w:val="44DD0E3B"/>
    <w:rsid w:val="44E67CEF"/>
    <w:rsid w:val="44F62875"/>
    <w:rsid w:val="44FB02DC"/>
    <w:rsid w:val="45033921"/>
    <w:rsid w:val="45080856"/>
    <w:rsid w:val="45111EFE"/>
    <w:rsid w:val="451730A2"/>
    <w:rsid w:val="451955A3"/>
    <w:rsid w:val="45205199"/>
    <w:rsid w:val="45260B70"/>
    <w:rsid w:val="45357C2D"/>
    <w:rsid w:val="453A003B"/>
    <w:rsid w:val="45467C1A"/>
    <w:rsid w:val="45523E0A"/>
    <w:rsid w:val="45603F46"/>
    <w:rsid w:val="45784EE5"/>
    <w:rsid w:val="45790587"/>
    <w:rsid w:val="457C33A8"/>
    <w:rsid w:val="45800144"/>
    <w:rsid w:val="458804FE"/>
    <w:rsid w:val="458D57CB"/>
    <w:rsid w:val="4595726A"/>
    <w:rsid w:val="45C67177"/>
    <w:rsid w:val="45D048BE"/>
    <w:rsid w:val="45DE626C"/>
    <w:rsid w:val="45E87332"/>
    <w:rsid w:val="45EB660D"/>
    <w:rsid w:val="45F13477"/>
    <w:rsid w:val="45FD7B3D"/>
    <w:rsid w:val="460A10C2"/>
    <w:rsid w:val="46220C85"/>
    <w:rsid w:val="46230254"/>
    <w:rsid w:val="46244F73"/>
    <w:rsid w:val="46287B26"/>
    <w:rsid w:val="462A00B0"/>
    <w:rsid w:val="462D24EF"/>
    <w:rsid w:val="46534E0B"/>
    <w:rsid w:val="46692DA8"/>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C305D"/>
    <w:rsid w:val="474E29C1"/>
    <w:rsid w:val="475569C5"/>
    <w:rsid w:val="475A49C5"/>
    <w:rsid w:val="475E44B5"/>
    <w:rsid w:val="476121D8"/>
    <w:rsid w:val="476A063C"/>
    <w:rsid w:val="477C748E"/>
    <w:rsid w:val="478A7058"/>
    <w:rsid w:val="47941208"/>
    <w:rsid w:val="47A101B2"/>
    <w:rsid w:val="47AB5220"/>
    <w:rsid w:val="47BF2852"/>
    <w:rsid w:val="47BF386C"/>
    <w:rsid w:val="47C3256A"/>
    <w:rsid w:val="47C95C6C"/>
    <w:rsid w:val="47EC7022"/>
    <w:rsid w:val="47FC7940"/>
    <w:rsid w:val="48030B33"/>
    <w:rsid w:val="48046015"/>
    <w:rsid w:val="4819316F"/>
    <w:rsid w:val="482F5E51"/>
    <w:rsid w:val="483F125D"/>
    <w:rsid w:val="48546F47"/>
    <w:rsid w:val="48580B32"/>
    <w:rsid w:val="485B43A9"/>
    <w:rsid w:val="48635024"/>
    <w:rsid w:val="486C0E54"/>
    <w:rsid w:val="48735D3E"/>
    <w:rsid w:val="487B675C"/>
    <w:rsid w:val="48954DA6"/>
    <w:rsid w:val="48A95C04"/>
    <w:rsid w:val="48B22238"/>
    <w:rsid w:val="48B33076"/>
    <w:rsid w:val="48C4330A"/>
    <w:rsid w:val="48D55EB3"/>
    <w:rsid w:val="48DA0701"/>
    <w:rsid w:val="48DF324A"/>
    <w:rsid w:val="48E052EC"/>
    <w:rsid w:val="48E65AEE"/>
    <w:rsid w:val="48F50E49"/>
    <w:rsid w:val="48F80CE7"/>
    <w:rsid w:val="49096FCD"/>
    <w:rsid w:val="491B0811"/>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84FA8"/>
    <w:rsid w:val="4A4E1094"/>
    <w:rsid w:val="4A561717"/>
    <w:rsid w:val="4A5D3269"/>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A37AE"/>
    <w:rsid w:val="4ADC6651"/>
    <w:rsid w:val="4AE2340C"/>
    <w:rsid w:val="4AE72A13"/>
    <w:rsid w:val="4AFB3A8D"/>
    <w:rsid w:val="4AFF6999"/>
    <w:rsid w:val="4B0E61F2"/>
    <w:rsid w:val="4B21257E"/>
    <w:rsid w:val="4B290FE3"/>
    <w:rsid w:val="4B322207"/>
    <w:rsid w:val="4B3B5793"/>
    <w:rsid w:val="4B58050B"/>
    <w:rsid w:val="4B5A25F7"/>
    <w:rsid w:val="4B663597"/>
    <w:rsid w:val="4B6A0768"/>
    <w:rsid w:val="4B6B0CBD"/>
    <w:rsid w:val="4B705719"/>
    <w:rsid w:val="4B7B47F9"/>
    <w:rsid w:val="4B8D7117"/>
    <w:rsid w:val="4BA563FE"/>
    <w:rsid w:val="4BB77663"/>
    <w:rsid w:val="4BBF1EF3"/>
    <w:rsid w:val="4BC54DE5"/>
    <w:rsid w:val="4BCB7306"/>
    <w:rsid w:val="4BD52968"/>
    <w:rsid w:val="4BD91D02"/>
    <w:rsid w:val="4BE2600E"/>
    <w:rsid w:val="4BE34975"/>
    <w:rsid w:val="4BE57820"/>
    <w:rsid w:val="4BF657A1"/>
    <w:rsid w:val="4BFB7B74"/>
    <w:rsid w:val="4C0457A1"/>
    <w:rsid w:val="4C1E1023"/>
    <w:rsid w:val="4C2070A8"/>
    <w:rsid w:val="4C3F2C78"/>
    <w:rsid w:val="4C42244E"/>
    <w:rsid w:val="4C437DCE"/>
    <w:rsid w:val="4C6D3DA8"/>
    <w:rsid w:val="4C727CFA"/>
    <w:rsid w:val="4C88081B"/>
    <w:rsid w:val="4C8872A2"/>
    <w:rsid w:val="4C9C19F3"/>
    <w:rsid w:val="4CA47183"/>
    <w:rsid w:val="4CB7606E"/>
    <w:rsid w:val="4CDE186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53699"/>
    <w:rsid w:val="4DF82017"/>
    <w:rsid w:val="4E0E661C"/>
    <w:rsid w:val="4E1E3790"/>
    <w:rsid w:val="4E236895"/>
    <w:rsid w:val="4E2E44B5"/>
    <w:rsid w:val="4E4C57ED"/>
    <w:rsid w:val="4E5505A6"/>
    <w:rsid w:val="4E820BD8"/>
    <w:rsid w:val="4E874C8C"/>
    <w:rsid w:val="4E8D729C"/>
    <w:rsid w:val="4E8E1C0C"/>
    <w:rsid w:val="4E9609D8"/>
    <w:rsid w:val="4E98004C"/>
    <w:rsid w:val="4EA5208F"/>
    <w:rsid w:val="4EAC01FC"/>
    <w:rsid w:val="4EAE617F"/>
    <w:rsid w:val="4EBC7D13"/>
    <w:rsid w:val="4EBD702F"/>
    <w:rsid w:val="4EC310A1"/>
    <w:rsid w:val="4EC818B0"/>
    <w:rsid w:val="4ECB59F9"/>
    <w:rsid w:val="4ECE1CAC"/>
    <w:rsid w:val="4EE414BB"/>
    <w:rsid w:val="4EE87B84"/>
    <w:rsid w:val="4EFE0DEE"/>
    <w:rsid w:val="4EFF65C5"/>
    <w:rsid w:val="4F0052D1"/>
    <w:rsid w:val="4F014784"/>
    <w:rsid w:val="4F0431E6"/>
    <w:rsid w:val="4F1B712F"/>
    <w:rsid w:val="4F1C605F"/>
    <w:rsid w:val="4F254824"/>
    <w:rsid w:val="4F2658BE"/>
    <w:rsid w:val="4F42646A"/>
    <w:rsid w:val="4F4736A7"/>
    <w:rsid w:val="4F585C8E"/>
    <w:rsid w:val="4F7914EF"/>
    <w:rsid w:val="4F7A7F42"/>
    <w:rsid w:val="4F9174FD"/>
    <w:rsid w:val="4F9402D2"/>
    <w:rsid w:val="4FB10142"/>
    <w:rsid w:val="4FB82BD0"/>
    <w:rsid w:val="4FC643B6"/>
    <w:rsid w:val="4FD1578E"/>
    <w:rsid w:val="4FE10E76"/>
    <w:rsid w:val="4FEE2189"/>
    <w:rsid w:val="4FF71C3D"/>
    <w:rsid w:val="50016856"/>
    <w:rsid w:val="5008518B"/>
    <w:rsid w:val="500B32A2"/>
    <w:rsid w:val="501A4DE6"/>
    <w:rsid w:val="502B6647"/>
    <w:rsid w:val="502B6EFE"/>
    <w:rsid w:val="50324E90"/>
    <w:rsid w:val="503D7EA1"/>
    <w:rsid w:val="504C1B11"/>
    <w:rsid w:val="504E68CB"/>
    <w:rsid w:val="505F48A5"/>
    <w:rsid w:val="506472D4"/>
    <w:rsid w:val="50664FFD"/>
    <w:rsid w:val="50666C7A"/>
    <w:rsid w:val="507460A4"/>
    <w:rsid w:val="5094445D"/>
    <w:rsid w:val="509C0D4E"/>
    <w:rsid w:val="50A23A1E"/>
    <w:rsid w:val="50AC44E3"/>
    <w:rsid w:val="50B57EA9"/>
    <w:rsid w:val="50BC2B26"/>
    <w:rsid w:val="50BE1984"/>
    <w:rsid w:val="50D141C6"/>
    <w:rsid w:val="50D53FCF"/>
    <w:rsid w:val="50D94FDD"/>
    <w:rsid w:val="50EA120A"/>
    <w:rsid w:val="50F115EA"/>
    <w:rsid w:val="50F72C9C"/>
    <w:rsid w:val="50FC0DB6"/>
    <w:rsid w:val="511107EA"/>
    <w:rsid w:val="511F2007"/>
    <w:rsid w:val="51271E2F"/>
    <w:rsid w:val="51342CAA"/>
    <w:rsid w:val="51366F32"/>
    <w:rsid w:val="513B5867"/>
    <w:rsid w:val="51406A38"/>
    <w:rsid w:val="514B4E4E"/>
    <w:rsid w:val="516578E1"/>
    <w:rsid w:val="517174DB"/>
    <w:rsid w:val="518049FF"/>
    <w:rsid w:val="51890380"/>
    <w:rsid w:val="51932FAD"/>
    <w:rsid w:val="51A06E66"/>
    <w:rsid w:val="51AF590D"/>
    <w:rsid w:val="51B475E9"/>
    <w:rsid w:val="51BA020E"/>
    <w:rsid w:val="51C05FF6"/>
    <w:rsid w:val="51D135DE"/>
    <w:rsid w:val="51DF4444"/>
    <w:rsid w:val="51ED6B61"/>
    <w:rsid w:val="51F65295"/>
    <w:rsid w:val="51F872B4"/>
    <w:rsid w:val="51FD3DB6"/>
    <w:rsid w:val="52034AEB"/>
    <w:rsid w:val="52097713"/>
    <w:rsid w:val="520C3BB6"/>
    <w:rsid w:val="52125C42"/>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1F2A57"/>
    <w:rsid w:val="53275D3D"/>
    <w:rsid w:val="532760A3"/>
    <w:rsid w:val="533354CF"/>
    <w:rsid w:val="533407C0"/>
    <w:rsid w:val="53346A12"/>
    <w:rsid w:val="53346B96"/>
    <w:rsid w:val="535D5DC8"/>
    <w:rsid w:val="537961D3"/>
    <w:rsid w:val="537A3167"/>
    <w:rsid w:val="537D2360"/>
    <w:rsid w:val="53811E50"/>
    <w:rsid w:val="5393482C"/>
    <w:rsid w:val="53B22465"/>
    <w:rsid w:val="53B45F49"/>
    <w:rsid w:val="53B72F65"/>
    <w:rsid w:val="53BE3989"/>
    <w:rsid w:val="53D83751"/>
    <w:rsid w:val="53D85151"/>
    <w:rsid w:val="53E844A9"/>
    <w:rsid w:val="53FD2AC2"/>
    <w:rsid w:val="5409404E"/>
    <w:rsid w:val="54134B75"/>
    <w:rsid w:val="54164746"/>
    <w:rsid w:val="541F238F"/>
    <w:rsid w:val="542E2ADC"/>
    <w:rsid w:val="54301FB8"/>
    <w:rsid w:val="543341B9"/>
    <w:rsid w:val="543415ED"/>
    <w:rsid w:val="5438608E"/>
    <w:rsid w:val="544607AB"/>
    <w:rsid w:val="544B7F7E"/>
    <w:rsid w:val="54501D22"/>
    <w:rsid w:val="54592AA9"/>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E7993"/>
    <w:rsid w:val="54EF0774"/>
    <w:rsid w:val="54F2448F"/>
    <w:rsid w:val="54FE2E33"/>
    <w:rsid w:val="550B2DC8"/>
    <w:rsid w:val="551E1403"/>
    <w:rsid w:val="5520724E"/>
    <w:rsid w:val="5540169E"/>
    <w:rsid w:val="55466588"/>
    <w:rsid w:val="5547793A"/>
    <w:rsid w:val="554C32B2"/>
    <w:rsid w:val="55501E76"/>
    <w:rsid w:val="55701D69"/>
    <w:rsid w:val="55731E3E"/>
    <w:rsid w:val="557A0272"/>
    <w:rsid w:val="557E29D7"/>
    <w:rsid w:val="558F2195"/>
    <w:rsid w:val="55900035"/>
    <w:rsid w:val="559455FC"/>
    <w:rsid w:val="55AF798B"/>
    <w:rsid w:val="55BC7E49"/>
    <w:rsid w:val="55CA70E8"/>
    <w:rsid w:val="55DA564E"/>
    <w:rsid w:val="55EC471E"/>
    <w:rsid w:val="55ED4967"/>
    <w:rsid w:val="55F350C4"/>
    <w:rsid w:val="561B14C6"/>
    <w:rsid w:val="561B7A15"/>
    <w:rsid w:val="5622727F"/>
    <w:rsid w:val="56247722"/>
    <w:rsid w:val="56342FDD"/>
    <w:rsid w:val="56467B64"/>
    <w:rsid w:val="565626F9"/>
    <w:rsid w:val="565671A2"/>
    <w:rsid w:val="56685CA8"/>
    <w:rsid w:val="56694C24"/>
    <w:rsid w:val="56740DC7"/>
    <w:rsid w:val="56753961"/>
    <w:rsid w:val="5677558B"/>
    <w:rsid w:val="569C2904"/>
    <w:rsid w:val="56AA3219"/>
    <w:rsid w:val="56CF2574"/>
    <w:rsid w:val="56CF424D"/>
    <w:rsid w:val="56DE4C00"/>
    <w:rsid w:val="570847EE"/>
    <w:rsid w:val="57212E09"/>
    <w:rsid w:val="573270B5"/>
    <w:rsid w:val="57331689"/>
    <w:rsid w:val="57443B56"/>
    <w:rsid w:val="57614844"/>
    <w:rsid w:val="57664CC0"/>
    <w:rsid w:val="576A00D2"/>
    <w:rsid w:val="576A530D"/>
    <w:rsid w:val="57877110"/>
    <w:rsid w:val="57971A40"/>
    <w:rsid w:val="579E4D2D"/>
    <w:rsid w:val="57A24175"/>
    <w:rsid w:val="57B75717"/>
    <w:rsid w:val="57C470D2"/>
    <w:rsid w:val="57C77E19"/>
    <w:rsid w:val="57CA488B"/>
    <w:rsid w:val="57DB3900"/>
    <w:rsid w:val="57DB47FB"/>
    <w:rsid w:val="57FB18AC"/>
    <w:rsid w:val="580846BB"/>
    <w:rsid w:val="5816050F"/>
    <w:rsid w:val="581D5CC6"/>
    <w:rsid w:val="581F1E06"/>
    <w:rsid w:val="58205F1A"/>
    <w:rsid w:val="582468CD"/>
    <w:rsid w:val="582840C5"/>
    <w:rsid w:val="583074F9"/>
    <w:rsid w:val="583515AC"/>
    <w:rsid w:val="584B45E2"/>
    <w:rsid w:val="584C2587"/>
    <w:rsid w:val="585127AA"/>
    <w:rsid w:val="585D5314"/>
    <w:rsid w:val="58603D47"/>
    <w:rsid w:val="58743A0C"/>
    <w:rsid w:val="58795D80"/>
    <w:rsid w:val="58BB3CCE"/>
    <w:rsid w:val="58C97BB5"/>
    <w:rsid w:val="58CD3249"/>
    <w:rsid w:val="58DE0E81"/>
    <w:rsid w:val="59125866"/>
    <w:rsid w:val="5915352F"/>
    <w:rsid w:val="591B0458"/>
    <w:rsid w:val="59213DE0"/>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BF6EE5"/>
    <w:rsid w:val="59DB746A"/>
    <w:rsid w:val="59F2154E"/>
    <w:rsid w:val="59F36B5D"/>
    <w:rsid w:val="59F9691A"/>
    <w:rsid w:val="5A012975"/>
    <w:rsid w:val="5A0233C6"/>
    <w:rsid w:val="5A097A39"/>
    <w:rsid w:val="5A112448"/>
    <w:rsid w:val="5A1E417A"/>
    <w:rsid w:val="5A266C4C"/>
    <w:rsid w:val="5A2D3B53"/>
    <w:rsid w:val="5A3B2434"/>
    <w:rsid w:val="5A6457FD"/>
    <w:rsid w:val="5A645A7F"/>
    <w:rsid w:val="5A653116"/>
    <w:rsid w:val="5A7035CD"/>
    <w:rsid w:val="5A7E3799"/>
    <w:rsid w:val="5A873ECB"/>
    <w:rsid w:val="5A934A0F"/>
    <w:rsid w:val="5A957C98"/>
    <w:rsid w:val="5A9E6D6F"/>
    <w:rsid w:val="5AAC50E0"/>
    <w:rsid w:val="5AAD60EA"/>
    <w:rsid w:val="5AB61DE0"/>
    <w:rsid w:val="5ACB527F"/>
    <w:rsid w:val="5AD7761B"/>
    <w:rsid w:val="5AF96739"/>
    <w:rsid w:val="5AFE3E43"/>
    <w:rsid w:val="5B072DB6"/>
    <w:rsid w:val="5B19492B"/>
    <w:rsid w:val="5B233465"/>
    <w:rsid w:val="5B2630E4"/>
    <w:rsid w:val="5B2B7747"/>
    <w:rsid w:val="5B506B61"/>
    <w:rsid w:val="5B5F0F2E"/>
    <w:rsid w:val="5B667984"/>
    <w:rsid w:val="5B6B796C"/>
    <w:rsid w:val="5B7C0F56"/>
    <w:rsid w:val="5B9808C1"/>
    <w:rsid w:val="5BA32ED4"/>
    <w:rsid w:val="5BB10CB2"/>
    <w:rsid w:val="5BC16A09"/>
    <w:rsid w:val="5BC86C25"/>
    <w:rsid w:val="5C012CC6"/>
    <w:rsid w:val="5C144408"/>
    <w:rsid w:val="5C3B496D"/>
    <w:rsid w:val="5C503DE0"/>
    <w:rsid w:val="5C5435D1"/>
    <w:rsid w:val="5C5C5BA5"/>
    <w:rsid w:val="5C6C0FCA"/>
    <w:rsid w:val="5C8005D2"/>
    <w:rsid w:val="5C8C4702"/>
    <w:rsid w:val="5C936557"/>
    <w:rsid w:val="5C943DBC"/>
    <w:rsid w:val="5C997625"/>
    <w:rsid w:val="5CA57080"/>
    <w:rsid w:val="5CA77E21"/>
    <w:rsid w:val="5CAF0BE0"/>
    <w:rsid w:val="5CB458BA"/>
    <w:rsid w:val="5CDC782C"/>
    <w:rsid w:val="5CDF3569"/>
    <w:rsid w:val="5CE23DAC"/>
    <w:rsid w:val="5CE73917"/>
    <w:rsid w:val="5D0A73AF"/>
    <w:rsid w:val="5D120F26"/>
    <w:rsid w:val="5D1F603D"/>
    <w:rsid w:val="5D376039"/>
    <w:rsid w:val="5D3777B6"/>
    <w:rsid w:val="5D3E31E9"/>
    <w:rsid w:val="5D436E42"/>
    <w:rsid w:val="5D63667B"/>
    <w:rsid w:val="5D6F2EDA"/>
    <w:rsid w:val="5D783847"/>
    <w:rsid w:val="5D83037A"/>
    <w:rsid w:val="5D8E1D59"/>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4F4071"/>
    <w:rsid w:val="5E5D7A78"/>
    <w:rsid w:val="5E6006BB"/>
    <w:rsid w:val="5E7833A1"/>
    <w:rsid w:val="5E8274BA"/>
    <w:rsid w:val="5E8530EF"/>
    <w:rsid w:val="5EA06D09"/>
    <w:rsid w:val="5EA53C9A"/>
    <w:rsid w:val="5EB822A5"/>
    <w:rsid w:val="5EBC7F37"/>
    <w:rsid w:val="5ECE7D1A"/>
    <w:rsid w:val="5ED36C86"/>
    <w:rsid w:val="5EDA60B0"/>
    <w:rsid w:val="5EE35A57"/>
    <w:rsid w:val="5EFC14D2"/>
    <w:rsid w:val="5EFD415C"/>
    <w:rsid w:val="5F1645A7"/>
    <w:rsid w:val="5F49114F"/>
    <w:rsid w:val="5F6A54DD"/>
    <w:rsid w:val="5F8115FB"/>
    <w:rsid w:val="5F815969"/>
    <w:rsid w:val="5F8B4FA7"/>
    <w:rsid w:val="5F9617AA"/>
    <w:rsid w:val="5F9B72D1"/>
    <w:rsid w:val="5FAB0A44"/>
    <w:rsid w:val="5FB17C29"/>
    <w:rsid w:val="5FB34738"/>
    <w:rsid w:val="5FB95E1C"/>
    <w:rsid w:val="5FC353A5"/>
    <w:rsid w:val="5FC85F82"/>
    <w:rsid w:val="5FCB3FE5"/>
    <w:rsid w:val="5FCD607F"/>
    <w:rsid w:val="5FDC5EDE"/>
    <w:rsid w:val="5FEB2206"/>
    <w:rsid w:val="5FED772C"/>
    <w:rsid w:val="5FF97EAE"/>
    <w:rsid w:val="5FFA117E"/>
    <w:rsid w:val="60155C27"/>
    <w:rsid w:val="60162D11"/>
    <w:rsid w:val="601A6070"/>
    <w:rsid w:val="60226F8B"/>
    <w:rsid w:val="602806E3"/>
    <w:rsid w:val="602E2042"/>
    <w:rsid w:val="603B4F3C"/>
    <w:rsid w:val="60477ABF"/>
    <w:rsid w:val="604B06AE"/>
    <w:rsid w:val="60526566"/>
    <w:rsid w:val="607F756F"/>
    <w:rsid w:val="60917251"/>
    <w:rsid w:val="60982996"/>
    <w:rsid w:val="60A96E90"/>
    <w:rsid w:val="60B75F9E"/>
    <w:rsid w:val="60C53D01"/>
    <w:rsid w:val="60C9018D"/>
    <w:rsid w:val="60DA12FD"/>
    <w:rsid w:val="61012C93"/>
    <w:rsid w:val="61053FC5"/>
    <w:rsid w:val="610C088E"/>
    <w:rsid w:val="614A03E6"/>
    <w:rsid w:val="61531A50"/>
    <w:rsid w:val="61532201"/>
    <w:rsid w:val="61651210"/>
    <w:rsid w:val="61666018"/>
    <w:rsid w:val="616B46BB"/>
    <w:rsid w:val="616E1CFF"/>
    <w:rsid w:val="616E5EB6"/>
    <w:rsid w:val="617526CF"/>
    <w:rsid w:val="618560EB"/>
    <w:rsid w:val="618E3791"/>
    <w:rsid w:val="619743F4"/>
    <w:rsid w:val="619B5D77"/>
    <w:rsid w:val="61B10243"/>
    <w:rsid w:val="61BB2DD9"/>
    <w:rsid w:val="61C00B2F"/>
    <w:rsid w:val="61C3411F"/>
    <w:rsid w:val="61DD1B9A"/>
    <w:rsid w:val="61E136F6"/>
    <w:rsid w:val="61F4426B"/>
    <w:rsid w:val="61F83805"/>
    <w:rsid w:val="62022776"/>
    <w:rsid w:val="6205764C"/>
    <w:rsid w:val="620E45EE"/>
    <w:rsid w:val="621F13DC"/>
    <w:rsid w:val="62256C85"/>
    <w:rsid w:val="623600B0"/>
    <w:rsid w:val="623E7B68"/>
    <w:rsid w:val="62562501"/>
    <w:rsid w:val="6256299E"/>
    <w:rsid w:val="62574D95"/>
    <w:rsid w:val="62583769"/>
    <w:rsid w:val="62586747"/>
    <w:rsid w:val="626C60B7"/>
    <w:rsid w:val="62746498"/>
    <w:rsid w:val="62922E0D"/>
    <w:rsid w:val="62937FCE"/>
    <w:rsid w:val="62982A5C"/>
    <w:rsid w:val="62CB6D60"/>
    <w:rsid w:val="62E358B2"/>
    <w:rsid w:val="62EA49F7"/>
    <w:rsid w:val="62F154C5"/>
    <w:rsid w:val="62FD0A5D"/>
    <w:rsid w:val="63162338"/>
    <w:rsid w:val="632036E4"/>
    <w:rsid w:val="63232EB3"/>
    <w:rsid w:val="63267478"/>
    <w:rsid w:val="633D315E"/>
    <w:rsid w:val="63504ABF"/>
    <w:rsid w:val="63517786"/>
    <w:rsid w:val="636447A9"/>
    <w:rsid w:val="637052D7"/>
    <w:rsid w:val="638438AF"/>
    <w:rsid w:val="6388739F"/>
    <w:rsid w:val="6389099E"/>
    <w:rsid w:val="63954DAA"/>
    <w:rsid w:val="63B65FDE"/>
    <w:rsid w:val="63C74AA3"/>
    <w:rsid w:val="63D57455"/>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9D7BEC"/>
    <w:rsid w:val="64A9391A"/>
    <w:rsid w:val="64AF7CA6"/>
    <w:rsid w:val="64D03BCB"/>
    <w:rsid w:val="64D77B16"/>
    <w:rsid w:val="64DC08B1"/>
    <w:rsid w:val="64F55A2C"/>
    <w:rsid w:val="64F953C5"/>
    <w:rsid w:val="651B533C"/>
    <w:rsid w:val="651E27DC"/>
    <w:rsid w:val="65206DF6"/>
    <w:rsid w:val="65291D8F"/>
    <w:rsid w:val="65570D94"/>
    <w:rsid w:val="655774EE"/>
    <w:rsid w:val="656C4831"/>
    <w:rsid w:val="65795592"/>
    <w:rsid w:val="65A10F4D"/>
    <w:rsid w:val="65A93335"/>
    <w:rsid w:val="65B51681"/>
    <w:rsid w:val="65B765E2"/>
    <w:rsid w:val="65BC5BDE"/>
    <w:rsid w:val="65CB4FB4"/>
    <w:rsid w:val="65D3678B"/>
    <w:rsid w:val="65DB69B9"/>
    <w:rsid w:val="65E142CF"/>
    <w:rsid w:val="65F16DEF"/>
    <w:rsid w:val="65FF5B93"/>
    <w:rsid w:val="660540EE"/>
    <w:rsid w:val="66081715"/>
    <w:rsid w:val="661673E0"/>
    <w:rsid w:val="661A1A97"/>
    <w:rsid w:val="661A3845"/>
    <w:rsid w:val="661B00EA"/>
    <w:rsid w:val="661D360B"/>
    <w:rsid w:val="664E7EA2"/>
    <w:rsid w:val="66523C3F"/>
    <w:rsid w:val="66541F53"/>
    <w:rsid w:val="665C126F"/>
    <w:rsid w:val="6660647F"/>
    <w:rsid w:val="66613222"/>
    <w:rsid w:val="66820F47"/>
    <w:rsid w:val="668A782A"/>
    <w:rsid w:val="66AF1795"/>
    <w:rsid w:val="66B07CC1"/>
    <w:rsid w:val="66B14B24"/>
    <w:rsid w:val="66B27D18"/>
    <w:rsid w:val="66D1442C"/>
    <w:rsid w:val="66D47E7F"/>
    <w:rsid w:val="66D64E5B"/>
    <w:rsid w:val="66DD089D"/>
    <w:rsid w:val="66DD4F9F"/>
    <w:rsid w:val="66DE592A"/>
    <w:rsid w:val="66F0016C"/>
    <w:rsid w:val="66F65B16"/>
    <w:rsid w:val="66FA0812"/>
    <w:rsid w:val="66FB2BD0"/>
    <w:rsid w:val="66FC2971"/>
    <w:rsid w:val="670008EB"/>
    <w:rsid w:val="67103ED9"/>
    <w:rsid w:val="67262B05"/>
    <w:rsid w:val="672C7CD4"/>
    <w:rsid w:val="672D277E"/>
    <w:rsid w:val="674E513F"/>
    <w:rsid w:val="674E6BDA"/>
    <w:rsid w:val="67610E75"/>
    <w:rsid w:val="676F0F89"/>
    <w:rsid w:val="677047C4"/>
    <w:rsid w:val="677178CC"/>
    <w:rsid w:val="677977BA"/>
    <w:rsid w:val="67797A29"/>
    <w:rsid w:val="678952B2"/>
    <w:rsid w:val="679D31F9"/>
    <w:rsid w:val="679D3BF4"/>
    <w:rsid w:val="679D472E"/>
    <w:rsid w:val="67A41618"/>
    <w:rsid w:val="67AE4749"/>
    <w:rsid w:val="67C56A11"/>
    <w:rsid w:val="67DC3A63"/>
    <w:rsid w:val="67E071EA"/>
    <w:rsid w:val="67FC4971"/>
    <w:rsid w:val="68152516"/>
    <w:rsid w:val="68221BAF"/>
    <w:rsid w:val="682D62D9"/>
    <w:rsid w:val="685143BC"/>
    <w:rsid w:val="68542A0A"/>
    <w:rsid w:val="68555296"/>
    <w:rsid w:val="685A68BE"/>
    <w:rsid w:val="686C1E80"/>
    <w:rsid w:val="68816836"/>
    <w:rsid w:val="689079C3"/>
    <w:rsid w:val="689A2A1B"/>
    <w:rsid w:val="68B95597"/>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262C83"/>
    <w:rsid w:val="6A373F19"/>
    <w:rsid w:val="6A3F0B90"/>
    <w:rsid w:val="6A3F71AB"/>
    <w:rsid w:val="6A407F9F"/>
    <w:rsid w:val="6A425119"/>
    <w:rsid w:val="6A4620BF"/>
    <w:rsid w:val="6A4D5F32"/>
    <w:rsid w:val="6A5D65D9"/>
    <w:rsid w:val="6A653139"/>
    <w:rsid w:val="6A6908F7"/>
    <w:rsid w:val="6A722F0B"/>
    <w:rsid w:val="6A7A4D5B"/>
    <w:rsid w:val="6A7E7518"/>
    <w:rsid w:val="6A825953"/>
    <w:rsid w:val="6A881C38"/>
    <w:rsid w:val="6A8A11E6"/>
    <w:rsid w:val="6A8B2F63"/>
    <w:rsid w:val="6A955B90"/>
    <w:rsid w:val="6A9C6F1F"/>
    <w:rsid w:val="6AA33E09"/>
    <w:rsid w:val="6AC034F3"/>
    <w:rsid w:val="6AC96987"/>
    <w:rsid w:val="6AD24017"/>
    <w:rsid w:val="6AD42C61"/>
    <w:rsid w:val="6ADB4209"/>
    <w:rsid w:val="6AE14092"/>
    <w:rsid w:val="6AEA323D"/>
    <w:rsid w:val="6AF07997"/>
    <w:rsid w:val="6AF5032D"/>
    <w:rsid w:val="6AFB2812"/>
    <w:rsid w:val="6AFF182D"/>
    <w:rsid w:val="6B032C8C"/>
    <w:rsid w:val="6B0F64B4"/>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2A7712"/>
    <w:rsid w:val="6C3E2214"/>
    <w:rsid w:val="6C427652"/>
    <w:rsid w:val="6C4D48CD"/>
    <w:rsid w:val="6C643A6C"/>
    <w:rsid w:val="6C661592"/>
    <w:rsid w:val="6C8202CD"/>
    <w:rsid w:val="6C8639E2"/>
    <w:rsid w:val="6C961621"/>
    <w:rsid w:val="6C9D5038"/>
    <w:rsid w:val="6CBB7DE1"/>
    <w:rsid w:val="6CC445CB"/>
    <w:rsid w:val="6CD042ED"/>
    <w:rsid w:val="6CDA2357"/>
    <w:rsid w:val="6CE8212C"/>
    <w:rsid w:val="6CED6224"/>
    <w:rsid w:val="6CF01775"/>
    <w:rsid w:val="6CFB62C0"/>
    <w:rsid w:val="6CFD7CAA"/>
    <w:rsid w:val="6D026DE8"/>
    <w:rsid w:val="6D0316B2"/>
    <w:rsid w:val="6D087337"/>
    <w:rsid w:val="6D0E1321"/>
    <w:rsid w:val="6D104BE0"/>
    <w:rsid w:val="6D132371"/>
    <w:rsid w:val="6D1338DD"/>
    <w:rsid w:val="6D153789"/>
    <w:rsid w:val="6D1E28F0"/>
    <w:rsid w:val="6D3B4D97"/>
    <w:rsid w:val="6D487B73"/>
    <w:rsid w:val="6D4A2408"/>
    <w:rsid w:val="6D4B1E5A"/>
    <w:rsid w:val="6D54588F"/>
    <w:rsid w:val="6D5E70E9"/>
    <w:rsid w:val="6D6729D8"/>
    <w:rsid w:val="6D6E09F2"/>
    <w:rsid w:val="6D852386"/>
    <w:rsid w:val="6DBD67AE"/>
    <w:rsid w:val="6DCE4F79"/>
    <w:rsid w:val="6DCF3167"/>
    <w:rsid w:val="6DD54C21"/>
    <w:rsid w:val="6DD8026E"/>
    <w:rsid w:val="6DF453C2"/>
    <w:rsid w:val="6DFC1EB9"/>
    <w:rsid w:val="6E25722B"/>
    <w:rsid w:val="6E3363CE"/>
    <w:rsid w:val="6E3C316F"/>
    <w:rsid w:val="6E453429"/>
    <w:rsid w:val="6E456275"/>
    <w:rsid w:val="6E4E36BD"/>
    <w:rsid w:val="6E5161B1"/>
    <w:rsid w:val="6E6127F4"/>
    <w:rsid w:val="6E631ECC"/>
    <w:rsid w:val="6E860D5E"/>
    <w:rsid w:val="6E880670"/>
    <w:rsid w:val="6E9028F6"/>
    <w:rsid w:val="6EA81F5F"/>
    <w:rsid w:val="6EB7522E"/>
    <w:rsid w:val="6EC002E5"/>
    <w:rsid w:val="6EC64ECD"/>
    <w:rsid w:val="6EC71F62"/>
    <w:rsid w:val="6ECD2CED"/>
    <w:rsid w:val="6EE1422E"/>
    <w:rsid w:val="6EE449F0"/>
    <w:rsid w:val="6EF14DB2"/>
    <w:rsid w:val="6EFA06B8"/>
    <w:rsid w:val="6F046E40"/>
    <w:rsid w:val="6F1743AC"/>
    <w:rsid w:val="6F2B58DE"/>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6FFE5F86"/>
    <w:rsid w:val="70020E6A"/>
    <w:rsid w:val="70060CE6"/>
    <w:rsid w:val="700D7F77"/>
    <w:rsid w:val="701A60AC"/>
    <w:rsid w:val="702149D3"/>
    <w:rsid w:val="7021684B"/>
    <w:rsid w:val="70217D0F"/>
    <w:rsid w:val="703F7C59"/>
    <w:rsid w:val="7045295A"/>
    <w:rsid w:val="7047527A"/>
    <w:rsid w:val="704E0CBB"/>
    <w:rsid w:val="7056241A"/>
    <w:rsid w:val="705C767F"/>
    <w:rsid w:val="707B2CB1"/>
    <w:rsid w:val="70924B19"/>
    <w:rsid w:val="70952588"/>
    <w:rsid w:val="70A34833"/>
    <w:rsid w:val="70A46A4B"/>
    <w:rsid w:val="70B75478"/>
    <w:rsid w:val="70BA7DE6"/>
    <w:rsid w:val="70BF74C3"/>
    <w:rsid w:val="70D56048"/>
    <w:rsid w:val="70DA3248"/>
    <w:rsid w:val="70DB6936"/>
    <w:rsid w:val="71027F8C"/>
    <w:rsid w:val="710A0DE2"/>
    <w:rsid w:val="712A4901"/>
    <w:rsid w:val="7134264D"/>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371E1"/>
    <w:rsid w:val="71E450CA"/>
    <w:rsid w:val="71EA7F5E"/>
    <w:rsid w:val="71EE0EE5"/>
    <w:rsid w:val="71F773F9"/>
    <w:rsid w:val="71FB452B"/>
    <w:rsid w:val="72025ED5"/>
    <w:rsid w:val="720A7322"/>
    <w:rsid w:val="72137E38"/>
    <w:rsid w:val="721C41A5"/>
    <w:rsid w:val="721E571E"/>
    <w:rsid w:val="721F7D69"/>
    <w:rsid w:val="7225336C"/>
    <w:rsid w:val="722E3E35"/>
    <w:rsid w:val="724A7260"/>
    <w:rsid w:val="724B68D9"/>
    <w:rsid w:val="72541E8D"/>
    <w:rsid w:val="725E62FA"/>
    <w:rsid w:val="72860473"/>
    <w:rsid w:val="7299364D"/>
    <w:rsid w:val="72C16C93"/>
    <w:rsid w:val="72C9344C"/>
    <w:rsid w:val="72D66A82"/>
    <w:rsid w:val="72D67597"/>
    <w:rsid w:val="72E43D31"/>
    <w:rsid w:val="72FF6E9B"/>
    <w:rsid w:val="73027148"/>
    <w:rsid w:val="7305147C"/>
    <w:rsid w:val="731A30F8"/>
    <w:rsid w:val="733A7EE8"/>
    <w:rsid w:val="734D11ED"/>
    <w:rsid w:val="735A55D3"/>
    <w:rsid w:val="73621B80"/>
    <w:rsid w:val="73740A39"/>
    <w:rsid w:val="7375174D"/>
    <w:rsid w:val="73795D83"/>
    <w:rsid w:val="737B6EF7"/>
    <w:rsid w:val="73850D73"/>
    <w:rsid w:val="738B56FD"/>
    <w:rsid w:val="738B5D82"/>
    <w:rsid w:val="73911760"/>
    <w:rsid w:val="73993FFB"/>
    <w:rsid w:val="739A17AC"/>
    <w:rsid w:val="739F2E93"/>
    <w:rsid w:val="73A60FE9"/>
    <w:rsid w:val="73B21B10"/>
    <w:rsid w:val="73B8143C"/>
    <w:rsid w:val="73C06788"/>
    <w:rsid w:val="73D813D5"/>
    <w:rsid w:val="73DB1F8F"/>
    <w:rsid w:val="73DE1B70"/>
    <w:rsid w:val="73E6120B"/>
    <w:rsid w:val="741378E4"/>
    <w:rsid w:val="74213FF1"/>
    <w:rsid w:val="743138C9"/>
    <w:rsid w:val="74346455"/>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42A08"/>
    <w:rsid w:val="74D951DD"/>
    <w:rsid w:val="74E36253"/>
    <w:rsid w:val="74F273DA"/>
    <w:rsid w:val="74F600B5"/>
    <w:rsid w:val="750C6A4F"/>
    <w:rsid w:val="75102AF5"/>
    <w:rsid w:val="751C1B98"/>
    <w:rsid w:val="751C3CCD"/>
    <w:rsid w:val="752E2E69"/>
    <w:rsid w:val="753F1C14"/>
    <w:rsid w:val="75404D65"/>
    <w:rsid w:val="75410DEE"/>
    <w:rsid w:val="754B45FC"/>
    <w:rsid w:val="754C4FE3"/>
    <w:rsid w:val="75780005"/>
    <w:rsid w:val="75846F2D"/>
    <w:rsid w:val="758A336D"/>
    <w:rsid w:val="758E56B6"/>
    <w:rsid w:val="759D26FD"/>
    <w:rsid w:val="75BA7DC9"/>
    <w:rsid w:val="75C158E1"/>
    <w:rsid w:val="75D75BBF"/>
    <w:rsid w:val="75F25C45"/>
    <w:rsid w:val="75F8173D"/>
    <w:rsid w:val="75FE15A4"/>
    <w:rsid w:val="76027B21"/>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41A31"/>
    <w:rsid w:val="76E67BCC"/>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814CA"/>
    <w:rsid w:val="777B5097"/>
    <w:rsid w:val="777E55F4"/>
    <w:rsid w:val="777F79AC"/>
    <w:rsid w:val="77820DEB"/>
    <w:rsid w:val="7792671F"/>
    <w:rsid w:val="7797445D"/>
    <w:rsid w:val="77986D62"/>
    <w:rsid w:val="779905B2"/>
    <w:rsid w:val="77A015C8"/>
    <w:rsid w:val="77A92E90"/>
    <w:rsid w:val="77B524BC"/>
    <w:rsid w:val="77B650A0"/>
    <w:rsid w:val="77CE0481"/>
    <w:rsid w:val="77E43CB3"/>
    <w:rsid w:val="77EC7456"/>
    <w:rsid w:val="77EE7D89"/>
    <w:rsid w:val="77EF0483"/>
    <w:rsid w:val="77F13E57"/>
    <w:rsid w:val="77F54C8C"/>
    <w:rsid w:val="7803238B"/>
    <w:rsid w:val="78035400"/>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33114"/>
    <w:rsid w:val="78B20233"/>
    <w:rsid w:val="78D12FAA"/>
    <w:rsid w:val="78D855C6"/>
    <w:rsid w:val="78FC0536"/>
    <w:rsid w:val="78FE7954"/>
    <w:rsid w:val="79315979"/>
    <w:rsid w:val="79424F4F"/>
    <w:rsid w:val="795831E5"/>
    <w:rsid w:val="796E7E54"/>
    <w:rsid w:val="79756315"/>
    <w:rsid w:val="79765CDA"/>
    <w:rsid w:val="797C76D7"/>
    <w:rsid w:val="798B6ADC"/>
    <w:rsid w:val="79971D97"/>
    <w:rsid w:val="79A47621"/>
    <w:rsid w:val="79AA18D2"/>
    <w:rsid w:val="79AB6836"/>
    <w:rsid w:val="79BC53F7"/>
    <w:rsid w:val="79C45B4A"/>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E8016D"/>
    <w:rsid w:val="7AF32BF3"/>
    <w:rsid w:val="7AF771AA"/>
    <w:rsid w:val="7B063D79"/>
    <w:rsid w:val="7B095F0A"/>
    <w:rsid w:val="7B116B6D"/>
    <w:rsid w:val="7B190BA4"/>
    <w:rsid w:val="7B334D35"/>
    <w:rsid w:val="7B36137C"/>
    <w:rsid w:val="7B371709"/>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10E61"/>
    <w:rsid w:val="7BF72207"/>
    <w:rsid w:val="7C161B08"/>
    <w:rsid w:val="7C3A2FA7"/>
    <w:rsid w:val="7C4C61AE"/>
    <w:rsid w:val="7C541407"/>
    <w:rsid w:val="7C5840BF"/>
    <w:rsid w:val="7C6D071B"/>
    <w:rsid w:val="7C7750F6"/>
    <w:rsid w:val="7C84107F"/>
    <w:rsid w:val="7C9909ED"/>
    <w:rsid w:val="7C9C2291"/>
    <w:rsid w:val="7CA46921"/>
    <w:rsid w:val="7CA56991"/>
    <w:rsid w:val="7CA71E0B"/>
    <w:rsid w:val="7CB4175F"/>
    <w:rsid w:val="7CB85E09"/>
    <w:rsid w:val="7CDA3AFC"/>
    <w:rsid w:val="7CFE3A42"/>
    <w:rsid w:val="7CFF1519"/>
    <w:rsid w:val="7CFF7755"/>
    <w:rsid w:val="7D013878"/>
    <w:rsid w:val="7D0F508E"/>
    <w:rsid w:val="7D17450A"/>
    <w:rsid w:val="7D1943FF"/>
    <w:rsid w:val="7D1C4A30"/>
    <w:rsid w:val="7D2557AC"/>
    <w:rsid w:val="7D3F099E"/>
    <w:rsid w:val="7D4B01E2"/>
    <w:rsid w:val="7D4F1BCF"/>
    <w:rsid w:val="7D533A52"/>
    <w:rsid w:val="7D5B43D0"/>
    <w:rsid w:val="7D6243C6"/>
    <w:rsid w:val="7D76523E"/>
    <w:rsid w:val="7D78086B"/>
    <w:rsid w:val="7D781E69"/>
    <w:rsid w:val="7D7B5075"/>
    <w:rsid w:val="7D832173"/>
    <w:rsid w:val="7D8A3C14"/>
    <w:rsid w:val="7D8C5B06"/>
    <w:rsid w:val="7D934401"/>
    <w:rsid w:val="7D953960"/>
    <w:rsid w:val="7D961406"/>
    <w:rsid w:val="7D9A5A69"/>
    <w:rsid w:val="7DA56991"/>
    <w:rsid w:val="7DA623C2"/>
    <w:rsid w:val="7DA737B9"/>
    <w:rsid w:val="7DB639FC"/>
    <w:rsid w:val="7DC425BD"/>
    <w:rsid w:val="7DFF0E02"/>
    <w:rsid w:val="7E070C8C"/>
    <w:rsid w:val="7E0800A0"/>
    <w:rsid w:val="7E0C521E"/>
    <w:rsid w:val="7E0E7E19"/>
    <w:rsid w:val="7E1840CC"/>
    <w:rsid w:val="7E1964D0"/>
    <w:rsid w:val="7E2A3B50"/>
    <w:rsid w:val="7E303249"/>
    <w:rsid w:val="7E525E1A"/>
    <w:rsid w:val="7E555123"/>
    <w:rsid w:val="7E557656"/>
    <w:rsid w:val="7E7538B7"/>
    <w:rsid w:val="7E841CD2"/>
    <w:rsid w:val="7E844BCE"/>
    <w:rsid w:val="7E8B4E88"/>
    <w:rsid w:val="7E8D660B"/>
    <w:rsid w:val="7E920963"/>
    <w:rsid w:val="7E9433D2"/>
    <w:rsid w:val="7E992085"/>
    <w:rsid w:val="7EB47F46"/>
    <w:rsid w:val="7EB94600"/>
    <w:rsid w:val="7EC15709"/>
    <w:rsid w:val="7ECF7C45"/>
    <w:rsid w:val="7ED82860"/>
    <w:rsid w:val="7EF45DB1"/>
    <w:rsid w:val="7EFB3F06"/>
    <w:rsid w:val="7EFD2358"/>
    <w:rsid w:val="7EFF5324"/>
    <w:rsid w:val="7F03165A"/>
    <w:rsid w:val="7F077A20"/>
    <w:rsid w:val="7F077BC2"/>
    <w:rsid w:val="7F09267A"/>
    <w:rsid w:val="7F2B23E6"/>
    <w:rsid w:val="7F2B4123"/>
    <w:rsid w:val="7F3426C9"/>
    <w:rsid w:val="7F3E0944"/>
    <w:rsid w:val="7F3E5DC7"/>
    <w:rsid w:val="7F5C2ED4"/>
    <w:rsid w:val="7F5E061E"/>
    <w:rsid w:val="7F643B5C"/>
    <w:rsid w:val="7F7C0DAA"/>
    <w:rsid w:val="7F7F2B17"/>
    <w:rsid w:val="7F8A3D01"/>
    <w:rsid w:val="7F8B6823"/>
    <w:rsid w:val="7F9B25D3"/>
    <w:rsid w:val="7F9C4EBD"/>
    <w:rsid w:val="7FAD310E"/>
    <w:rsid w:val="7FCD6742"/>
    <w:rsid w:val="7FD83999"/>
    <w:rsid w:val="7FDF700F"/>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6"/>
    <w:autoRedefine/>
    <w:qFormat/>
    <w:uiPriority w:val="0"/>
    <w:pPr>
      <w:keepNext/>
      <w:keepLines/>
      <w:spacing w:line="440" w:lineRule="exact"/>
      <w:jc w:val="center"/>
      <w:outlineLvl w:val="0"/>
    </w:pPr>
    <w:rPr>
      <w:b/>
      <w:bCs/>
      <w:kern w:val="44"/>
      <w:sz w:val="44"/>
      <w:szCs w:val="44"/>
    </w:rPr>
  </w:style>
  <w:style w:type="paragraph" w:styleId="7">
    <w:name w:val="heading 2"/>
    <w:basedOn w:val="1"/>
    <w:next w:val="1"/>
    <w:link w:val="199"/>
    <w:autoRedefine/>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5"/>
    <w:autoRedefine/>
    <w:qFormat/>
    <w:uiPriority w:val="0"/>
    <w:pPr>
      <w:keepNext/>
      <w:keepLines/>
      <w:spacing w:line="415" w:lineRule="auto"/>
      <w:outlineLvl w:val="2"/>
    </w:pPr>
    <w:rPr>
      <w:b/>
      <w:bCs/>
      <w:kern w:val="0"/>
      <w:sz w:val="32"/>
      <w:szCs w:val="32"/>
    </w:rPr>
  </w:style>
  <w:style w:type="paragraph" w:styleId="9">
    <w:name w:val="heading 4"/>
    <w:basedOn w:val="1"/>
    <w:next w:val="10"/>
    <w:autoRedefine/>
    <w:qFormat/>
    <w:uiPriority w:val="0"/>
    <w:pPr>
      <w:keepNext/>
      <w:keepLines/>
      <w:spacing w:line="374" w:lineRule="auto"/>
      <w:outlineLvl w:val="3"/>
    </w:pPr>
    <w:rPr>
      <w:rFonts w:ascii="Arial" w:hAnsi="Arial" w:eastAsia="黑体"/>
      <w:b/>
      <w:bCs/>
      <w:sz w:val="28"/>
      <w:szCs w:val="28"/>
    </w:rPr>
  </w:style>
  <w:style w:type="paragraph" w:styleId="11">
    <w:name w:val="heading 5"/>
    <w:basedOn w:val="1"/>
    <w:next w:val="1"/>
    <w:link w:val="132"/>
    <w:autoRedefine/>
    <w:qFormat/>
    <w:uiPriority w:val="0"/>
    <w:pPr>
      <w:keepNext/>
      <w:keepLines/>
      <w:spacing w:line="376" w:lineRule="auto"/>
      <w:outlineLvl w:val="4"/>
    </w:pPr>
    <w:rPr>
      <w:b/>
      <w:bCs/>
      <w:sz w:val="28"/>
      <w:szCs w:val="28"/>
    </w:rPr>
  </w:style>
  <w:style w:type="paragraph" w:styleId="12">
    <w:name w:val="heading 6"/>
    <w:basedOn w:val="1"/>
    <w:next w:val="1"/>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3">
    <w:name w:val="heading 7"/>
    <w:basedOn w:val="1"/>
    <w:next w:val="1"/>
    <w:autoRedefine/>
    <w:qFormat/>
    <w:uiPriority w:val="0"/>
    <w:pPr>
      <w:keepNext/>
      <w:keepLines/>
      <w:widowControl/>
      <w:tabs>
        <w:tab w:val="left" w:pos="2520"/>
      </w:tabs>
      <w:spacing w:line="319" w:lineRule="auto"/>
      <w:ind w:left="1296" w:hanging="1296"/>
      <w:jc w:val="left"/>
      <w:outlineLvl w:val="6"/>
    </w:pPr>
    <w:rPr>
      <w:b/>
      <w:bCs/>
      <w:kern w:val="0"/>
      <w:sz w:val="24"/>
    </w:rPr>
  </w:style>
  <w:style w:type="paragraph" w:styleId="14">
    <w:name w:val="heading 8"/>
    <w:basedOn w:val="1"/>
    <w:next w:val="1"/>
    <w:autoRedefine/>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5">
    <w:name w:val="heading 9"/>
    <w:basedOn w:val="1"/>
    <w:next w:val="1"/>
    <w:autoRedefine/>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200" w:firstLineChars="200"/>
    </w:pPr>
    <w:rPr>
      <w:rFonts w:ascii="宋体"/>
      <w:szCs w:val="20"/>
    </w:rPr>
  </w:style>
  <w:style w:type="paragraph" w:styleId="3">
    <w:name w:val="Body Text Indent"/>
    <w:basedOn w:val="1"/>
    <w:next w:val="4"/>
    <w:autoRedefine/>
    <w:qFormat/>
    <w:uiPriority w:val="0"/>
    <w:pPr>
      <w:ind w:left="42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10">
    <w:name w:val="Normal Indent"/>
    <w:basedOn w:val="1"/>
    <w:autoRedefine/>
    <w:qFormat/>
    <w:uiPriority w:val="0"/>
    <w:pPr>
      <w:ind w:firstLine="420" w:firstLineChars="200"/>
    </w:pPr>
  </w:style>
  <w:style w:type="paragraph" w:styleId="16">
    <w:name w:val="table of authorities"/>
    <w:basedOn w:val="1"/>
    <w:next w:val="1"/>
    <w:autoRedefine/>
    <w:unhideWhenUsed/>
    <w:qFormat/>
    <w:uiPriority w:val="0"/>
    <w:pPr>
      <w:ind w:left="420" w:leftChars="200"/>
    </w:pPr>
  </w:style>
  <w:style w:type="paragraph" w:styleId="17">
    <w:name w:val="Document Map"/>
    <w:basedOn w:val="1"/>
    <w:autoRedefine/>
    <w:qFormat/>
    <w:uiPriority w:val="0"/>
    <w:pPr>
      <w:shd w:val="clear" w:color="auto" w:fill="000080"/>
    </w:pPr>
  </w:style>
  <w:style w:type="paragraph" w:styleId="18">
    <w:name w:val="toa heading"/>
    <w:basedOn w:val="1"/>
    <w:next w:val="1"/>
    <w:qFormat/>
    <w:uiPriority w:val="99"/>
    <w:pPr>
      <w:spacing w:before="120"/>
    </w:pPr>
    <w:rPr>
      <w:rFonts w:ascii="Arial" w:hAnsi="Arial"/>
      <w:sz w:val="24"/>
      <w:szCs w:val="20"/>
    </w:rPr>
  </w:style>
  <w:style w:type="paragraph" w:styleId="19">
    <w:name w:val="annotation text"/>
    <w:basedOn w:val="1"/>
    <w:link w:val="116"/>
    <w:autoRedefine/>
    <w:qFormat/>
    <w:uiPriority w:val="0"/>
    <w:pPr>
      <w:jc w:val="left"/>
    </w:pPr>
  </w:style>
  <w:style w:type="paragraph" w:styleId="20">
    <w:name w:val="Body Text 3"/>
    <w:basedOn w:val="1"/>
    <w:autoRedefine/>
    <w:qFormat/>
    <w:uiPriority w:val="0"/>
    <w:rPr>
      <w:rFonts w:ascii="宋体"/>
      <w:sz w:val="24"/>
      <w:szCs w:val="20"/>
    </w:rPr>
  </w:style>
  <w:style w:type="paragraph" w:styleId="21">
    <w:name w:val="Body Text"/>
    <w:basedOn w:val="1"/>
    <w:link w:val="144"/>
    <w:autoRedefine/>
    <w:qFormat/>
    <w:uiPriority w:val="0"/>
  </w:style>
  <w:style w:type="paragraph" w:styleId="22">
    <w:name w:val="Block Text"/>
    <w:basedOn w:val="1"/>
    <w:next w:val="23"/>
    <w:autoRedefine/>
    <w:qFormat/>
    <w:uiPriority w:val="0"/>
    <w:pPr>
      <w:spacing w:line="400" w:lineRule="exact"/>
      <w:ind w:left="-359" w:leftChars="-171" w:right="31" w:rightChars="15" w:firstLine="980" w:firstLineChars="350"/>
    </w:pPr>
    <w:rPr>
      <w:rFonts w:ascii="宋体" w:hAnsi="宋体"/>
      <w:sz w:val="28"/>
      <w:szCs w:val="32"/>
    </w:rPr>
  </w:style>
  <w:style w:type="paragraph" w:styleId="23">
    <w:name w:val="Body Text Indent 3"/>
    <w:basedOn w:val="1"/>
    <w:next w:val="1"/>
    <w:autoRedefine/>
    <w:qFormat/>
    <w:uiPriority w:val="0"/>
    <w:pPr>
      <w:ind w:left="420" w:leftChars="200"/>
    </w:pPr>
    <w:rPr>
      <w:sz w:val="16"/>
      <w:szCs w:val="16"/>
    </w:rPr>
  </w:style>
  <w:style w:type="paragraph" w:styleId="24">
    <w:name w:val="toc 5"/>
    <w:basedOn w:val="1"/>
    <w:next w:val="1"/>
    <w:autoRedefine/>
    <w:qFormat/>
    <w:uiPriority w:val="39"/>
    <w:pPr>
      <w:ind w:left="840"/>
      <w:jc w:val="left"/>
    </w:pPr>
    <w:rPr>
      <w:sz w:val="18"/>
      <w:szCs w:val="18"/>
    </w:rPr>
  </w:style>
  <w:style w:type="paragraph" w:styleId="25">
    <w:name w:val="toc 3"/>
    <w:basedOn w:val="1"/>
    <w:next w:val="1"/>
    <w:autoRedefine/>
    <w:qFormat/>
    <w:uiPriority w:val="39"/>
    <w:pPr>
      <w:ind w:left="420"/>
      <w:jc w:val="left"/>
    </w:pPr>
    <w:rPr>
      <w:i/>
      <w:iCs/>
      <w:sz w:val="20"/>
      <w:szCs w:val="20"/>
    </w:rPr>
  </w:style>
  <w:style w:type="paragraph" w:styleId="26">
    <w:name w:val="Plain Text"/>
    <w:basedOn w:val="1"/>
    <w:next w:val="1"/>
    <w:link w:val="139"/>
    <w:autoRedefine/>
    <w:qFormat/>
    <w:uiPriority w:val="0"/>
    <w:rPr>
      <w:rFonts w:ascii="Courier New" w:hAnsi="Courier New"/>
      <w:szCs w:val="20"/>
    </w:rPr>
  </w:style>
  <w:style w:type="paragraph" w:styleId="27">
    <w:name w:val="toc 8"/>
    <w:basedOn w:val="1"/>
    <w:next w:val="1"/>
    <w:autoRedefine/>
    <w:qFormat/>
    <w:uiPriority w:val="39"/>
    <w:pPr>
      <w:ind w:left="1470"/>
      <w:jc w:val="left"/>
    </w:pPr>
    <w:rPr>
      <w:sz w:val="18"/>
      <w:szCs w:val="18"/>
    </w:rPr>
  </w:style>
  <w:style w:type="paragraph" w:styleId="28">
    <w:name w:val="Date"/>
    <w:basedOn w:val="1"/>
    <w:next w:val="1"/>
    <w:autoRedefine/>
    <w:qFormat/>
    <w:uiPriority w:val="0"/>
    <w:rPr>
      <w:sz w:val="24"/>
      <w:szCs w:val="20"/>
    </w:rPr>
  </w:style>
  <w:style w:type="paragraph" w:styleId="29">
    <w:name w:val="Body Text Indent 2"/>
    <w:basedOn w:val="1"/>
    <w:autoRedefine/>
    <w:qFormat/>
    <w:uiPriority w:val="0"/>
    <w:pPr>
      <w:spacing w:line="360" w:lineRule="exact"/>
      <w:ind w:firstLine="600" w:firstLineChars="250"/>
      <w:jc w:val="left"/>
    </w:pPr>
    <w:rPr>
      <w:sz w:val="24"/>
    </w:rPr>
  </w:style>
  <w:style w:type="paragraph" w:styleId="30">
    <w:name w:val="Balloon Text"/>
    <w:basedOn w:val="1"/>
    <w:autoRedefine/>
    <w:qFormat/>
    <w:uiPriority w:val="0"/>
    <w:rPr>
      <w:sz w:val="18"/>
      <w:szCs w:val="18"/>
    </w:rPr>
  </w:style>
  <w:style w:type="paragraph" w:styleId="31">
    <w:name w:val="footer"/>
    <w:basedOn w:val="1"/>
    <w:autoRedefine/>
    <w:qFormat/>
    <w:uiPriority w:val="0"/>
    <w:pPr>
      <w:tabs>
        <w:tab w:val="center" w:pos="4153"/>
        <w:tab w:val="right" w:pos="8306"/>
      </w:tabs>
      <w:snapToGrid w:val="0"/>
      <w:jc w:val="left"/>
    </w:pPr>
    <w:rPr>
      <w:sz w:val="18"/>
      <w:szCs w:val="18"/>
    </w:rPr>
  </w:style>
  <w:style w:type="paragraph" w:styleId="3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jc w:val="left"/>
    </w:pPr>
    <w:rPr>
      <w:b/>
      <w:bCs/>
      <w:caps/>
      <w:sz w:val="20"/>
      <w:szCs w:val="20"/>
    </w:rPr>
  </w:style>
  <w:style w:type="paragraph" w:styleId="34">
    <w:name w:val="toc 4"/>
    <w:basedOn w:val="1"/>
    <w:next w:val="1"/>
    <w:autoRedefine/>
    <w:qFormat/>
    <w:uiPriority w:val="39"/>
    <w:pPr>
      <w:ind w:left="630"/>
      <w:jc w:val="left"/>
    </w:pPr>
    <w:rPr>
      <w:sz w:val="18"/>
      <w:szCs w:val="18"/>
    </w:rPr>
  </w:style>
  <w:style w:type="paragraph" w:styleId="35">
    <w:name w:val="List"/>
    <w:basedOn w:val="1"/>
    <w:autoRedefine/>
    <w:qFormat/>
    <w:uiPriority w:val="0"/>
    <w:pPr>
      <w:ind w:left="420" w:hanging="420"/>
    </w:pPr>
  </w:style>
  <w:style w:type="paragraph" w:styleId="36">
    <w:name w:val="footnote text"/>
    <w:basedOn w:val="1"/>
    <w:autoRedefine/>
    <w:qFormat/>
    <w:uiPriority w:val="0"/>
    <w:rPr>
      <w:sz w:val="20"/>
      <w:szCs w:val="20"/>
    </w:rPr>
  </w:style>
  <w:style w:type="paragraph" w:styleId="37">
    <w:name w:val="toc 6"/>
    <w:basedOn w:val="1"/>
    <w:next w:val="1"/>
    <w:autoRedefine/>
    <w:qFormat/>
    <w:uiPriority w:val="39"/>
    <w:pPr>
      <w:ind w:left="1050"/>
      <w:jc w:val="left"/>
    </w:pPr>
    <w:rPr>
      <w:sz w:val="18"/>
      <w:szCs w:val="18"/>
    </w:rPr>
  </w:style>
  <w:style w:type="paragraph" w:styleId="38">
    <w:name w:val="table of figures"/>
    <w:basedOn w:val="1"/>
    <w:next w:val="1"/>
    <w:autoRedefine/>
    <w:qFormat/>
    <w:uiPriority w:val="0"/>
    <w:pPr>
      <w:ind w:left="200" w:leftChars="200" w:hanging="200" w:hangingChars="200"/>
    </w:pPr>
  </w:style>
  <w:style w:type="paragraph" w:styleId="39">
    <w:name w:val="toc 2"/>
    <w:basedOn w:val="1"/>
    <w:next w:val="1"/>
    <w:autoRedefine/>
    <w:qFormat/>
    <w:uiPriority w:val="39"/>
    <w:pPr>
      <w:ind w:left="210"/>
      <w:jc w:val="left"/>
    </w:pPr>
    <w:rPr>
      <w:smallCaps/>
      <w:sz w:val="20"/>
      <w:szCs w:val="20"/>
    </w:rPr>
  </w:style>
  <w:style w:type="paragraph" w:styleId="40">
    <w:name w:val="toc 9"/>
    <w:basedOn w:val="1"/>
    <w:next w:val="1"/>
    <w:autoRedefine/>
    <w:qFormat/>
    <w:uiPriority w:val="39"/>
    <w:pPr>
      <w:ind w:left="1680"/>
      <w:jc w:val="left"/>
    </w:pPr>
    <w:rPr>
      <w:sz w:val="18"/>
      <w:szCs w:val="18"/>
    </w:rPr>
  </w:style>
  <w:style w:type="paragraph" w:styleId="41">
    <w:name w:val="Body Text 2"/>
    <w:basedOn w:val="1"/>
    <w:autoRedefine/>
    <w:qFormat/>
    <w:uiPriority w:val="0"/>
    <w:pPr>
      <w:spacing w:line="440" w:lineRule="exact"/>
    </w:pPr>
    <w:rPr>
      <w:sz w:val="28"/>
    </w:rPr>
  </w:style>
  <w:style w:type="paragraph" w:styleId="42">
    <w:name w:val="HTML Preformatted"/>
    <w:basedOn w:val="1"/>
    <w:link w:val="1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autoRedefine/>
    <w:qFormat/>
    <w:uiPriority w:val="99"/>
    <w:pPr>
      <w:widowControl/>
      <w:spacing w:beforeAutospacing="1" w:afterAutospacing="1"/>
      <w:jc w:val="left"/>
    </w:pPr>
    <w:rPr>
      <w:rFonts w:ascii="宋体" w:hAnsi="宋体" w:cs="宋体"/>
      <w:kern w:val="0"/>
      <w:sz w:val="24"/>
    </w:rPr>
  </w:style>
  <w:style w:type="paragraph" w:styleId="44">
    <w:name w:val="Title"/>
    <w:basedOn w:val="1"/>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9"/>
    <w:next w:val="19"/>
    <w:autoRedefine/>
    <w:qFormat/>
    <w:uiPriority w:val="0"/>
    <w:rPr>
      <w:b/>
      <w:bCs/>
    </w:rPr>
  </w:style>
  <w:style w:type="paragraph" w:styleId="46">
    <w:name w:val="Body Text First Indent"/>
    <w:basedOn w:val="21"/>
    <w:autoRedefine/>
    <w:qFormat/>
    <w:uiPriority w:val="0"/>
    <w:pPr>
      <w:ind w:firstLine="420" w:firstLineChars="1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333333"/>
      <w:u w:val="none"/>
    </w:rPr>
  </w:style>
  <w:style w:type="character" w:styleId="53">
    <w:name w:val="Emphasis"/>
    <w:autoRedefine/>
    <w:qFormat/>
    <w:uiPriority w:val="0"/>
    <w:rPr>
      <w:color w:val="CC0033"/>
    </w:rPr>
  </w:style>
  <w:style w:type="character" w:styleId="54">
    <w:name w:val="HTML Definition"/>
    <w:autoRedefine/>
    <w:qFormat/>
    <w:uiPriority w:val="0"/>
  </w:style>
  <w:style w:type="character" w:styleId="55">
    <w:name w:val="HTML Typewriter"/>
    <w:autoRedefine/>
    <w:qFormat/>
    <w:uiPriority w:val="0"/>
    <w:rPr>
      <w:rFonts w:hint="default" w:ascii="monospace" w:hAnsi="monospace" w:eastAsia="monospace" w:cs="monospace"/>
      <w:sz w:val="20"/>
    </w:rPr>
  </w:style>
  <w:style w:type="character" w:styleId="56">
    <w:name w:val="HTML Acronym"/>
    <w:basedOn w:val="49"/>
    <w:autoRedefine/>
    <w:qFormat/>
    <w:uiPriority w:val="0"/>
  </w:style>
  <w:style w:type="character" w:styleId="57">
    <w:name w:val="HTML Variable"/>
    <w:autoRedefine/>
    <w:qFormat/>
    <w:uiPriority w:val="0"/>
  </w:style>
  <w:style w:type="character" w:styleId="58">
    <w:name w:val="Hyperlink"/>
    <w:basedOn w:val="49"/>
    <w:autoRedefine/>
    <w:qFormat/>
    <w:uiPriority w:val="99"/>
    <w:rPr>
      <w:color w:val="333333"/>
      <w:u w:val="none"/>
    </w:rPr>
  </w:style>
  <w:style w:type="character" w:styleId="59">
    <w:name w:val="HTML Code"/>
    <w:autoRedefine/>
    <w:qFormat/>
    <w:uiPriority w:val="0"/>
    <w:rPr>
      <w:rFonts w:hint="default" w:ascii="monospace" w:hAnsi="monospace" w:eastAsia="monospace" w:cs="monospace"/>
      <w:sz w:val="20"/>
    </w:rPr>
  </w:style>
  <w:style w:type="character" w:styleId="60">
    <w:name w:val="annotation reference"/>
    <w:autoRedefine/>
    <w:qFormat/>
    <w:uiPriority w:val="0"/>
    <w:rPr>
      <w:sz w:val="21"/>
      <w:szCs w:val="21"/>
    </w:rPr>
  </w:style>
  <w:style w:type="character" w:styleId="61">
    <w:name w:val="HTML Cite"/>
    <w:autoRedefine/>
    <w:qFormat/>
    <w:uiPriority w:val="0"/>
  </w:style>
  <w:style w:type="character" w:styleId="62">
    <w:name w:val="footnote reference"/>
    <w:autoRedefine/>
    <w:qFormat/>
    <w:uiPriority w:val="0"/>
    <w:rPr>
      <w:vertAlign w:val="superscript"/>
    </w:rPr>
  </w:style>
  <w:style w:type="character" w:styleId="63">
    <w:name w:val="HTML Keyboard"/>
    <w:autoRedefine/>
    <w:qFormat/>
    <w:uiPriority w:val="0"/>
    <w:rPr>
      <w:rFonts w:ascii="monospace" w:hAnsi="monospace" w:eastAsia="monospace" w:cs="monospace"/>
      <w:sz w:val="20"/>
    </w:rPr>
  </w:style>
  <w:style w:type="character" w:styleId="64">
    <w:name w:val="HTML Sample"/>
    <w:autoRedefine/>
    <w:qFormat/>
    <w:uiPriority w:val="0"/>
    <w:rPr>
      <w:rFonts w:hint="default" w:ascii="monospace" w:hAnsi="monospace" w:eastAsia="monospace" w:cs="monospace"/>
    </w:rPr>
  </w:style>
  <w:style w:type="character" w:customStyle="1" w:styleId="65">
    <w:name w:val="标题 2 Char"/>
    <w:autoRedefine/>
    <w:qFormat/>
    <w:uiPriority w:val="0"/>
    <w:rPr>
      <w:rFonts w:ascii="Arial" w:hAnsi="Arial" w:eastAsia="黑体"/>
      <w:b/>
      <w:bCs/>
      <w:kern w:val="2"/>
      <w:sz w:val="21"/>
      <w:szCs w:val="32"/>
      <w:lang w:val="en-US" w:eastAsia="zh-CN" w:bidi="ar-SA"/>
    </w:rPr>
  </w:style>
  <w:style w:type="character" w:customStyle="1" w:styleId="66">
    <w:name w:val="标题 1 Char"/>
    <w:link w:val="6"/>
    <w:autoRedefine/>
    <w:qFormat/>
    <w:uiPriority w:val="0"/>
    <w:rPr>
      <w:rFonts w:eastAsia="宋体"/>
      <w:b/>
      <w:bCs/>
      <w:kern w:val="44"/>
      <w:sz w:val="44"/>
      <w:szCs w:val="44"/>
      <w:lang w:val="en-US" w:eastAsia="zh-CN" w:bidi="ar-SA"/>
    </w:rPr>
  </w:style>
  <w:style w:type="paragraph" w:customStyle="1" w:styleId="67">
    <w:name w:val="正文（缩进）"/>
    <w:basedOn w:val="1"/>
    <w:next w:val="22"/>
    <w:autoRedefine/>
    <w:qFormat/>
    <w:uiPriority w:val="0"/>
    <w:pPr>
      <w:widowControl w:val="0"/>
      <w:spacing w:before="156" w:beforeLines="50" w:after="156" w:afterLines="50" w:line="360" w:lineRule="auto"/>
      <w:ind w:firstLine="480" w:firstLineChars="200"/>
      <w:textAlignment w:val="auto"/>
    </w:pPr>
    <w:rPr>
      <w:color w:val="auto"/>
      <w:kern w:val="2"/>
      <w:sz w:val="24"/>
      <w:szCs w:val="24"/>
      <w:u w:val="none" w:color="auto"/>
    </w:rPr>
  </w:style>
  <w:style w:type="paragraph" w:customStyle="1" w:styleId="68">
    <w:name w:val="正文文字 8"/>
    <w:basedOn w:val="1"/>
    <w:next w:val="1"/>
    <w:autoRedefine/>
    <w:qFormat/>
    <w:uiPriority w:val="0"/>
    <w:pPr>
      <w:ind w:left="240"/>
    </w:pPr>
    <w:rPr>
      <w:sz w:val="16"/>
    </w:rPr>
  </w:style>
  <w:style w:type="paragraph" w:styleId="69">
    <w:name w:val="List Paragraph"/>
    <w:basedOn w:val="1"/>
    <w:autoRedefine/>
    <w:qFormat/>
    <w:uiPriority w:val="34"/>
    <w:pPr>
      <w:ind w:firstLine="420" w:firstLineChars="200"/>
    </w:pPr>
  </w:style>
  <w:style w:type="paragraph" w:customStyle="1" w:styleId="70">
    <w:name w:val="_Style 62"/>
    <w:basedOn w:val="1"/>
    <w:next w:val="1"/>
    <w:autoRedefine/>
    <w:qFormat/>
    <w:uiPriority w:val="0"/>
    <w:pPr>
      <w:pBdr>
        <w:top w:val="single" w:color="auto" w:sz="6" w:space="1"/>
      </w:pBdr>
      <w:jc w:val="center"/>
    </w:pPr>
    <w:rPr>
      <w:rFonts w:ascii="Arial"/>
      <w:vanish/>
      <w:sz w:val="16"/>
    </w:rPr>
  </w:style>
  <w:style w:type="paragraph" w:customStyle="1" w:styleId="71">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72">
    <w:name w:val="表格"/>
    <w:basedOn w:val="1"/>
    <w:autoRedefine/>
    <w:qFormat/>
    <w:uiPriority w:val="0"/>
    <w:pPr>
      <w:jc w:val="center"/>
      <w:textAlignment w:val="center"/>
    </w:pPr>
    <w:rPr>
      <w:rFonts w:ascii="华文细黑" w:hAnsi="华文细黑"/>
      <w:kern w:val="0"/>
      <w:szCs w:val="20"/>
    </w:rPr>
  </w:style>
  <w:style w:type="paragraph" w:customStyle="1" w:styleId="73">
    <w:name w:val="表格文字"/>
    <w:basedOn w:val="1"/>
    <w:autoRedefine/>
    <w:qFormat/>
    <w:uiPriority w:val="0"/>
    <w:pPr>
      <w:adjustRightInd w:val="0"/>
      <w:spacing w:line="420" w:lineRule="atLeast"/>
      <w:jc w:val="left"/>
      <w:textAlignment w:val="baseline"/>
    </w:pPr>
    <w:rPr>
      <w:kern w:val="0"/>
      <w:szCs w:val="20"/>
    </w:rPr>
  </w:style>
  <w:style w:type="paragraph" w:customStyle="1" w:styleId="74">
    <w:name w:val="Char"/>
    <w:basedOn w:val="1"/>
    <w:next w:val="1"/>
    <w:autoRedefine/>
    <w:qFormat/>
    <w:uiPriority w:val="0"/>
    <w:pPr>
      <w:widowControl/>
      <w:spacing w:line="360" w:lineRule="auto"/>
      <w:jc w:val="left"/>
    </w:pPr>
    <w:rPr>
      <w:kern w:val="0"/>
      <w:szCs w:val="20"/>
      <w:lang w:eastAsia="en-US"/>
    </w:rPr>
  </w:style>
  <w:style w:type="paragraph" w:customStyle="1" w:styleId="7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6">
    <w:name w:val="样式2"/>
    <w:basedOn w:val="8"/>
    <w:autoRedefine/>
    <w:qFormat/>
    <w:uiPriority w:val="0"/>
  </w:style>
  <w:style w:type="paragraph" w:customStyle="1" w:styleId="77">
    <w:name w:val="Default Paragraph Char Char Char Char"/>
    <w:basedOn w:val="1"/>
    <w:next w:val="1"/>
    <w:autoRedefine/>
    <w:qFormat/>
    <w:uiPriority w:val="0"/>
    <w:pPr>
      <w:spacing w:line="360" w:lineRule="auto"/>
    </w:pPr>
    <w:rPr>
      <w:szCs w:val="20"/>
    </w:rPr>
  </w:style>
  <w:style w:type="paragraph" w:customStyle="1" w:styleId="78">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79">
    <w:name w:val="默认段落字体 Para Char Char Char Char"/>
    <w:basedOn w:val="1"/>
    <w:autoRedefine/>
    <w:qFormat/>
    <w:uiPriority w:val="0"/>
  </w:style>
  <w:style w:type="paragraph" w:customStyle="1" w:styleId="80">
    <w:name w:val="样式 标题 1 + 黑体 五号"/>
    <w:basedOn w:val="6"/>
    <w:autoRedefine/>
    <w:qFormat/>
    <w:uiPriority w:val="0"/>
    <w:pPr>
      <w:jc w:val="left"/>
    </w:pPr>
    <w:rPr>
      <w:rFonts w:ascii="黑体" w:hAnsi="黑体" w:eastAsia="黑体"/>
      <w:sz w:val="21"/>
    </w:rPr>
  </w:style>
  <w:style w:type="paragraph" w:customStyle="1" w:styleId="81">
    <w:name w:val="样式4"/>
    <w:basedOn w:val="8"/>
    <w:autoRedefine/>
    <w:qFormat/>
    <w:uiPriority w:val="0"/>
    <w:rPr>
      <w:rFonts w:eastAsia="Arial"/>
    </w:rPr>
  </w:style>
  <w:style w:type="paragraph" w:customStyle="1" w:styleId="82">
    <w:name w:val="正文1"/>
    <w:autoRedefine/>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83">
    <w:name w:val="列出段落1"/>
    <w:basedOn w:val="1"/>
    <w:autoRedefine/>
    <w:qFormat/>
    <w:uiPriority w:val="0"/>
    <w:pPr>
      <w:ind w:firstLine="200" w:firstLineChars="200"/>
    </w:pPr>
  </w:style>
  <w:style w:type="paragraph" w:customStyle="1" w:styleId="84">
    <w:name w:val="p0 New"/>
    <w:basedOn w:val="1"/>
    <w:autoRedefine/>
    <w:qFormat/>
    <w:uiPriority w:val="0"/>
    <w:pPr>
      <w:widowControl/>
      <w:jc w:val="left"/>
    </w:pPr>
    <w:rPr>
      <w:rFonts w:ascii="宋体" w:hAnsi="宋体" w:cs="宋体"/>
      <w:kern w:val="0"/>
      <w:sz w:val="18"/>
      <w:szCs w:val="18"/>
    </w:rPr>
  </w:style>
  <w:style w:type="paragraph" w:customStyle="1" w:styleId="85">
    <w:name w:val="样式 标题 1 + 黑体 三号 非加粗 居中 段前: 6 磅 段后: 6 磅 行距: 固定值 20 磅"/>
    <w:basedOn w:val="6"/>
    <w:autoRedefine/>
    <w:qFormat/>
    <w:uiPriority w:val="0"/>
    <w:pPr>
      <w:spacing w:line="400" w:lineRule="exact"/>
    </w:pPr>
    <w:rPr>
      <w:rFonts w:ascii="黑体" w:hAnsi="黑体" w:eastAsia="黑体" w:cs="宋体"/>
      <w:b w:val="0"/>
      <w:bCs w:val="0"/>
      <w:sz w:val="32"/>
      <w:szCs w:val="20"/>
    </w:rPr>
  </w:style>
  <w:style w:type="paragraph" w:customStyle="1" w:styleId="86">
    <w:name w:val="_Style 78"/>
    <w:basedOn w:val="6"/>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87">
    <w:name w:val="Char1"/>
    <w:basedOn w:val="1"/>
    <w:autoRedefine/>
    <w:qFormat/>
    <w:uiPriority w:val="0"/>
    <w:pPr>
      <w:tabs>
        <w:tab w:val="left" w:pos="360"/>
      </w:tabs>
    </w:pPr>
    <w:rPr>
      <w:sz w:val="24"/>
    </w:rPr>
  </w:style>
  <w:style w:type="paragraph" w:customStyle="1" w:styleId="88">
    <w:name w:val="样式1"/>
    <w:basedOn w:val="8"/>
    <w:autoRedefine/>
    <w:qFormat/>
    <w:uiPriority w:val="0"/>
    <w:rPr>
      <w:rFonts w:eastAsia="Arial"/>
    </w:rPr>
  </w:style>
  <w:style w:type="paragraph" w:customStyle="1" w:styleId="89">
    <w:name w:val="Char Char Char Char Char Char Char Char Char Char Char Char Char"/>
    <w:basedOn w:val="1"/>
    <w:autoRedefine/>
    <w:qFormat/>
    <w:uiPriority w:val="0"/>
  </w:style>
  <w:style w:type="paragraph" w:customStyle="1" w:styleId="90">
    <w:name w:val="p"/>
    <w:basedOn w:val="1"/>
    <w:autoRedefine/>
    <w:qFormat/>
    <w:uiPriority w:val="0"/>
    <w:rPr>
      <w:rFonts w:ascii="宋体"/>
      <w:sz w:val="24"/>
    </w:rPr>
  </w:style>
  <w:style w:type="paragraph" w:customStyle="1" w:styleId="91">
    <w:name w:val="Char Char Char Char"/>
    <w:basedOn w:val="1"/>
    <w:autoRedefine/>
    <w:qFormat/>
    <w:uiPriority w:val="0"/>
  </w:style>
  <w:style w:type="paragraph" w:customStyle="1" w:styleId="92">
    <w:name w:val="_Style 84"/>
    <w:basedOn w:val="1"/>
    <w:next w:val="1"/>
    <w:autoRedefine/>
    <w:qFormat/>
    <w:uiPriority w:val="0"/>
    <w:pPr>
      <w:pBdr>
        <w:bottom w:val="single" w:color="auto" w:sz="6" w:space="1"/>
      </w:pBdr>
      <w:jc w:val="center"/>
    </w:pPr>
    <w:rPr>
      <w:rFonts w:ascii="Arial"/>
      <w:vanish/>
      <w:sz w:val="16"/>
    </w:rPr>
  </w:style>
  <w:style w:type="paragraph" w:customStyle="1" w:styleId="93">
    <w:name w:val="1"/>
    <w:basedOn w:val="1"/>
    <w:next w:val="1"/>
    <w:autoRedefine/>
    <w:qFormat/>
    <w:uiPriority w:val="0"/>
  </w:style>
  <w:style w:type="paragraph" w:customStyle="1" w:styleId="94">
    <w:name w:val="p15"/>
    <w:autoRedefine/>
    <w:qFormat/>
    <w:uiPriority w:val="0"/>
    <w:pPr>
      <w:jc w:val="both"/>
    </w:pPr>
    <w:rPr>
      <w:rFonts w:ascii="宋体" w:hAnsi="Times New Roman" w:eastAsia="宋体" w:cs="宋体"/>
      <w:sz w:val="21"/>
      <w:szCs w:val="21"/>
      <w:lang w:val="en-US" w:eastAsia="zh-CN" w:bidi="ar-SA"/>
    </w:rPr>
  </w:style>
  <w:style w:type="paragraph" w:customStyle="1" w:styleId="95">
    <w:name w:val="样式 标题 2 + Times New Roman 四号 非加粗 段前: 5 磅 段后: 0 磅 行距: 固定值 20..."/>
    <w:basedOn w:val="7"/>
    <w:autoRedefine/>
    <w:qFormat/>
    <w:uiPriority w:val="0"/>
    <w:pPr>
      <w:spacing w:line="400" w:lineRule="exact"/>
    </w:pPr>
    <w:rPr>
      <w:rFonts w:ascii="Times New Roman" w:hAnsi="Times New Roman" w:cs="宋体"/>
      <w:b w:val="0"/>
      <w:bCs w:val="0"/>
      <w:sz w:val="28"/>
      <w:szCs w:val="20"/>
    </w:rPr>
  </w:style>
  <w:style w:type="paragraph" w:customStyle="1" w:styleId="96">
    <w:name w:val="Table Paragraph"/>
    <w:basedOn w:val="1"/>
    <w:autoRedefine/>
    <w:qFormat/>
    <w:uiPriority w:val="0"/>
    <w:pPr>
      <w:autoSpaceDE w:val="0"/>
      <w:autoSpaceDN w:val="0"/>
      <w:jc w:val="left"/>
    </w:pPr>
    <w:rPr>
      <w:rFonts w:ascii="宋体" w:hAnsi="宋体" w:cs="宋体"/>
      <w:kern w:val="0"/>
      <w:sz w:val="22"/>
      <w:szCs w:val="22"/>
      <w:lang w:val="zh-CN"/>
    </w:rPr>
  </w:style>
  <w:style w:type="paragraph" w:customStyle="1" w:styleId="97">
    <w:name w:val="p0"/>
    <w:basedOn w:val="1"/>
    <w:autoRedefine/>
    <w:qFormat/>
    <w:uiPriority w:val="99"/>
    <w:pPr>
      <w:widowControl/>
    </w:pPr>
    <w:rPr>
      <w:kern w:val="0"/>
      <w:szCs w:val="21"/>
    </w:rPr>
  </w:style>
  <w:style w:type="paragraph" w:customStyle="1" w:styleId="98">
    <w:name w:val="样式3"/>
    <w:basedOn w:val="8"/>
    <w:autoRedefine/>
    <w:qFormat/>
    <w:uiPriority w:val="0"/>
    <w:rPr>
      <w:rFonts w:eastAsia="Arial"/>
    </w:rPr>
  </w:style>
  <w:style w:type="paragraph" w:customStyle="1" w:styleId="99">
    <w:name w:val="样式 标题 3 + (中文) 黑体 小四 非加粗 段前: 7.8 磅 段后: 0 磅 行距: 固定值 20 磅"/>
    <w:basedOn w:val="8"/>
    <w:autoRedefine/>
    <w:qFormat/>
    <w:uiPriority w:val="0"/>
    <w:pPr>
      <w:spacing w:line="400" w:lineRule="exact"/>
    </w:pPr>
    <w:rPr>
      <w:rFonts w:eastAsia="黑体" w:cs="宋体"/>
      <w:b w:val="0"/>
      <w:bCs w:val="0"/>
      <w:sz w:val="24"/>
      <w:szCs w:val="20"/>
    </w:rPr>
  </w:style>
  <w:style w:type="paragraph" w:customStyle="1" w:styleId="100">
    <w:name w:val="Char Char Char Char Char Char Char Char Char Char Char Char Char1"/>
    <w:basedOn w:val="1"/>
    <w:autoRedefine/>
    <w:qFormat/>
    <w:uiPriority w:val="0"/>
  </w:style>
  <w:style w:type="paragraph" w:customStyle="1" w:styleId="101">
    <w:name w:val="Char4"/>
    <w:basedOn w:val="1"/>
    <w:autoRedefine/>
    <w:qFormat/>
    <w:uiPriority w:val="0"/>
    <w:pPr>
      <w:widowControl/>
      <w:spacing w:line="360" w:lineRule="auto"/>
      <w:ind w:firstLine="200" w:firstLineChars="200"/>
      <w:textAlignment w:val="baseline"/>
    </w:pPr>
    <w:rPr>
      <w:color w:val="000000"/>
      <w:kern w:val="0"/>
      <w:szCs w:val="20"/>
      <w:u w:color="000000"/>
    </w:rPr>
  </w:style>
  <w:style w:type="paragraph" w:customStyle="1" w:styleId="102">
    <w:name w:val="正文2"/>
    <w:autoRedefine/>
    <w:qFormat/>
    <w:uiPriority w:val="0"/>
    <w:pPr>
      <w:widowControl w:val="0"/>
      <w:jc w:val="both"/>
    </w:pPr>
    <w:rPr>
      <w:rFonts w:ascii="Times New Roman" w:hAnsi="Times New Roman" w:eastAsia="宋体" w:cs="Times New Roman"/>
      <w:lang w:val="en-US" w:eastAsia="zh-CN" w:bidi="ar-SA"/>
    </w:rPr>
  </w:style>
  <w:style w:type="character" w:customStyle="1" w:styleId="103">
    <w:name w:val="first-child"/>
    <w:basedOn w:val="49"/>
    <w:autoRedefine/>
    <w:qFormat/>
    <w:uiPriority w:val="0"/>
  </w:style>
  <w:style w:type="character" w:customStyle="1" w:styleId="104">
    <w:name w:val="Char Char Char Char Char Char"/>
    <w:autoRedefine/>
    <w:qFormat/>
    <w:uiPriority w:val="0"/>
    <w:rPr>
      <w:rFonts w:ascii="Arial" w:hAnsi="Arial" w:eastAsia="黑体"/>
      <w:b/>
      <w:bCs/>
      <w:kern w:val="2"/>
      <w:sz w:val="32"/>
      <w:szCs w:val="32"/>
      <w:lang w:val="en-US" w:eastAsia="zh-CN" w:bidi="ar-SA"/>
    </w:rPr>
  </w:style>
  <w:style w:type="character" w:customStyle="1" w:styleId="105">
    <w:name w:val="l11"/>
    <w:autoRedefine/>
    <w:qFormat/>
    <w:uiPriority w:val="0"/>
    <w:rPr>
      <w:color w:val="999999"/>
    </w:rPr>
  </w:style>
  <w:style w:type="character" w:customStyle="1" w:styleId="106">
    <w:name w:val="Char Char"/>
    <w:autoRedefine/>
    <w:qFormat/>
    <w:uiPriority w:val="0"/>
    <w:rPr>
      <w:rFonts w:ascii="Arial" w:hAnsi="Arial" w:eastAsia="黑体"/>
      <w:b/>
      <w:bCs/>
      <w:kern w:val="2"/>
      <w:sz w:val="32"/>
      <w:szCs w:val="32"/>
      <w:lang w:val="en-US" w:eastAsia="zh-CN" w:bidi="ar-SA"/>
    </w:rPr>
  </w:style>
  <w:style w:type="character" w:customStyle="1" w:styleId="107">
    <w:name w:val="Char Char5"/>
    <w:autoRedefine/>
    <w:qFormat/>
    <w:uiPriority w:val="0"/>
    <w:rPr>
      <w:rFonts w:ascii="Arial" w:hAnsi="Arial" w:eastAsia="黑体"/>
      <w:b/>
      <w:bCs/>
      <w:kern w:val="2"/>
      <w:sz w:val="32"/>
      <w:szCs w:val="32"/>
    </w:rPr>
  </w:style>
  <w:style w:type="character" w:customStyle="1" w:styleId="108">
    <w:name w:val="msg-box28"/>
    <w:basedOn w:val="49"/>
    <w:autoRedefine/>
    <w:qFormat/>
    <w:uiPriority w:val="0"/>
  </w:style>
  <w:style w:type="character" w:customStyle="1" w:styleId="109">
    <w:name w:val="img_title6"/>
    <w:autoRedefine/>
    <w:qFormat/>
    <w:uiPriority w:val="0"/>
    <w:rPr>
      <w:vanish/>
    </w:rPr>
  </w:style>
  <w:style w:type="character" w:customStyle="1" w:styleId="110">
    <w:name w:val="tit12"/>
    <w:autoRedefine/>
    <w:qFormat/>
    <w:uiPriority w:val="0"/>
    <w:rPr>
      <w:color w:val="04A06C"/>
    </w:rPr>
  </w:style>
  <w:style w:type="character" w:customStyle="1" w:styleId="111">
    <w:name w:val="Char Char2"/>
    <w:autoRedefine/>
    <w:qFormat/>
    <w:uiPriority w:val="0"/>
    <w:rPr>
      <w:rFonts w:eastAsia="宋体"/>
      <w:kern w:val="2"/>
      <w:sz w:val="21"/>
      <w:szCs w:val="24"/>
      <w:lang w:val="en-US" w:eastAsia="zh-CN" w:bidi="ar-SA"/>
    </w:rPr>
  </w:style>
  <w:style w:type="character" w:customStyle="1" w:styleId="112">
    <w:name w:val="nostart"/>
    <w:autoRedefine/>
    <w:qFormat/>
    <w:uiPriority w:val="0"/>
    <w:rPr>
      <w:color w:val="FF0000"/>
    </w:rPr>
  </w:style>
  <w:style w:type="character" w:customStyle="1" w:styleId="113">
    <w:name w:val="nostart3"/>
    <w:basedOn w:val="49"/>
    <w:autoRedefine/>
    <w:qFormat/>
    <w:uiPriority w:val="0"/>
  </w:style>
  <w:style w:type="character" w:customStyle="1" w:styleId="114">
    <w:name w:val="img4"/>
    <w:basedOn w:val="49"/>
    <w:autoRedefine/>
    <w:qFormat/>
    <w:uiPriority w:val="0"/>
  </w:style>
  <w:style w:type="character" w:customStyle="1" w:styleId="115">
    <w:name w:val="tit11"/>
    <w:autoRedefine/>
    <w:qFormat/>
    <w:uiPriority w:val="0"/>
    <w:rPr>
      <w:color w:val="B60000"/>
    </w:rPr>
  </w:style>
  <w:style w:type="character" w:customStyle="1" w:styleId="116">
    <w:name w:val="批注文字 Char"/>
    <w:link w:val="19"/>
    <w:autoRedefine/>
    <w:qFormat/>
    <w:uiPriority w:val="0"/>
    <w:rPr>
      <w:rFonts w:eastAsia="宋体"/>
      <w:kern w:val="2"/>
      <w:sz w:val="21"/>
      <w:szCs w:val="24"/>
      <w:lang w:val="en-US" w:eastAsia="zh-CN" w:bidi="ar-SA"/>
    </w:rPr>
  </w:style>
  <w:style w:type="character" w:customStyle="1" w:styleId="117">
    <w:name w:val="over"/>
    <w:autoRedefine/>
    <w:qFormat/>
    <w:uiPriority w:val="0"/>
    <w:rPr>
      <w:color w:val="B60000"/>
    </w:rPr>
  </w:style>
  <w:style w:type="character" w:customStyle="1" w:styleId="118">
    <w:name w:val="HTML 预设格式 Char"/>
    <w:link w:val="42"/>
    <w:autoRedefine/>
    <w:qFormat/>
    <w:uiPriority w:val="0"/>
    <w:rPr>
      <w:rFonts w:ascii="宋体" w:hAnsi="宋体" w:cs="宋体"/>
      <w:sz w:val="24"/>
      <w:szCs w:val="24"/>
    </w:rPr>
  </w:style>
  <w:style w:type="character" w:customStyle="1" w:styleId="119">
    <w:name w:val="l6"/>
    <w:autoRedefine/>
    <w:qFormat/>
    <w:uiPriority w:val="0"/>
    <w:rPr>
      <w:color w:val="999999"/>
    </w:rPr>
  </w:style>
  <w:style w:type="character" w:customStyle="1" w:styleId="120">
    <w:name w:val="datetime"/>
    <w:autoRedefine/>
    <w:qFormat/>
    <w:uiPriority w:val="0"/>
    <w:rPr>
      <w:rFonts w:hint="default" w:ascii="Arial" w:hAnsi="Arial" w:cs="Arial"/>
      <w:color w:val="999999"/>
      <w:sz w:val="21"/>
      <w:szCs w:val="21"/>
    </w:rPr>
  </w:style>
  <w:style w:type="character" w:customStyle="1" w:styleId="121">
    <w:name w:val="txt1"/>
    <w:basedOn w:val="49"/>
    <w:autoRedefine/>
    <w:qFormat/>
    <w:uiPriority w:val="0"/>
  </w:style>
  <w:style w:type="character" w:customStyle="1" w:styleId="122">
    <w:name w:val="starting1"/>
    <w:autoRedefine/>
    <w:qFormat/>
    <w:uiPriority w:val="0"/>
    <w:rPr>
      <w:color w:val="339900"/>
    </w:rPr>
  </w:style>
  <w:style w:type="character" w:customStyle="1" w:styleId="123">
    <w:name w:val="starting2"/>
    <w:autoRedefine/>
    <w:qFormat/>
    <w:uiPriority w:val="0"/>
    <w:rPr>
      <w:color w:val="B60000"/>
    </w:rPr>
  </w:style>
  <w:style w:type="character" w:customStyle="1" w:styleId="124">
    <w:name w:val="red"/>
    <w:autoRedefine/>
    <w:qFormat/>
    <w:uiPriority w:val="0"/>
    <w:rPr>
      <w:rFonts w:hint="default" w:ascii="Arial" w:hAnsi="Arial" w:cs="Arial"/>
      <w:color w:val="E50000"/>
    </w:rPr>
  </w:style>
  <w:style w:type="character" w:customStyle="1" w:styleId="125">
    <w:name w:val="Char Char4"/>
    <w:autoRedefine/>
    <w:qFormat/>
    <w:uiPriority w:val="0"/>
    <w:rPr>
      <w:rFonts w:eastAsia="宋体"/>
      <w:b/>
      <w:bCs/>
      <w:kern w:val="44"/>
      <w:sz w:val="44"/>
      <w:szCs w:val="44"/>
      <w:lang w:val="en-US" w:eastAsia="zh-CN" w:bidi="ar-SA"/>
    </w:rPr>
  </w:style>
  <w:style w:type="character" w:customStyle="1" w:styleId="126">
    <w:name w:val="font161"/>
    <w:autoRedefine/>
    <w:qFormat/>
    <w:uiPriority w:val="0"/>
    <w:rPr>
      <w:b/>
      <w:bCs/>
      <w:sz w:val="32"/>
      <w:szCs w:val="32"/>
    </w:rPr>
  </w:style>
  <w:style w:type="character" w:customStyle="1" w:styleId="127">
    <w:name w:val="Char Char8"/>
    <w:autoRedefine/>
    <w:qFormat/>
    <w:uiPriority w:val="0"/>
    <w:rPr>
      <w:rFonts w:ascii="Arial" w:hAnsi="Arial" w:eastAsia="黑体"/>
      <w:b/>
      <w:bCs/>
      <w:kern w:val="2"/>
      <w:sz w:val="32"/>
      <w:szCs w:val="32"/>
      <w:lang w:val="en-US" w:eastAsia="zh-CN" w:bidi="ar-SA"/>
    </w:rPr>
  </w:style>
  <w:style w:type="character" w:customStyle="1" w:styleId="128">
    <w:name w:val="msg-box29"/>
    <w:basedOn w:val="49"/>
    <w:autoRedefine/>
    <w:qFormat/>
    <w:uiPriority w:val="0"/>
  </w:style>
  <w:style w:type="character" w:customStyle="1" w:styleId="129">
    <w:name w:val="over2"/>
    <w:autoRedefine/>
    <w:qFormat/>
    <w:uiPriority w:val="0"/>
    <w:rPr>
      <w:color w:val="999999"/>
    </w:rPr>
  </w:style>
  <w:style w:type="character" w:customStyle="1" w:styleId="130">
    <w:name w:val="img_title7"/>
    <w:autoRedefine/>
    <w:qFormat/>
    <w:uiPriority w:val="0"/>
    <w:rPr>
      <w:vanish/>
    </w:rPr>
  </w:style>
  <w:style w:type="character" w:customStyle="1" w:styleId="131">
    <w:name w:val="l7"/>
    <w:autoRedefine/>
    <w:qFormat/>
    <w:uiPriority w:val="0"/>
    <w:rPr>
      <w:color w:val="999999"/>
    </w:rPr>
  </w:style>
  <w:style w:type="character" w:customStyle="1" w:styleId="132">
    <w:name w:val="标题 5 Char"/>
    <w:link w:val="11"/>
    <w:autoRedefine/>
    <w:qFormat/>
    <w:uiPriority w:val="0"/>
    <w:rPr>
      <w:b/>
      <w:bCs/>
      <w:kern w:val="2"/>
      <w:sz w:val="28"/>
      <w:szCs w:val="28"/>
    </w:rPr>
  </w:style>
  <w:style w:type="character" w:customStyle="1" w:styleId="133">
    <w:name w:val="l51"/>
    <w:autoRedefine/>
    <w:qFormat/>
    <w:uiPriority w:val="0"/>
    <w:rPr>
      <w:color w:val="999999"/>
    </w:rPr>
  </w:style>
  <w:style w:type="character" w:customStyle="1" w:styleId="134">
    <w:name w:val="num81"/>
    <w:basedOn w:val="49"/>
    <w:autoRedefine/>
    <w:qFormat/>
    <w:uiPriority w:val="0"/>
  </w:style>
  <w:style w:type="character" w:customStyle="1" w:styleId="135">
    <w:name w:val="Char Char1"/>
    <w:autoRedefine/>
    <w:qFormat/>
    <w:uiPriority w:val="0"/>
    <w:rPr>
      <w:rFonts w:eastAsia="宋体"/>
      <w:kern w:val="2"/>
      <w:sz w:val="21"/>
      <w:szCs w:val="24"/>
      <w:lang w:val="en-US" w:eastAsia="zh-CN" w:bidi="ar-SA"/>
    </w:rPr>
  </w:style>
  <w:style w:type="character" w:customStyle="1" w:styleId="136">
    <w:name w:val="zs"/>
    <w:autoRedefine/>
    <w:qFormat/>
    <w:uiPriority w:val="0"/>
    <w:rPr>
      <w:color w:val="8D744B"/>
      <w:sz w:val="18"/>
      <w:szCs w:val="18"/>
    </w:rPr>
  </w:style>
  <w:style w:type="character" w:customStyle="1" w:styleId="137">
    <w:name w:val="bigfont"/>
    <w:basedOn w:val="49"/>
    <w:autoRedefine/>
    <w:qFormat/>
    <w:uiPriority w:val="0"/>
  </w:style>
  <w:style w:type="character" w:customStyle="1" w:styleId="138">
    <w:name w:val="txt"/>
    <w:autoRedefine/>
    <w:qFormat/>
    <w:uiPriority w:val="0"/>
    <w:rPr>
      <w:color w:val="C0C0C0"/>
    </w:rPr>
  </w:style>
  <w:style w:type="character" w:customStyle="1" w:styleId="139">
    <w:name w:val="纯文本 Char2"/>
    <w:link w:val="26"/>
    <w:autoRedefine/>
    <w:qFormat/>
    <w:uiPriority w:val="0"/>
    <w:rPr>
      <w:rFonts w:ascii="Courier New" w:hAnsi="Courier New" w:eastAsia="宋体"/>
      <w:kern w:val="2"/>
      <w:sz w:val="21"/>
      <w:lang w:val="en-US" w:eastAsia="zh-CN" w:bidi="ar-SA"/>
    </w:rPr>
  </w:style>
  <w:style w:type="character" w:customStyle="1" w:styleId="140">
    <w:name w:val="jg"/>
    <w:basedOn w:val="49"/>
    <w:autoRedefine/>
    <w:qFormat/>
    <w:uiPriority w:val="0"/>
  </w:style>
  <w:style w:type="character" w:customStyle="1" w:styleId="141">
    <w:name w:val="17"/>
    <w:autoRedefine/>
    <w:qFormat/>
    <w:uiPriority w:val="0"/>
    <w:rPr>
      <w:rFonts w:ascii="仿宋_GB2312" w:eastAsia="仿宋_GB2312"/>
      <w:color w:val="auto"/>
      <w:sz w:val="28"/>
      <w:szCs w:val="28"/>
      <w:u w:val="single"/>
    </w:rPr>
  </w:style>
  <w:style w:type="character" w:customStyle="1" w:styleId="142">
    <w:name w:val="job"/>
    <w:basedOn w:val="49"/>
    <w:autoRedefine/>
    <w:qFormat/>
    <w:uiPriority w:val="0"/>
  </w:style>
  <w:style w:type="character" w:customStyle="1" w:styleId="143">
    <w:name w:val="job1"/>
    <w:basedOn w:val="49"/>
    <w:autoRedefine/>
    <w:qFormat/>
    <w:uiPriority w:val="0"/>
  </w:style>
  <w:style w:type="character" w:customStyle="1" w:styleId="144">
    <w:name w:val="正文文本 Char"/>
    <w:link w:val="21"/>
    <w:autoRedefine/>
    <w:qFormat/>
    <w:uiPriority w:val="0"/>
    <w:rPr>
      <w:rFonts w:eastAsia="宋体"/>
      <w:kern w:val="2"/>
      <w:sz w:val="21"/>
      <w:szCs w:val="24"/>
      <w:lang w:val="en-US" w:eastAsia="zh-CN" w:bidi="ar-SA"/>
    </w:rPr>
  </w:style>
  <w:style w:type="character" w:customStyle="1" w:styleId="145">
    <w:name w:val="p05"/>
    <w:basedOn w:val="49"/>
    <w:autoRedefine/>
    <w:qFormat/>
    <w:uiPriority w:val="0"/>
  </w:style>
  <w:style w:type="character" w:customStyle="1" w:styleId="146">
    <w:name w:val="Char Char7"/>
    <w:autoRedefine/>
    <w:qFormat/>
    <w:uiPriority w:val="0"/>
    <w:rPr>
      <w:rFonts w:ascii="Arial" w:hAnsi="Arial" w:eastAsia="黑体"/>
      <w:b/>
      <w:bCs/>
      <w:kern w:val="2"/>
      <w:sz w:val="32"/>
      <w:szCs w:val="32"/>
      <w:lang w:val="en-US" w:eastAsia="zh-CN" w:bidi="ar-SA"/>
    </w:rPr>
  </w:style>
  <w:style w:type="character" w:customStyle="1" w:styleId="147">
    <w:name w:val="over3"/>
    <w:basedOn w:val="49"/>
    <w:autoRedefine/>
    <w:qFormat/>
    <w:uiPriority w:val="0"/>
  </w:style>
  <w:style w:type="character" w:customStyle="1" w:styleId="148">
    <w:name w:val="Char Char3"/>
    <w:autoRedefine/>
    <w:qFormat/>
    <w:uiPriority w:val="0"/>
    <w:rPr>
      <w:rFonts w:ascii="Arial" w:hAnsi="Arial" w:eastAsia="黑体"/>
      <w:b/>
      <w:bCs/>
      <w:kern w:val="2"/>
      <w:sz w:val="32"/>
      <w:szCs w:val="32"/>
      <w:lang w:val="en-US" w:eastAsia="zh-CN" w:bidi="ar-SA"/>
    </w:rPr>
  </w:style>
  <w:style w:type="character" w:customStyle="1" w:styleId="149">
    <w:name w:val="Char Char71"/>
    <w:autoRedefine/>
    <w:qFormat/>
    <w:uiPriority w:val="0"/>
    <w:rPr>
      <w:rFonts w:ascii="Arial" w:hAnsi="Arial" w:eastAsia="黑体"/>
      <w:b/>
      <w:bCs/>
      <w:kern w:val="2"/>
      <w:sz w:val="32"/>
      <w:szCs w:val="32"/>
      <w:lang w:val="en-US" w:eastAsia="zh-CN" w:bidi="ar-SA"/>
    </w:rPr>
  </w:style>
  <w:style w:type="character" w:customStyle="1" w:styleId="150">
    <w:name w:val="num51"/>
    <w:basedOn w:val="49"/>
    <w:autoRedefine/>
    <w:qFormat/>
    <w:uiPriority w:val="0"/>
  </w:style>
  <w:style w:type="character" w:customStyle="1" w:styleId="151">
    <w:name w:val="Char Char Char"/>
    <w:autoRedefine/>
    <w:qFormat/>
    <w:uiPriority w:val="0"/>
    <w:rPr>
      <w:rFonts w:eastAsia="宋体"/>
      <w:b/>
      <w:bCs/>
      <w:kern w:val="44"/>
      <w:sz w:val="44"/>
      <w:szCs w:val="44"/>
      <w:lang w:val="en-US" w:eastAsia="zh-CN" w:bidi="ar-SA"/>
    </w:rPr>
  </w:style>
  <w:style w:type="character" w:customStyle="1" w:styleId="152">
    <w:name w:val="msg-box31"/>
    <w:basedOn w:val="49"/>
    <w:autoRedefine/>
    <w:qFormat/>
    <w:uiPriority w:val="0"/>
  </w:style>
  <w:style w:type="character" w:customStyle="1" w:styleId="153">
    <w:name w:val="msg-box30"/>
    <w:basedOn w:val="49"/>
    <w:autoRedefine/>
    <w:qFormat/>
    <w:uiPriority w:val="0"/>
  </w:style>
  <w:style w:type="character" w:customStyle="1" w:styleId="154">
    <w:name w:val="标题 1 Char Char"/>
    <w:autoRedefine/>
    <w:qFormat/>
    <w:uiPriority w:val="0"/>
    <w:rPr>
      <w:rFonts w:eastAsia="宋体"/>
      <w:b/>
      <w:bCs/>
      <w:kern w:val="44"/>
      <w:sz w:val="44"/>
      <w:szCs w:val="44"/>
      <w:lang w:val="en-US" w:eastAsia="zh-CN" w:bidi="ar-SA"/>
    </w:rPr>
  </w:style>
  <w:style w:type="character" w:customStyle="1" w:styleId="155">
    <w:name w:val="标题 3 Char"/>
    <w:link w:val="8"/>
    <w:autoRedefine/>
    <w:qFormat/>
    <w:uiPriority w:val="0"/>
    <w:rPr>
      <w:b/>
      <w:bCs/>
      <w:sz w:val="32"/>
      <w:szCs w:val="32"/>
    </w:rPr>
  </w:style>
  <w:style w:type="character" w:customStyle="1" w:styleId="156">
    <w:name w:val="c1"/>
    <w:basedOn w:val="49"/>
    <w:autoRedefine/>
    <w:qFormat/>
    <w:uiPriority w:val="0"/>
  </w:style>
  <w:style w:type="character" w:customStyle="1" w:styleId="157">
    <w:name w:val="纯文本 Char1"/>
    <w:autoRedefine/>
    <w:qFormat/>
    <w:uiPriority w:val="0"/>
    <w:rPr>
      <w:rFonts w:ascii="Courier New" w:hAnsi="Courier New" w:eastAsia="宋体"/>
      <w:kern w:val="2"/>
      <w:sz w:val="21"/>
      <w:lang w:val="en-US" w:eastAsia="zh-CN" w:bidi="ar-SA"/>
    </w:rPr>
  </w:style>
  <w:style w:type="character" w:customStyle="1" w:styleId="158">
    <w:name w:val="Char Char Char1"/>
    <w:autoRedefine/>
    <w:qFormat/>
    <w:uiPriority w:val="0"/>
    <w:rPr>
      <w:rFonts w:ascii="Arial" w:hAnsi="Arial" w:eastAsia="黑体"/>
      <w:b/>
      <w:bCs/>
      <w:kern w:val="2"/>
      <w:sz w:val="32"/>
      <w:szCs w:val="32"/>
      <w:lang w:val="en-US" w:eastAsia="zh-CN" w:bidi="ar-SA"/>
    </w:rPr>
  </w:style>
  <w:style w:type="character" w:customStyle="1" w:styleId="159">
    <w:name w:val="l3"/>
    <w:autoRedefine/>
    <w:qFormat/>
    <w:uiPriority w:val="0"/>
    <w:rPr>
      <w:color w:val="999999"/>
    </w:rPr>
  </w:style>
  <w:style w:type="character" w:customStyle="1" w:styleId="160">
    <w:name w:val="tit14"/>
    <w:autoRedefine/>
    <w:qFormat/>
    <w:uiPriority w:val="0"/>
    <w:rPr>
      <w:color w:val="B60000"/>
    </w:rPr>
  </w:style>
  <w:style w:type="character" w:customStyle="1" w:styleId="161">
    <w:name w:val="tit10"/>
    <w:autoRedefine/>
    <w:qFormat/>
    <w:uiPriority w:val="0"/>
    <w:rPr>
      <w:color w:val="B60000"/>
    </w:rPr>
  </w:style>
  <w:style w:type="character" w:customStyle="1" w:styleId="162">
    <w:name w:val="l21"/>
    <w:autoRedefine/>
    <w:qFormat/>
    <w:uiPriority w:val="0"/>
    <w:rPr>
      <w:color w:val="999999"/>
    </w:rPr>
  </w:style>
  <w:style w:type="character" w:customStyle="1" w:styleId="163">
    <w:name w:val="num71"/>
    <w:basedOn w:val="49"/>
    <w:autoRedefine/>
    <w:qFormat/>
    <w:uiPriority w:val="0"/>
  </w:style>
  <w:style w:type="character" w:customStyle="1" w:styleId="164">
    <w:name w:val="标题 2 Char Char"/>
    <w:autoRedefine/>
    <w:qFormat/>
    <w:uiPriority w:val="0"/>
    <w:rPr>
      <w:rFonts w:ascii="Arial" w:hAnsi="Arial" w:eastAsia="黑体"/>
      <w:b/>
      <w:bCs/>
      <w:kern w:val="2"/>
      <w:sz w:val="32"/>
      <w:szCs w:val="32"/>
      <w:lang w:val="en-US" w:eastAsia="zh-CN" w:bidi="ar-SA"/>
    </w:rPr>
  </w:style>
  <w:style w:type="character" w:customStyle="1" w:styleId="165">
    <w:name w:val="buvis"/>
    <w:autoRedefine/>
    <w:qFormat/>
    <w:uiPriority w:val="0"/>
    <w:rPr>
      <w:color w:val="999999"/>
    </w:rPr>
  </w:style>
  <w:style w:type="character" w:customStyle="1" w:styleId="166">
    <w:name w:val="name"/>
    <w:autoRedefine/>
    <w:qFormat/>
    <w:uiPriority w:val="0"/>
    <w:rPr>
      <w:color w:val="444444"/>
      <w:sz w:val="21"/>
      <w:szCs w:val="21"/>
    </w:rPr>
  </w:style>
  <w:style w:type="character" w:customStyle="1" w:styleId="167">
    <w:name w:val="layui-this"/>
    <w:autoRedefine/>
    <w:qFormat/>
    <w:uiPriority w:val="0"/>
    <w:rPr>
      <w:bdr w:val="single" w:color="EEEEEE" w:sz="6" w:space="0"/>
      <w:shd w:val="clear" w:color="auto" w:fill="FFFFFF"/>
    </w:rPr>
  </w:style>
  <w:style w:type="character" w:customStyle="1" w:styleId="168">
    <w:name w:val="标题 2 Char1"/>
    <w:autoRedefine/>
    <w:qFormat/>
    <w:uiPriority w:val="0"/>
    <w:rPr>
      <w:rFonts w:ascii="Arial" w:hAnsi="Arial" w:eastAsia="黑体"/>
      <w:b/>
      <w:bCs/>
      <w:kern w:val="2"/>
      <w:sz w:val="32"/>
      <w:szCs w:val="32"/>
      <w:lang w:val="en-US" w:eastAsia="zh-CN" w:bidi="ar-SA"/>
    </w:rPr>
  </w:style>
  <w:style w:type="character" w:customStyle="1" w:styleId="169">
    <w:name w:val="zw"/>
    <w:autoRedefine/>
    <w:qFormat/>
    <w:uiPriority w:val="0"/>
    <w:rPr>
      <w:color w:val="BD1E22"/>
      <w:sz w:val="22"/>
      <w:szCs w:val="22"/>
    </w:rPr>
  </w:style>
  <w:style w:type="character" w:customStyle="1" w:styleId="170">
    <w:name w:val="name1"/>
    <w:autoRedefine/>
    <w:qFormat/>
    <w:uiPriority w:val="0"/>
    <w:rPr>
      <w:color w:val="695435"/>
      <w:sz w:val="24"/>
      <w:szCs w:val="24"/>
    </w:rPr>
  </w:style>
  <w:style w:type="character" w:customStyle="1" w:styleId="171">
    <w:name w:val="num61"/>
    <w:basedOn w:val="49"/>
    <w:autoRedefine/>
    <w:qFormat/>
    <w:uiPriority w:val="0"/>
  </w:style>
  <w:style w:type="character" w:customStyle="1" w:styleId="172">
    <w:name w:val="mesg-myd"/>
    <w:autoRedefine/>
    <w:qFormat/>
    <w:uiPriority w:val="0"/>
    <w:rPr>
      <w:color w:val="EE0000"/>
    </w:rPr>
  </w:style>
  <w:style w:type="character" w:customStyle="1" w:styleId="173">
    <w:name w:val="c2"/>
    <w:basedOn w:val="49"/>
    <w:autoRedefine/>
    <w:qFormat/>
    <w:uiPriority w:val="0"/>
  </w:style>
  <w:style w:type="character" w:customStyle="1" w:styleId="174">
    <w:name w:val="c3"/>
    <w:basedOn w:val="49"/>
    <w:autoRedefine/>
    <w:qFormat/>
    <w:uiPriority w:val="0"/>
  </w:style>
  <w:style w:type="character" w:customStyle="1" w:styleId="175">
    <w:name w:val="over1"/>
    <w:autoRedefine/>
    <w:qFormat/>
    <w:uiPriority w:val="0"/>
    <w:rPr>
      <w:color w:val="B60000"/>
    </w:rPr>
  </w:style>
  <w:style w:type="character" w:customStyle="1" w:styleId="176">
    <w:name w:val="tit13"/>
    <w:autoRedefine/>
    <w:qFormat/>
    <w:uiPriority w:val="0"/>
    <w:rPr>
      <w:color w:val="FFFFFF"/>
    </w:rPr>
  </w:style>
  <w:style w:type="character" w:customStyle="1" w:styleId="177">
    <w:name w:val="Char Char21"/>
    <w:autoRedefine/>
    <w:qFormat/>
    <w:uiPriority w:val="0"/>
    <w:rPr>
      <w:rFonts w:eastAsia="宋体"/>
      <w:kern w:val="2"/>
      <w:sz w:val="21"/>
      <w:szCs w:val="24"/>
      <w:lang w:val="en-US" w:eastAsia="zh-CN" w:bidi="ar-SA"/>
    </w:rPr>
  </w:style>
  <w:style w:type="character" w:customStyle="1" w:styleId="178">
    <w:name w:val="l41"/>
    <w:autoRedefine/>
    <w:qFormat/>
    <w:uiPriority w:val="0"/>
    <w:rPr>
      <w:color w:val="999999"/>
    </w:rPr>
  </w:style>
  <w:style w:type="character" w:customStyle="1" w:styleId="179">
    <w:name w:val="16"/>
    <w:autoRedefine/>
    <w:qFormat/>
    <w:uiPriority w:val="0"/>
    <w:rPr>
      <w:rFonts w:ascii="仿宋_GB2312" w:eastAsia="仿宋_GB2312"/>
      <w:color w:val="auto"/>
      <w:sz w:val="28"/>
      <w:szCs w:val="28"/>
    </w:rPr>
  </w:style>
  <w:style w:type="character" w:customStyle="1" w:styleId="180">
    <w:name w:val="num31"/>
    <w:basedOn w:val="49"/>
    <w:autoRedefine/>
    <w:qFormat/>
    <w:uiPriority w:val="0"/>
  </w:style>
  <w:style w:type="character" w:customStyle="1" w:styleId="181">
    <w:name w:val="starting4"/>
    <w:basedOn w:val="49"/>
    <w:autoRedefine/>
    <w:qFormat/>
    <w:uiPriority w:val="0"/>
  </w:style>
  <w:style w:type="character" w:customStyle="1" w:styleId="182">
    <w:name w:val="bsharetext"/>
    <w:basedOn w:val="49"/>
    <w:autoRedefine/>
    <w:qFormat/>
    <w:uiPriority w:val="0"/>
  </w:style>
  <w:style w:type="character" w:customStyle="1" w:styleId="183">
    <w:name w:val="unit"/>
    <w:autoRedefine/>
    <w:qFormat/>
    <w:uiPriority w:val="0"/>
    <w:rPr>
      <w:color w:val="999999"/>
    </w:rPr>
  </w:style>
  <w:style w:type="character" w:customStyle="1" w:styleId="184">
    <w:name w:val="nostart2"/>
    <w:autoRedefine/>
    <w:qFormat/>
    <w:uiPriority w:val="0"/>
    <w:rPr>
      <w:color w:val="B60000"/>
    </w:rPr>
  </w:style>
  <w:style w:type="character" w:customStyle="1" w:styleId="185">
    <w:name w:val="纯文本 Char"/>
    <w:autoRedefine/>
    <w:qFormat/>
    <w:uiPriority w:val="99"/>
    <w:rPr>
      <w:rFonts w:ascii="Courier New" w:hAnsi="Courier New" w:eastAsia="宋体"/>
      <w:kern w:val="2"/>
      <w:sz w:val="21"/>
      <w:lang w:val="en-US" w:eastAsia="zh-CN" w:bidi="ar-SA"/>
    </w:rPr>
  </w:style>
  <w:style w:type="character" w:customStyle="1" w:styleId="186">
    <w:name w:val="Char Char81"/>
    <w:autoRedefine/>
    <w:qFormat/>
    <w:uiPriority w:val="0"/>
    <w:rPr>
      <w:rFonts w:ascii="Arial" w:hAnsi="Arial" w:eastAsia="黑体"/>
      <w:b/>
      <w:bCs/>
      <w:kern w:val="2"/>
      <w:sz w:val="32"/>
      <w:szCs w:val="32"/>
      <w:lang w:val="en-US" w:eastAsia="zh-CN" w:bidi="ar-SA"/>
    </w:rPr>
  </w:style>
  <w:style w:type="character" w:customStyle="1" w:styleId="187">
    <w:name w:val="starting"/>
    <w:autoRedefine/>
    <w:qFormat/>
    <w:uiPriority w:val="0"/>
    <w:rPr>
      <w:color w:val="339900"/>
    </w:rPr>
  </w:style>
  <w:style w:type="character" w:customStyle="1" w:styleId="188">
    <w:name w:val="nostart1"/>
    <w:autoRedefine/>
    <w:qFormat/>
    <w:uiPriority w:val="0"/>
    <w:rPr>
      <w:color w:val="FF0000"/>
    </w:rPr>
  </w:style>
  <w:style w:type="character" w:customStyle="1" w:styleId="189">
    <w:name w:val="num210"/>
    <w:basedOn w:val="49"/>
    <w:autoRedefine/>
    <w:qFormat/>
    <w:uiPriority w:val="0"/>
  </w:style>
  <w:style w:type="character" w:customStyle="1" w:styleId="190">
    <w:name w:val="buvis1"/>
    <w:autoRedefine/>
    <w:qFormat/>
    <w:uiPriority w:val="0"/>
    <w:rPr>
      <w:color w:val="CC0000"/>
    </w:rPr>
  </w:style>
  <w:style w:type="character" w:customStyle="1" w:styleId="191">
    <w:name w:val="starting3"/>
    <w:basedOn w:val="49"/>
    <w:autoRedefine/>
    <w:qFormat/>
    <w:uiPriority w:val="0"/>
  </w:style>
  <w:style w:type="character" w:customStyle="1" w:styleId="192">
    <w:name w:val="textcontents"/>
    <w:basedOn w:val="49"/>
    <w:autoRedefine/>
    <w:qFormat/>
    <w:uiPriority w:val="0"/>
  </w:style>
  <w:style w:type="character" w:customStyle="1" w:styleId="193">
    <w:name w:val="num41"/>
    <w:basedOn w:val="49"/>
    <w:autoRedefine/>
    <w:qFormat/>
    <w:uiPriority w:val="0"/>
  </w:style>
  <w:style w:type="character" w:customStyle="1" w:styleId="194">
    <w:name w:val="tit9"/>
    <w:autoRedefine/>
    <w:qFormat/>
    <w:uiPriority w:val="0"/>
    <w:rPr>
      <w:color w:val="B60000"/>
      <w:sz w:val="27"/>
      <w:szCs w:val="27"/>
      <w:bdr w:val="single" w:color="DFCEB8" w:sz="6" w:space="0"/>
      <w:shd w:val="clear" w:color="auto" w:fill="FFFFFF"/>
    </w:rPr>
  </w:style>
  <w:style w:type="character" w:customStyle="1" w:styleId="195">
    <w:name w:val="name2"/>
    <w:autoRedefine/>
    <w:qFormat/>
    <w:uiPriority w:val="0"/>
    <w:rPr>
      <w:color w:val="000000"/>
      <w:sz w:val="39"/>
      <w:szCs w:val="39"/>
    </w:rPr>
  </w:style>
  <w:style w:type="character" w:customStyle="1" w:styleId="196">
    <w:name w:val="img_title8"/>
    <w:autoRedefine/>
    <w:qFormat/>
    <w:uiPriority w:val="0"/>
    <w:rPr>
      <w:vanish/>
    </w:rPr>
  </w:style>
  <w:style w:type="character" w:customStyle="1" w:styleId="197">
    <w:name w:val="tit15"/>
    <w:autoRedefine/>
    <w:qFormat/>
    <w:uiPriority w:val="0"/>
    <w:rPr>
      <w:b/>
      <w:color w:val="B60000"/>
    </w:rPr>
  </w:style>
  <w:style w:type="character" w:customStyle="1" w:styleId="198">
    <w:name w:val="img_title9"/>
    <w:autoRedefine/>
    <w:qFormat/>
    <w:uiPriority w:val="0"/>
    <w:rPr>
      <w:vanish/>
    </w:rPr>
  </w:style>
  <w:style w:type="character" w:customStyle="1" w:styleId="199">
    <w:name w:val="标题 2 Char2"/>
    <w:link w:val="7"/>
    <w:autoRedefine/>
    <w:qFormat/>
    <w:uiPriority w:val="0"/>
    <w:rPr>
      <w:rFonts w:ascii="Arial" w:hAnsi="Arial" w:eastAsia="黑体"/>
      <w:b/>
      <w:bCs/>
      <w:kern w:val="2"/>
      <w:sz w:val="21"/>
      <w:szCs w:val="32"/>
      <w:lang w:val="en-US" w:eastAsia="zh-CN" w:bidi="ar-SA"/>
    </w:rPr>
  </w:style>
  <w:style w:type="paragraph" w:customStyle="1" w:styleId="200">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201">
    <w:name w:val="font12"/>
    <w:basedOn w:val="49"/>
    <w:autoRedefine/>
    <w:qFormat/>
    <w:uiPriority w:val="0"/>
    <w:rPr>
      <w:rFonts w:hint="eastAsia" w:ascii="仿宋" w:hAnsi="仿宋" w:eastAsia="仿宋" w:cs="仿宋"/>
      <w:b/>
      <w:color w:val="000000"/>
      <w:sz w:val="32"/>
      <w:szCs w:val="32"/>
      <w:u w:val="none"/>
    </w:rPr>
  </w:style>
  <w:style w:type="character" w:customStyle="1" w:styleId="202">
    <w:name w:val="font101"/>
    <w:basedOn w:val="49"/>
    <w:autoRedefine/>
    <w:qFormat/>
    <w:uiPriority w:val="0"/>
    <w:rPr>
      <w:rFonts w:hint="default" w:ascii="Times New Roman" w:hAnsi="Times New Roman" w:cs="Times New Roman"/>
      <w:color w:val="000000"/>
      <w:sz w:val="24"/>
      <w:szCs w:val="24"/>
      <w:u w:val="none"/>
    </w:rPr>
  </w:style>
  <w:style w:type="character" w:customStyle="1" w:styleId="203">
    <w:name w:val="font111"/>
    <w:basedOn w:val="49"/>
    <w:autoRedefine/>
    <w:qFormat/>
    <w:uiPriority w:val="0"/>
    <w:rPr>
      <w:rFonts w:ascii="仿宋_GB2312" w:eastAsia="仿宋_GB2312" w:cs="仿宋_GB2312"/>
      <w:color w:val="000000"/>
      <w:sz w:val="24"/>
      <w:szCs w:val="24"/>
      <w:u w:val="none"/>
    </w:rPr>
  </w:style>
  <w:style w:type="character" w:customStyle="1" w:styleId="204">
    <w:name w:val="font91"/>
    <w:basedOn w:val="49"/>
    <w:autoRedefine/>
    <w:qFormat/>
    <w:uiPriority w:val="0"/>
    <w:rPr>
      <w:rFonts w:hint="eastAsia" w:ascii="仿宋" w:hAnsi="仿宋" w:eastAsia="仿宋" w:cs="仿宋"/>
      <w:color w:val="000000"/>
      <w:sz w:val="24"/>
      <w:szCs w:val="24"/>
      <w:u w:val="single"/>
    </w:rPr>
  </w:style>
  <w:style w:type="character" w:customStyle="1" w:styleId="205">
    <w:name w:val="font81"/>
    <w:basedOn w:val="49"/>
    <w:autoRedefine/>
    <w:qFormat/>
    <w:uiPriority w:val="0"/>
    <w:rPr>
      <w:rFonts w:hint="default" w:ascii="Times New Roman" w:hAnsi="Times New Roman" w:cs="Times New Roman"/>
      <w:color w:val="000000"/>
      <w:sz w:val="24"/>
      <w:szCs w:val="24"/>
      <w:u w:val="none"/>
    </w:rPr>
  </w:style>
  <w:style w:type="character" w:customStyle="1" w:styleId="206">
    <w:name w:val="font61"/>
    <w:basedOn w:val="49"/>
    <w:autoRedefine/>
    <w:qFormat/>
    <w:uiPriority w:val="0"/>
    <w:rPr>
      <w:rFonts w:hint="eastAsia" w:ascii="仿宋_GB2312" w:eastAsia="仿宋_GB2312" w:cs="仿宋_GB2312"/>
      <w:color w:val="000000"/>
      <w:sz w:val="24"/>
      <w:szCs w:val="24"/>
      <w:u w:val="none"/>
    </w:rPr>
  </w:style>
  <w:style w:type="character" w:customStyle="1" w:styleId="207">
    <w:name w:val="font21"/>
    <w:basedOn w:val="49"/>
    <w:autoRedefine/>
    <w:qFormat/>
    <w:uiPriority w:val="0"/>
    <w:rPr>
      <w:rFonts w:hint="default" w:ascii="Times New Roman" w:hAnsi="Times New Roman" w:cs="Times New Roman"/>
      <w:color w:val="000000"/>
      <w:sz w:val="24"/>
      <w:szCs w:val="24"/>
      <w:u w:val="none"/>
    </w:rPr>
  </w:style>
  <w:style w:type="character" w:customStyle="1" w:styleId="208">
    <w:name w:val="NormalCharacter"/>
    <w:autoRedefine/>
    <w:semiHidden/>
    <w:qFormat/>
    <w:uiPriority w:val="0"/>
    <w:rPr>
      <w:snapToGrid w:val="0"/>
      <w:kern w:val="0"/>
      <w:sz w:val="32"/>
      <w:szCs w:val="32"/>
      <w:lang w:val="en-US" w:eastAsia="zh-CN" w:bidi="ar-SA"/>
    </w:rPr>
  </w:style>
  <w:style w:type="character" w:customStyle="1" w:styleId="209">
    <w:name w:val="first-child1"/>
    <w:basedOn w:val="49"/>
    <w:autoRedefine/>
    <w:qFormat/>
    <w:uiPriority w:val="0"/>
  </w:style>
  <w:style w:type="character" w:customStyle="1" w:styleId="210">
    <w:name w:val="hover1"/>
    <w:basedOn w:val="49"/>
    <w:autoRedefine/>
    <w:qFormat/>
    <w:uiPriority w:val="0"/>
    <w:rPr>
      <w:color w:val="2590EB"/>
    </w:rPr>
  </w:style>
  <w:style w:type="character" w:customStyle="1" w:styleId="211">
    <w:name w:val="hover2"/>
    <w:basedOn w:val="49"/>
    <w:autoRedefine/>
    <w:qFormat/>
    <w:uiPriority w:val="0"/>
  </w:style>
  <w:style w:type="character" w:customStyle="1" w:styleId="212">
    <w:name w:val="hover3"/>
    <w:basedOn w:val="49"/>
    <w:autoRedefine/>
    <w:qFormat/>
    <w:uiPriority w:val="0"/>
    <w:rPr>
      <w:color w:val="2590EB"/>
    </w:rPr>
  </w:style>
  <w:style w:type="character" w:customStyle="1" w:styleId="213">
    <w:name w:val="hover4"/>
    <w:basedOn w:val="49"/>
    <w:autoRedefine/>
    <w:qFormat/>
    <w:uiPriority w:val="0"/>
    <w:rPr>
      <w:color w:val="2590EB"/>
      <w:shd w:val="clear" w:fill="E9F4FD"/>
    </w:rPr>
  </w:style>
  <w:style w:type="character" w:customStyle="1" w:styleId="214">
    <w:name w:val="mini-outputtext1"/>
    <w:basedOn w:val="49"/>
    <w:autoRedefine/>
    <w:qFormat/>
    <w:uiPriority w:val="0"/>
  </w:style>
  <w:style w:type="character" w:customStyle="1" w:styleId="215">
    <w:name w:val="hover"/>
    <w:basedOn w:val="49"/>
    <w:autoRedefine/>
    <w:qFormat/>
    <w:uiPriority w:val="0"/>
    <w:rPr>
      <w:color w:val="2590EB"/>
    </w:rPr>
  </w:style>
  <w:style w:type="paragraph" w:customStyle="1" w:styleId="216">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21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8">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219">
    <w:name w:val="TOC 标题2"/>
    <w:basedOn w:val="6"/>
    <w:next w:val="1"/>
    <w:autoRedefine/>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220">
    <w:name w:val="协议书标题2"/>
    <w:basedOn w:val="7"/>
    <w:next w:val="1"/>
    <w:autoRedefine/>
    <w:qFormat/>
    <w:uiPriority w:val="0"/>
    <w:pPr>
      <w:keepNext w:val="0"/>
      <w:keepLines w:val="0"/>
      <w:tabs>
        <w:tab w:val="left" w:pos="567"/>
      </w:tabs>
      <w:spacing w:line="360" w:lineRule="auto"/>
      <w:ind w:left="425"/>
      <w:jc w:val="left"/>
    </w:pPr>
    <w:rPr>
      <w:rFonts w:ascii="宋体" w:hAnsi="宋体" w:eastAsia="宋体"/>
      <w:sz w:val="24"/>
    </w:rPr>
  </w:style>
  <w:style w:type="paragraph" w:customStyle="1" w:styleId="221">
    <w:name w:val="通用标题2"/>
    <w:basedOn w:val="7"/>
    <w:next w:val="1"/>
    <w:autoRedefine/>
    <w:qFormat/>
    <w:uiPriority w:val="0"/>
    <w:pPr>
      <w:keepNext w:val="0"/>
      <w:keepLines w:val="0"/>
      <w:tabs>
        <w:tab w:val="left" w:pos="993"/>
      </w:tabs>
      <w:spacing w:line="360" w:lineRule="auto"/>
    </w:pPr>
    <w:rPr>
      <w:rFonts w:ascii="黑体" w:hAnsi="黑体"/>
    </w:rPr>
  </w:style>
  <w:style w:type="paragraph" w:customStyle="1" w:styleId="222">
    <w:name w:val="专用标题2"/>
    <w:basedOn w:val="7"/>
    <w:next w:val="1"/>
    <w:autoRedefine/>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character" w:customStyle="1" w:styleId="223">
    <w:name w:val="样式 宋体 四号"/>
    <w:autoRedefine/>
    <w:qFormat/>
    <w:uiPriority w:val="0"/>
    <w:rPr>
      <w:rFonts w:ascii="宋体" w:hAnsi="宋体" w:eastAsia="仿宋_GB2312"/>
      <w:sz w:val="28"/>
    </w:rPr>
  </w:style>
  <w:style w:type="character" w:customStyle="1" w:styleId="224">
    <w:name w:val="time"/>
    <w:basedOn w:val="49"/>
    <w:autoRedefine/>
    <w:qFormat/>
    <w:uiPriority w:val="0"/>
  </w:style>
  <w:style w:type="character" w:customStyle="1" w:styleId="225">
    <w:name w:val="status"/>
    <w:basedOn w:val="49"/>
    <w:autoRedefine/>
    <w:qFormat/>
    <w:uiPriority w:val="0"/>
    <w:rPr>
      <w:color w:val="0776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6A8AB-B2A1-4B55-8D10-16A16BEFEE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97</Pages>
  <Words>19722</Words>
  <Characters>21382</Characters>
  <Lines>1</Lines>
  <Paragraphs>1</Paragraphs>
  <TotalTime>7</TotalTime>
  <ScaleCrop>false</ScaleCrop>
  <LinksUpToDate>false</LinksUpToDate>
  <CharactersWithSpaces>21609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NTKO</cp:lastModifiedBy>
  <cp:lastPrinted>2025-03-12T08:47:00Z</cp:lastPrinted>
  <dcterms:modified xsi:type="dcterms:W3CDTF">2025-07-25T05:57:15Z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85A3685FF65442C8A7ACD6325DE4AD1D_13</vt:lpwstr>
  </property>
  <property fmtid="{D5CDD505-2E9C-101B-9397-08002B2CF9AE}" pid="4" name="KSOTemplateDocerSaveRecord">
    <vt:lpwstr>eyJoZGlkIjoiZTQ4OTM2MTIyODI3Njc5MTE5MDBiNjA4NzIzYTUzZmEifQ==</vt:lpwstr>
  </property>
</Properties>
</file>