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13FF253">
      <w:pPr>
        <w:jc w:val="center"/>
        <w:rPr>
          <w:rFonts w:ascii="宋体" w:hAnsi="宋体" w:cs="宋体"/>
          <w:b/>
          <w:color w:val="auto"/>
          <w:kern w:val="0"/>
          <w:sz w:val="44"/>
          <w:szCs w:val="44"/>
          <w:highlight w:val="none"/>
        </w:rPr>
      </w:pPr>
      <w:bookmarkStart w:id="0" w:name="_Toc461631222"/>
      <w:bookmarkStart w:id="1" w:name="_Toc15058843"/>
      <w:bookmarkStart w:id="2" w:name="_Toc324404811"/>
      <w:bookmarkStart w:id="3" w:name="_Toc247085669"/>
      <w:bookmarkStart w:id="4" w:name="_Toc506107265"/>
      <w:bookmarkStart w:id="5" w:name="_Toc246996898"/>
      <w:bookmarkStart w:id="6" w:name="_Toc296602400"/>
      <w:bookmarkStart w:id="7" w:name="OLE_LINK4"/>
      <w:bookmarkStart w:id="8" w:name="OLE_LINK2"/>
      <w:bookmarkStart w:id="9" w:name="OLE_LINK5"/>
      <w:bookmarkStart w:id="10" w:name="OLE_LINK1"/>
      <w:bookmarkStart w:id="11" w:name="OLE_LINK3"/>
    </w:p>
    <w:p w14:paraId="2C7A944A">
      <w:pPr>
        <w:pStyle w:val="2"/>
        <w:ind w:firstLine="420"/>
        <w:rPr>
          <w:color w:val="auto"/>
          <w:highlight w:val="none"/>
        </w:rPr>
      </w:pPr>
    </w:p>
    <w:p w14:paraId="42670507">
      <w:pPr>
        <w:jc w:val="center"/>
        <w:rPr>
          <w:rFonts w:ascii="宋体" w:hAnsi="宋体"/>
          <w:color w:val="auto"/>
          <w:sz w:val="72"/>
          <w:szCs w:val="72"/>
          <w:highlight w:val="none"/>
        </w:rPr>
      </w:pPr>
      <w:r>
        <w:rPr>
          <w:rFonts w:hint="eastAsia" w:hAnsi="宋体" w:cs="宋体"/>
          <w:b/>
          <w:color w:val="auto"/>
          <w:kern w:val="0"/>
          <w:sz w:val="72"/>
          <w:szCs w:val="72"/>
          <w:highlight w:val="none"/>
          <w:lang w:eastAsia="zh-CN"/>
        </w:rPr>
        <w:t>公共停车场光伏车棚项目</w:t>
      </w:r>
    </w:p>
    <w:p w14:paraId="646A8DAA">
      <w:pPr>
        <w:pStyle w:val="2"/>
        <w:rPr>
          <w:color w:val="auto"/>
          <w:highlight w:val="none"/>
        </w:rPr>
      </w:pPr>
    </w:p>
    <w:p w14:paraId="48920E00">
      <w:pPr>
        <w:jc w:val="center"/>
        <w:rPr>
          <w:color w:val="auto"/>
          <w:sz w:val="28"/>
          <w:szCs w:val="28"/>
          <w:highlight w:val="none"/>
        </w:rPr>
      </w:pPr>
      <w:r>
        <w:rPr>
          <w:rFonts w:hint="eastAsia" w:ascii="宋体" w:hAnsi="宋体"/>
          <w:b/>
          <w:bCs/>
          <w:color w:val="auto"/>
          <w:sz w:val="96"/>
          <w:szCs w:val="96"/>
          <w:highlight w:val="none"/>
        </w:rPr>
        <w:t>招</w:t>
      </w:r>
      <w:r>
        <w:rPr>
          <w:rFonts w:hint="eastAsia" w:ascii="宋体" w:hAnsi="宋体"/>
          <w:b/>
          <w:bCs/>
          <w:color w:val="auto"/>
          <w:sz w:val="96"/>
          <w:szCs w:val="96"/>
          <w:highlight w:val="none"/>
          <w:lang w:val="en-US" w:eastAsia="zh-CN"/>
        </w:rPr>
        <w:t xml:space="preserve"> </w:t>
      </w:r>
      <w:r>
        <w:rPr>
          <w:rFonts w:hint="eastAsia" w:ascii="宋体"/>
          <w:b/>
          <w:bCs/>
          <w:color w:val="auto"/>
          <w:sz w:val="96"/>
          <w:szCs w:val="96"/>
          <w:highlight w:val="none"/>
        </w:rPr>
        <w:t>标</w:t>
      </w:r>
      <w:r>
        <w:rPr>
          <w:rFonts w:hint="eastAsia" w:ascii="宋体"/>
          <w:b/>
          <w:bCs/>
          <w:color w:val="auto"/>
          <w:sz w:val="96"/>
          <w:szCs w:val="96"/>
          <w:highlight w:val="none"/>
          <w:lang w:val="en-US" w:eastAsia="zh-CN"/>
        </w:rPr>
        <w:t xml:space="preserve"> </w:t>
      </w:r>
      <w:r>
        <w:rPr>
          <w:rFonts w:hint="eastAsia" w:ascii="宋体" w:hAnsi="宋体"/>
          <w:b/>
          <w:bCs/>
          <w:color w:val="auto"/>
          <w:sz w:val="96"/>
          <w:szCs w:val="96"/>
          <w:highlight w:val="none"/>
        </w:rPr>
        <w:t>文</w:t>
      </w:r>
      <w:r>
        <w:rPr>
          <w:rFonts w:hint="eastAsia" w:ascii="宋体" w:hAnsi="宋体"/>
          <w:b/>
          <w:bCs/>
          <w:color w:val="auto"/>
          <w:sz w:val="96"/>
          <w:szCs w:val="96"/>
          <w:highlight w:val="none"/>
          <w:lang w:val="en-US" w:eastAsia="zh-CN"/>
        </w:rPr>
        <w:t xml:space="preserve"> </w:t>
      </w:r>
      <w:r>
        <w:rPr>
          <w:rFonts w:hint="eastAsia" w:ascii="宋体" w:hAnsi="宋体"/>
          <w:b/>
          <w:bCs/>
          <w:color w:val="auto"/>
          <w:sz w:val="96"/>
          <w:szCs w:val="96"/>
          <w:highlight w:val="none"/>
        </w:rPr>
        <w:t>件</w:t>
      </w:r>
    </w:p>
    <w:p w14:paraId="2D631471">
      <w:pPr>
        <w:spacing w:line="400" w:lineRule="exact"/>
        <w:jc w:val="center"/>
        <w:rPr>
          <w:rFonts w:ascii="宋体" w:hAnsi="宋体"/>
          <w:b/>
          <w:color w:val="auto"/>
          <w:sz w:val="39"/>
          <w:highlight w:val="none"/>
        </w:rPr>
      </w:pPr>
    </w:p>
    <w:p w14:paraId="19501E8F">
      <w:pPr>
        <w:spacing w:line="400" w:lineRule="exact"/>
        <w:rPr>
          <w:color w:val="auto"/>
          <w:highlight w:val="none"/>
        </w:rPr>
      </w:pPr>
    </w:p>
    <w:p w14:paraId="6B2C71C8">
      <w:pPr>
        <w:rPr>
          <w:color w:val="auto"/>
          <w:highlight w:val="none"/>
        </w:rPr>
      </w:pPr>
    </w:p>
    <w:p w14:paraId="50DC53D6">
      <w:pPr>
        <w:pStyle w:val="2"/>
        <w:rPr>
          <w:color w:val="auto"/>
          <w:highlight w:val="none"/>
        </w:rPr>
      </w:pPr>
    </w:p>
    <w:p w14:paraId="7CE08FA1">
      <w:pPr>
        <w:rPr>
          <w:color w:val="auto"/>
          <w:highlight w:val="none"/>
        </w:rPr>
      </w:pPr>
    </w:p>
    <w:p w14:paraId="74EC1805">
      <w:pPr>
        <w:rPr>
          <w:color w:val="auto"/>
          <w:highlight w:val="none"/>
        </w:rPr>
      </w:pPr>
    </w:p>
    <w:p w14:paraId="756C5AAB">
      <w:pPr>
        <w:pStyle w:val="2"/>
        <w:rPr>
          <w:color w:val="auto"/>
          <w:highlight w:val="none"/>
        </w:rPr>
      </w:pPr>
    </w:p>
    <w:p w14:paraId="3E9E24EB">
      <w:pPr>
        <w:rPr>
          <w:color w:val="auto"/>
          <w:highlight w:val="none"/>
        </w:rPr>
      </w:pPr>
    </w:p>
    <w:p w14:paraId="54CC571B">
      <w:pPr>
        <w:pStyle w:val="2"/>
        <w:rPr>
          <w:color w:val="auto"/>
          <w:highlight w:val="none"/>
        </w:rPr>
      </w:pPr>
    </w:p>
    <w:p w14:paraId="5A0A3CC0">
      <w:pPr>
        <w:rPr>
          <w:color w:val="auto"/>
          <w:highlight w:val="none"/>
        </w:rPr>
      </w:pPr>
    </w:p>
    <w:p w14:paraId="23701AFE">
      <w:pPr>
        <w:pStyle w:val="2"/>
        <w:rPr>
          <w:color w:val="auto"/>
          <w:highlight w:val="none"/>
        </w:rPr>
      </w:pPr>
    </w:p>
    <w:p w14:paraId="6FD81172">
      <w:pPr>
        <w:spacing w:line="720" w:lineRule="exact"/>
        <w:rPr>
          <w:b/>
          <w:bCs/>
          <w:color w:val="auto"/>
          <w:sz w:val="28"/>
          <w:szCs w:val="28"/>
          <w:highlight w:val="none"/>
        </w:rPr>
      </w:pPr>
    </w:p>
    <w:p w14:paraId="7E3C30A2">
      <w:pPr>
        <w:spacing w:before="156" w:beforeLines="50" w:after="156" w:afterLines="50" w:line="700" w:lineRule="exact"/>
        <w:jc w:val="center"/>
        <w:outlineLvl w:val="9"/>
        <w:rPr>
          <w:rFonts w:hint="eastAsia" w:ascii="宋体"/>
          <w:b/>
          <w:color w:val="auto"/>
          <w:sz w:val="32"/>
          <w:szCs w:val="32"/>
          <w:highlight w:val="none"/>
        </w:rPr>
      </w:pPr>
      <w:bookmarkStart w:id="12" w:name="_Toc32059"/>
      <w:bookmarkStart w:id="13" w:name="_Toc25057"/>
      <w:bookmarkStart w:id="14" w:name="_Toc20499"/>
      <w:bookmarkStart w:id="15" w:name="_Toc22225"/>
      <w:r>
        <w:rPr>
          <w:rFonts w:hint="eastAsia" w:ascii="宋体"/>
          <w:b/>
          <w:color w:val="auto"/>
          <w:sz w:val="32"/>
          <w:szCs w:val="32"/>
          <w:highlight w:val="none"/>
        </w:rPr>
        <w:t>招</w:t>
      </w:r>
      <w:r>
        <w:rPr>
          <w:rFonts w:hint="eastAsia" w:ascii="宋体"/>
          <w:b/>
          <w:color w:val="auto"/>
          <w:sz w:val="32"/>
          <w:szCs w:val="32"/>
          <w:highlight w:val="none"/>
          <w:lang w:val="en-US" w:eastAsia="zh-CN"/>
        </w:rPr>
        <w:t xml:space="preserve"> </w:t>
      </w:r>
      <w:r>
        <w:rPr>
          <w:rFonts w:hint="eastAsia" w:ascii="宋体"/>
          <w:b/>
          <w:color w:val="auto"/>
          <w:sz w:val="32"/>
          <w:szCs w:val="32"/>
          <w:highlight w:val="none"/>
        </w:rPr>
        <w:t xml:space="preserve"> </w:t>
      </w:r>
      <w:r>
        <w:rPr>
          <w:rFonts w:hint="eastAsia" w:ascii="宋体"/>
          <w:b/>
          <w:color w:val="auto"/>
          <w:sz w:val="32"/>
          <w:szCs w:val="32"/>
          <w:highlight w:val="none"/>
          <w:lang w:val="en-US" w:eastAsia="zh-CN"/>
        </w:rPr>
        <w:t xml:space="preserve"> </w:t>
      </w:r>
      <w:r>
        <w:rPr>
          <w:rFonts w:hint="eastAsia" w:ascii="宋体"/>
          <w:b/>
          <w:color w:val="auto"/>
          <w:sz w:val="32"/>
          <w:szCs w:val="32"/>
          <w:highlight w:val="none"/>
        </w:rPr>
        <w:t>标</w:t>
      </w:r>
      <w:r>
        <w:rPr>
          <w:rFonts w:hint="eastAsia" w:ascii="宋体"/>
          <w:b/>
          <w:color w:val="auto"/>
          <w:sz w:val="32"/>
          <w:szCs w:val="32"/>
          <w:highlight w:val="none"/>
          <w:lang w:val="en-US" w:eastAsia="zh-CN"/>
        </w:rPr>
        <w:t xml:space="preserve">  </w:t>
      </w:r>
      <w:r>
        <w:rPr>
          <w:rFonts w:hint="eastAsia" w:ascii="宋体"/>
          <w:b/>
          <w:color w:val="auto"/>
          <w:sz w:val="32"/>
          <w:szCs w:val="32"/>
          <w:highlight w:val="none"/>
        </w:rPr>
        <w:t xml:space="preserve"> 人：</w:t>
      </w:r>
      <w:r>
        <w:rPr>
          <w:rFonts w:hint="eastAsia" w:ascii="宋体"/>
          <w:b/>
          <w:color w:val="auto"/>
          <w:sz w:val="32"/>
          <w:szCs w:val="32"/>
          <w:highlight w:val="none"/>
          <w:u w:val="single"/>
          <w:lang w:val="en-US" w:eastAsia="zh-CN"/>
        </w:rPr>
        <w:t xml:space="preserve">   </w:t>
      </w:r>
      <w:r>
        <w:rPr>
          <w:rFonts w:hint="eastAsia" w:ascii="宋体"/>
          <w:b/>
          <w:color w:val="auto"/>
          <w:sz w:val="32"/>
          <w:szCs w:val="32"/>
          <w:highlight w:val="none"/>
          <w:u w:val="single"/>
          <w:lang w:eastAsia="zh-CN"/>
        </w:rPr>
        <w:t>滁州工投新能源开发有限公司</w:t>
      </w:r>
      <w:r>
        <w:rPr>
          <w:rFonts w:hint="eastAsia" w:ascii="宋体"/>
          <w:b/>
          <w:color w:val="auto"/>
          <w:sz w:val="32"/>
          <w:szCs w:val="32"/>
          <w:highlight w:val="none"/>
          <w:u w:val="single"/>
          <w:lang w:val="en-US" w:eastAsia="zh-CN"/>
        </w:rPr>
        <w:t xml:space="preserve">   </w:t>
      </w:r>
      <w:r>
        <w:rPr>
          <w:rFonts w:hint="eastAsia" w:ascii="宋体"/>
          <w:b/>
          <w:color w:val="auto"/>
          <w:sz w:val="32"/>
          <w:szCs w:val="32"/>
          <w:highlight w:val="none"/>
        </w:rPr>
        <w:t>（盖单位章）</w:t>
      </w:r>
      <w:bookmarkEnd w:id="12"/>
      <w:bookmarkEnd w:id="13"/>
      <w:bookmarkEnd w:id="14"/>
      <w:bookmarkEnd w:id="15"/>
    </w:p>
    <w:p w14:paraId="55CBED82">
      <w:pPr>
        <w:spacing w:before="156" w:beforeLines="50" w:after="156" w:afterLines="50" w:line="700" w:lineRule="exact"/>
        <w:rPr>
          <w:rFonts w:hint="eastAsia" w:ascii="宋体"/>
          <w:b/>
          <w:color w:val="auto"/>
          <w:sz w:val="32"/>
          <w:szCs w:val="32"/>
          <w:highlight w:val="none"/>
          <w:u w:val="single"/>
        </w:rPr>
      </w:pPr>
      <w:r>
        <w:rPr>
          <w:rFonts w:hint="eastAsia" w:ascii="宋体"/>
          <w:b/>
          <w:color w:val="auto"/>
          <w:sz w:val="32"/>
          <w:szCs w:val="32"/>
          <w:highlight w:val="none"/>
        </w:rPr>
        <w:t>招标代理机构：</w:t>
      </w:r>
      <w:r>
        <w:rPr>
          <w:rFonts w:hint="eastAsia" w:ascii="宋体"/>
          <w:b/>
          <w:color w:val="auto"/>
          <w:sz w:val="32"/>
          <w:szCs w:val="32"/>
          <w:highlight w:val="none"/>
          <w:u w:val="single"/>
          <w:lang w:val="en-US" w:eastAsia="zh-CN"/>
        </w:rPr>
        <w:t xml:space="preserve"> </w:t>
      </w:r>
      <w:r>
        <w:rPr>
          <w:rFonts w:hint="eastAsia" w:ascii="宋体"/>
          <w:b/>
          <w:color w:val="auto"/>
          <w:sz w:val="32"/>
          <w:szCs w:val="32"/>
          <w:highlight w:val="none"/>
          <w:u w:val="single"/>
        </w:rPr>
        <w:t>滁州市城投工程咨询管理有限公司</w:t>
      </w:r>
      <w:r>
        <w:rPr>
          <w:rFonts w:hint="eastAsia" w:ascii="宋体"/>
          <w:b/>
          <w:color w:val="auto"/>
          <w:sz w:val="32"/>
          <w:szCs w:val="32"/>
          <w:highlight w:val="none"/>
          <w:u w:val="single"/>
          <w:lang w:val="en-US" w:eastAsia="zh-CN"/>
        </w:rPr>
        <w:t xml:space="preserve"> </w:t>
      </w:r>
      <w:r>
        <w:rPr>
          <w:rFonts w:hint="eastAsia" w:ascii="宋体"/>
          <w:b/>
          <w:color w:val="auto"/>
          <w:sz w:val="32"/>
          <w:szCs w:val="32"/>
          <w:highlight w:val="none"/>
        </w:rPr>
        <w:t>（盖单位章）</w:t>
      </w:r>
    </w:p>
    <w:p w14:paraId="53AC5D83">
      <w:pPr>
        <w:spacing w:before="156" w:beforeLines="50" w:after="156" w:afterLines="50" w:line="700" w:lineRule="exact"/>
        <w:jc w:val="center"/>
        <w:rPr>
          <w:rFonts w:ascii="宋体"/>
          <w:b/>
          <w:color w:val="auto"/>
          <w:sz w:val="32"/>
          <w:szCs w:val="32"/>
          <w:highlight w:val="none"/>
        </w:rPr>
      </w:pPr>
      <w:r>
        <w:rPr>
          <w:rFonts w:hint="eastAsia" w:ascii="宋体"/>
          <w:b/>
          <w:color w:val="auto"/>
          <w:sz w:val="32"/>
          <w:szCs w:val="32"/>
          <w:highlight w:val="none"/>
          <w:u w:val="single"/>
        </w:rPr>
        <w:t>202</w:t>
      </w:r>
      <w:r>
        <w:rPr>
          <w:rFonts w:hint="eastAsia" w:ascii="宋体"/>
          <w:b/>
          <w:color w:val="auto"/>
          <w:sz w:val="32"/>
          <w:szCs w:val="32"/>
          <w:highlight w:val="none"/>
          <w:u w:val="single"/>
          <w:lang w:val="en-US" w:eastAsia="zh-CN"/>
        </w:rPr>
        <w:t>5</w:t>
      </w:r>
      <w:r>
        <w:rPr>
          <w:rFonts w:hint="eastAsia" w:ascii="宋体"/>
          <w:b/>
          <w:color w:val="auto"/>
          <w:sz w:val="32"/>
          <w:szCs w:val="32"/>
          <w:highlight w:val="none"/>
        </w:rPr>
        <w:t>年</w:t>
      </w:r>
      <w:r>
        <w:rPr>
          <w:rFonts w:hint="eastAsia" w:ascii="宋体"/>
          <w:b/>
          <w:color w:val="auto"/>
          <w:sz w:val="32"/>
          <w:szCs w:val="32"/>
          <w:highlight w:val="none"/>
          <w:u w:val="single"/>
          <w:lang w:val="en-US" w:eastAsia="zh-CN"/>
        </w:rPr>
        <w:t>3</w:t>
      </w:r>
      <w:r>
        <w:rPr>
          <w:rFonts w:hint="eastAsia" w:ascii="宋体"/>
          <w:b/>
          <w:color w:val="auto"/>
          <w:sz w:val="32"/>
          <w:szCs w:val="32"/>
          <w:highlight w:val="none"/>
        </w:rPr>
        <w:t>月</w:t>
      </w:r>
    </w:p>
    <w:p w14:paraId="326021E9">
      <w:pPr>
        <w:jc w:val="center"/>
        <w:rPr>
          <w:color w:val="auto"/>
          <w:sz w:val="44"/>
          <w:szCs w:val="44"/>
          <w:highlight w:val="none"/>
        </w:rPr>
        <w:sectPr>
          <w:headerReference r:id="rId3" w:type="default"/>
          <w:footerReference r:id="rId4" w:type="default"/>
          <w:pgSz w:w="11906" w:h="16838"/>
          <w:pgMar w:top="1134" w:right="1417" w:bottom="1134" w:left="1417" w:header="851" w:footer="992" w:gutter="0"/>
          <w:pgNumType w:fmt="decimal"/>
          <w:cols w:space="720" w:num="1"/>
          <w:docGrid w:type="lines" w:linePitch="312" w:charSpace="0"/>
        </w:sectPr>
      </w:pPr>
    </w:p>
    <w:p w14:paraId="0AA38DF3">
      <w:pPr>
        <w:spacing w:line="700" w:lineRule="exact"/>
        <w:jc w:val="center"/>
        <w:rPr>
          <w:rFonts w:hint="eastAsia"/>
          <w:color w:val="auto"/>
          <w:sz w:val="44"/>
          <w:szCs w:val="44"/>
          <w:highlight w:val="none"/>
        </w:rPr>
      </w:pPr>
    </w:p>
    <w:p w14:paraId="63EF28DA">
      <w:pPr>
        <w:spacing w:line="700" w:lineRule="exact"/>
        <w:jc w:val="center"/>
        <w:rPr>
          <w:color w:val="auto"/>
          <w:sz w:val="44"/>
          <w:szCs w:val="44"/>
          <w:highlight w:val="none"/>
        </w:rPr>
      </w:pPr>
      <w:r>
        <w:rPr>
          <w:rFonts w:hint="eastAsia"/>
          <w:color w:val="auto"/>
          <w:sz w:val="44"/>
          <w:szCs w:val="44"/>
          <w:highlight w:val="none"/>
        </w:rPr>
        <w:t>目   录</w:t>
      </w:r>
      <w:bookmarkEnd w:id="0"/>
      <w:bookmarkEnd w:id="1"/>
      <w:bookmarkEnd w:id="2"/>
      <w:bookmarkEnd w:id="3"/>
      <w:bookmarkEnd w:id="4"/>
      <w:bookmarkEnd w:id="5"/>
      <w:bookmarkEnd w:id="6"/>
      <w:bookmarkStart w:id="16" w:name="_Toc152042287"/>
      <w:bookmarkStart w:id="17" w:name="_Toc179632527"/>
      <w:bookmarkStart w:id="18" w:name="_Toc144974479"/>
      <w:bookmarkStart w:id="19" w:name="_Toc152045511"/>
    </w:p>
    <w:p w14:paraId="54DDAE02">
      <w:pPr>
        <w:pStyle w:val="32"/>
        <w:tabs>
          <w:tab w:val="right" w:leader="dot" w:pos="9072"/>
        </w:tabs>
        <w:rPr>
          <w:rFonts w:hint="eastAsia" w:ascii="宋体" w:hAnsi="宋体" w:eastAsia="宋体" w:cs="宋体"/>
          <w:b w:val="0"/>
          <w:bCs w:val="0"/>
          <w:color w:val="auto"/>
          <w:sz w:val="28"/>
          <w:szCs w:val="28"/>
          <w:highlight w:val="none"/>
        </w:rPr>
      </w:pPr>
      <w:r>
        <w:rPr>
          <w:rFonts w:hint="eastAsia" w:ascii="宋体" w:hAnsi="宋体" w:eastAsia="宋体" w:cs="宋体"/>
          <w:b w:val="0"/>
          <w:bCs w:val="0"/>
          <w:caps w:val="0"/>
          <w:color w:val="auto"/>
          <w:sz w:val="28"/>
          <w:szCs w:val="28"/>
          <w:highlight w:val="none"/>
          <w:lang w:val="en-US" w:eastAsia="zh-CN"/>
        </w:rPr>
        <w:fldChar w:fldCharType="begin"/>
      </w:r>
      <w:r>
        <w:rPr>
          <w:rFonts w:hint="eastAsia" w:ascii="宋体" w:hAnsi="宋体" w:eastAsia="宋体" w:cs="宋体"/>
          <w:b w:val="0"/>
          <w:bCs w:val="0"/>
          <w:caps w:val="0"/>
          <w:color w:val="auto"/>
          <w:sz w:val="28"/>
          <w:szCs w:val="28"/>
          <w:highlight w:val="none"/>
          <w:lang w:val="en-US" w:eastAsia="zh-CN"/>
        </w:rPr>
        <w:instrText xml:space="preserve">TOC \o "1-1" \h \u </w:instrText>
      </w:r>
      <w:r>
        <w:rPr>
          <w:rFonts w:hint="eastAsia" w:ascii="宋体" w:hAnsi="宋体" w:eastAsia="宋体" w:cs="宋体"/>
          <w:b w:val="0"/>
          <w:bCs w:val="0"/>
          <w:caps w:val="0"/>
          <w:color w:val="auto"/>
          <w:sz w:val="28"/>
          <w:szCs w:val="28"/>
          <w:highlight w:val="none"/>
          <w:lang w:val="en-US" w:eastAsia="zh-CN"/>
        </w:rPr>
        <w:fldChar w:fldCharType="separate"/>
      </w:r>
      <w:r>
        <w:rPr>
          <w:rFonts w:hint="eastAsia" w:ascii="宋体" w:hAnsi="宋体" w:eastAsia="宋体" w:cs="宋体"/>
          <w:b w:val="0"/>
          <w:bCs w:val="0"/>
          <w:caps w:val="0"/>
          <w:color w:val="auto"/>
          <w:sz w:val="28"/>
          <w:szCs w:val="28"/>
          <w:highlight w:val="none"/>
          <w:lang w:val="en-US" w:eastAsia="zh-CN"/>
        </w:rPr>
        <w:fldChar w:fldCharType="begin"/>
      </w:r>
      <w:r>
        <w:rPr>
          <w:rFonts w:hint="eastAsia" w:ascii="宋体" w:hAnsi="宋体" w:eastAsia="宋体" w:cs="宋体"/>
          <w:b w:val="0"/>
          <w:bCs w:val="0"/>
          <w:caps w:val="0"/>
          <w:color w:val="auto"/>
          <w:sz w:val="28"/>
          <w:szCs w:val="28"/>
          <w:highlight w:val="none"/>
          <w:lang w:val="en-US" w:eastAsia="zh-CN"/>
        </w:rPr>
        <w:instrText xml:space="preserve"> HYPERLINK \l _Toc7325 </w:instrText>
      </w:r>
      <w:r>
        <w:rPr>
          <w:rFonts w:hint="eastAsia" w:ascii="宋体" w:hAnsi="宋体" w:eastAsia="宋体" w:cs="宋体"/>
          <w:b w:val="0"/>
          <w:bCs w:val="0"/>
          <w:caps w:val="0"/>
          <w:color w:val="auto"/>
          <w:sz w:val="28"/>
          <w:szCs w:val="28"/>
          <w:highlight w:val="none"/>
          <w:lang w:val="en-US" w:eastAsia="zh-CN"/>
        </w:rPr>
        <w:fldChar w:fldCharType="separate"/>
      </w:r>
      <w:r>
        <w:rPr>
          <w:rFonts w:hint="eastAsia" w:ascii="宋体" w:hAnsi="宋体" w:eastAsia="宋体" w:cs="宋体"/>
          <w:b w:val="0"/>
          <w:bCs w:val="0"/>
          <w:color w:val="auto"/>
          <w:sz w:val="28"/>
          <w:szCs w:val="28"/>
          <w:highlight w:val="none"/>
        </w:rPr>
        <w:t>招标公告信息</w:t>
      </w:r>
      <w:r>
        <w:rPr>
          <w:rFonts w:hint="eastAsia" w:ascii="宋体" w:hAnsi="宋体" w:eastAsia="宋体" w:cs="宋体"/>
          <w:b w:val="0"/>
          <w:bCs w:val="0"/>
          <w:color w:val="auto"/>
          <w:sz w:val="28"/>
          <w:szCs w:val="28"/>
          <w:highlight w:val="none"/>
        </w:rPr>
        <w:tab/>
      </w:r>
      <w:r>
        <w:rPr>
          <w:rFonts w:hint="eastAsia" w:ascii="宋体" w:hAnsi="宋体" w:eastAsia="宋体" w:cs="宋体"/>
          <w:b w:val="0"/>
          <w:bCs w:val="0"/>
          <w:color w:val="auto"/>
          <w:sz w:val="28"/>
          <w:szCs w:val="28"/>
          <w:highlight w:val="none"/>
        </w:rPr>
        <w:fldChar w:fldCharType="begin"/>
      </w:r>
      <w:r>
        <w:rPr>
          <w:rFonts w:hint="eastAsia" w:ascii="宋体" w:hAnsi="宋体" w:eastAsia="宋体" w:cs="宋体"/>
          <w:b w:val="0"/>
          <w:bCs w:val="0"/>
          <w:color w:val="auto"/>
          <w:sz w:val="28"/>
          <w:szCs w:val="28"/>
          <w:highlight w:val="none"/>
        </w:rPr>
        <w:instrText xml:space="preserve"> PAGEREF _Toc7325 \h </w:instrText>
      </w:r>
      <w:r>
        <w:rPr>
          <w:rFonts w:hint="eastAsia" w:ascii="宋体" w:hAnsi="宋体" w:eastAsia="宋体" w:cs="宋体"/>
          <w:b w:val="0"/>
          <w:bCs w:val="0"/>
          <w:color w:val="auto"/>
          <w:sz w:val="28"/>
          <w:szCs w:val="28"/>
          <w:highlight w:val="none"/>
        </w:rPr>
        <w:fldChar w:fldCharType="separate"/>
      </w:r>
      <w:r>
        <w:rPr>
          <w:rFonts w:hint="eastAsia" w:ascii="宋体" w:hAnsi="宋体" w:eastAsia="宋体" w:cs="宋体"/>
          <w:b w:val="0"/>
          <w:bCs w:val="0"/>
          <w:color w:val="auto"/>
          <w:sz w:val="28"/>
          <w:szCs w:val="28"/>
          <w:highlight w:val="none"/>
        </w:rPr>
        <w:t>1</w:t>
      </w:r>
      <w:r>
        <w:rPr>
          <w:rFonts w:hint="eastAsia" w:ascii="宋体" w:hAnsi="宋体" w:eastAsia="宋体" w:cs="宋体"/>
          <w:b w:val="0"/>
          <w:bCs w:val="0"/>
          <w:color w:val="auto"/>
          <w:sz w:val="28"/>
          <w:szCs w:val="28"/>
          <w:highlight w:val="none"/>
        </w:rPr>
        <w:fldChar w:fldCharType="end"/>
      </w:r>
      <w:r>
        <w:rPr>
          <w:rFonts w:hint="eastAsia" w:ascii="宋体" w:hAnsi="宋体" w:eastAsia="宋体" w:cs="宋体"/>
          <w:b w:val="0"/>
          <w:bCs w:val="0"/>
          <w:caps w:val="0"/>
          <w:color w:val="auto"/>
          <w:sz w:val="28"/>
          <w:szCs w:val="28"/>
          <w:highlight w:val="none"/>
          <w:lang w:val="en-US" w:eastAsia="zh-CN"/>
        </w:rPr>
        <w:fldChar w:fldCharType="end"/>
      </w:r>
    </w:p>
    <w:p w14:paraId="43399E50">
      <w:pPr>
        <w:pStyle w:val="32"/>
        <w:tabs>
          <w:tab w:val="right" w:leader="dot" w:pos="9072"/>
        </w:tabs>
        <w:rPr>
          <w:rFonts w:hint="eastAsia" w:ascii="宋体" w:hAnsi="宋体" w:eastAsia="宋体" w:cs="宋体"/>
          <w:b w:val="0"/>
          <w:bCs w:val="0"/>
          <w:color w:val="auto"/>
          <w:sz w:val="28"/>
          <w:szCs w:val="28"/>
          <w:highlight w:val="none"/>
        </w:rPr>
      </w:pPr>
      <w:r>
        <w:rPr>
          <w:rFonts w:hint="eastAsia" w:ascii="宋体" w:hAnsi="宋体" w:eastAsia="宋体" w:cs="宋体"/>
          <w:b w:val="0"/>
          <w:bCs w:val="0"/>
          <w:caps w:val="0"/>
          <w:color w:val="auto"/>
          <w:sz w:val="28"/>
          <w:szCs w:val="28"/>
          <w:highlight w:val="none"/>
          <w:lang w:val="en-US" w:eastAsia="zh-CN"/>
        </w:rPr>
        <w:fldChar w:fldCharType="begin"/>
      </w:r>
      <w:r>
        <w:rPr>
          <w:rFonts w:hint="eastAsia" w:ascii="宋体" w:hAnsi="宋体" w:eastAsia="宋体" w:cs="宋体"/>
          <w:b w:val="0"/>
          <w:bCs w:val="0"/>
          <w:caps w:val="0"/>
          <w:color w:val="auto"/>
          <w:sz w:val="28"/>
          <w:szCs w:val="28"/>
          <w:highlight w:val="none"/>
          <w:lang w:val="en-US" w:eastAsia="zh-CN"/>
        </w:rPr>
        <w:instrText xml:space="preserve"> HYPERLINK \l _Toc8980 </w:instrText>
      </w:r>
      <w:r>
        <w:rPr>
          <w:rFonts w:hint="eastAsia" w:ascii="宋体" w:hAnsi="宋体" w:eastAsia="宋体" w:cs="宋体"/>
          <w:b w:val="0"/>
          <w:bCs w:val="0"/>
          <w:caps w:val="0"/>
          <w:color w:val="auto"/>
          <w:sz w:val="28"/>
          <w:szCs w:val="28"/>
          <w:highlight w:val="none"/>
          <w:lang w:val="en-US" w:eastAsia="zh-CN"/>
        </w:rPr>
        <w:fldChar w:fldCharType="separate"/>
      </w:r>
      <w:r>
        <w:rPr>
          <w:rFonts w:hint="eastAsia" w:ascii="宋体" w:hAnsi="宋体" w:eastAsia="宋体" w:cs="宋体"/>
          <w:b w:val="0"/>
          <w:bCs w:val="0"/>
          <w:color w:val="auto"/>
          <w:sz w:val="28"/>
          <w:szCs w:val="28"/>
          <w:highlight w:val="none"/>
        </w:rPr>
        <w:t>第一章  投标人须知</w:t>
      </w:r>
      <w:r>
        <w:rPr>
          <w:rFonts w:hint="eastAsia" w:ascii="宋体" w:hAnsi="宋体" w:eastAsia="宋体" w:cs="宋体"/>
          <w:b w:val="0"/>
          <w:bCs w:val="0"/>
          <w:color w:val="auto"/>
          <w:sz w:val="28"/>
          <w:szCs w:val="28"/>
          <w:highlight w:val="none"/>
        </w:rPr>
        <w:tab/>
      </w:r>
      <w:r>
        <w:rPr>
          <w:rFonts w:hint="eastAsia" w:ascii="宋体" w:hAnsi="宋体" w:eastAsia="宋体" w:cs="宋体"/>
          <w:b w:val="0"/>
          <w:bCs w:val="0"/>
          <w:color w:val="auto"/>
          <w:sz w:val="28"/>
          <w:szCs w:val="28"/>
          <w:highlight w:val="none"/>
        </w:rPr>
        <w:fldChar w:fldCharType="begin"/>
      </w:r>
      <w:r>
        <w:rPr>
          <w:rFonts w:hint="eastAsia" w:ascii="宋体" w:hAnsi="宋体" w:eastAsia="宋体" w:cs="宋体"/>
          <w:b w:val="0"/>
          <w:bCs w:val="0"/>
          <w:color w:val="auto"/>
          <w:sz w:val="28"/>
          <w:szCs w:val="28"/>
          <w:highlight w:val="none"/>
        </w:rPr>
        <w:instrText xml:space="preserve"> PAGEREF _Toc8980 \h </w:instrText>
      </w:r>
      <w:r>
        <w:rPr>
          <w:rFonts w:hint="eastAsia" w:ascii="宋体" w:hAnsi="宋体" w:eastAsia="宋体" w:cs="宋体"/>
          <w:b w:val="0"/>
          <w:bCs w:val="0"/>
          <w:color w:val="auto"/>
          <w:sz w:val="28"/>
          <w:szCs w:val="28"/>
          <w:highlight w:val="none"/>
        </w:rPr>
        <w:fldChar w:fldCharType="separate"/>
      </w:r>
      <w:r>
        <w:rPr>
          <w:rFonts w:hint="eastAsia" w:ascii="宋体" w:hAnsi="宋体" w:eastAsia="宋体" w:cs="宋体"/>
          <w:b w:val="0"/>
          <w:bCs w:val="0"/>
          <w:color w:val="auto"/>
          <w:sz w:val="28"/>
          <w:szCs w:val="28"/>
          <w:highlight w:val="none"/>
        </w:rPr>
        <w:t>6</w:t>
      </w:r>
      <w:r>
        <w:rPr>
          <w:rFonts w:hint="eastAsia" w:ascii="宋体" w:hAnsi="宋体" w:eastAsia="宋体" w:cs="宋体"/>
          <w:b w:val="0"/>
          <w:bCs w:val="0"/>
          <w:color w:val="auto"/>
          <w:sz w:val="28"/>
          <w:szCs w:val="28"/>
          <w:highlight w:val="none"/>
        </w:rPr>
        <w:fldChar w:fldCharType="end"/>
      </w:r>
      <w:r>
        <w:rPr>
          <w:rFonts w:hint="eastAsia" w:ascii="宋体" w:hAnsi="宋体" w:eastAsia="宋体" w:cs="宋体"/>
          <w:b w:val="0"/>
          <w:bCs w:val="0"/>
          <w:caps w:val="0"/>
          <w:color w:val="auto"/>
          <w:sz w:val="28"/>
          <w:szCs w:val="28"/>
          <w:highlight w:val="none"/>
          <w:lang w:val="en-US" w:eastAsia="zh-CN"/>
        </w:rPr>
        <w:fldChar w:fldCharType="end"/>
      </w:r>
    </w:p>
    <w:p w14:paraId="5B19B3D8">
      <w:pPr>
        <w:pStyle w:val="32"/>
        <w:tabs>
          <w:tab w:val="right" w:leader="dot" w:pos="9072"/>
        </w:tabs>
        <w:rPr>
          <w:rFonts w:hint="eastAsia" w:ascii="宋体" w:hAnsi="宋体" w:eastAsia="宋体" w:cs="宋体"/>
          <w:b w:val="0"/>
          <w:bCs w:val="0"/>
          <w:color w:val="auto"/>
          <w:sz w:val="28"/>
          <w:szCs w:val="28"/>
          <w:highlight w:val="none"/>
        </w:rPr>
      </w:pPr>
      <w:r>
        <w:rPr>
          <w:rFonts w:hint="eastAsia" w:ascii="宋体" w:hAnsi="宋体" w:eastAsia="宋体" w:cs="宋体"/>
          <w:b w:val="0"/>
          <w:bCs w:val="0"/>
          <w:caps w:val="0"/>
          <w:color w:val="auto"/>
          <w:sz w:val="28"/>
          <w:szCs w:val="28"/>
          <w:highlight w:val="none"/>
          <w:lang w:val="en-US" w:eastAsia="zh-CN"/>
        </w:rPr>
        <w:fldChar w:fldCharType="begin"/>
      </w:r>
      <w:r>
        <w:rPr>
          <w:rFonts w:hint="eastAsia" w:ascii="宋体" w:hAnsi="宋体" w:eastAsia="宋体" w:cs="宋体"/>
          <w:b w:val="0"/>
          <w:bCs w:val="0"/>
          <w:caps w:val="0"/>
          <w:color w:val="auto"/>
          <w:sz w:val="28"/>
          <w:szCs w:val="28"/>
          <w:highlight w:val="none"/>
          <w:lang w:val="en-US" w:eastAsia="zh-CN"/>
        </w:rPr>
        <w:instrText xml:space="preserve"> HYPERLINK \l _Toc10676 </w:instrText>
      </w:r>
      <w:r>
        <w:rPr>
          <w:rFonts w:hint="eastAsia" w:ascii="宋体" w:hAnsi="宋体" w:eastAsia="宋体" w:cs="宋体"/>
          <w:b w:val="0"/>
          <w:bCs w:val="0"/>
          <w:caps w:val="0"/>
          <w:color w:val="auto"/>
          <w:sz w:val="28"/>
          <w:szCs w:val="28"/>
          <w:highlight w:val="none"/>
          <w:lang w:val="en-US" w:eastAsia="zh-CN"/>
        </w:rPr>
        <w:fldChar w:fldCharType="separate"/>
      </w:r>
      <w:r>
        <w:rPr>
          <w:rFonts w:hint="eastAsia" w:ascii="宋体" w:hAnsi="宋体" w:eastAsia="宋体" w:cs="宋体"/>
          <w:b w:val="0"/>
          <w:bCs w:val="0"/>
          <w:color w:val="auto"/>
          <w:sz w:val="28"/>
          <w:szCs w:val="28"/>
          <w:highlight w:val="none"/>
        </w:rPr>
        <w:t>第二章  资格审查办法</w:t>
      </w:r>
      <w:r>
        <w:rPr>
          <w:rFonts w:hint="eastAsia" w:ascii="宋体" w:hAnsi="宋体" w:eastAsia="宋体" w:cs="宋体"/>
          <w:b w:val="0"/>
          <w:bCs w:val="0"/>
          <w:color w:val="auto"/>
          <w:sz w:val="28"/>
          <w:szCs w:val="28"/>
          <w:highlight w:val="none"/>
        </w:rPr>
        <w:tab/>
      </w:r>
      <w:r>
        <w:rPr>
          <w:rFonts w:hint="eastAsia" w:ascii="宋体" w:hAnsi="宋体" w:eastAsia="宋体" w:cs="宋体"/>
          <w:b w:val="0"/>
          <w:bCs w:val="0"/>
          <w:color w:val="auto"/>
          <w:sz w:val="28"/>
          <w:szCs w:val="28"/>
          <w:highlight w:val="none"/>
        </w:rPr>
        <w:fldChar w:fldCharType="begin"/>
      </w:r>
      <w:r>
        <w:rPr>
          <w:rFonts w:hint="eastAsia" w:ascii="宋体" w:hAnsi="宋体" w:eastAsia="宋体" w:cs="宋体"/>
          <w:b w:val="0"/>
          <w:bCs w:val="0"/>
          <w:color w:val="auto"/>
          <w:sz w:val="28"/>
          <w:szCs w:val="28"/>
          <w:highlight w:val="none"/>
        </w:rPr>
        <w:instrText xml:space="preserve"> PAGEREF _Toc10676 \h </w:instrText>
      </w:r>
      <w:r>
        <w:rPr>
          <w:rFonts w:hint="eastAsia" w:ascii="宋体" w:hAnsi="宋体" w:eastAsia="宋体" w:cs="宋体"/>
          <w:b w:val="0"/>
          <w:bCs w:val="0"/>
          <w:color w:val="auto"/>
          <w:sz w:val="28"/>
          <w:szCs w:val="28"/>
          <w:highlight w:val="none"/>
        </w:rPr>
        <w:fldChar w:fldCharType="separate"/>
      </w:r>
      <w:r>
        <w:rPr>
          <w:rFonts w:hint="eastAsia" w:ascii="宋体" w:hAnsi="宋体" w:eastAsia="宋体" w:cs="宋体"/>
          <w:b w:val="0"/>
          <w:bCs w:val="0"/>
          <w:color w:val="auto"/>
          <w:sz w:val="28"/>
          <w:szCs w:val="28"/>
          <w:highlight w:val="none"/>
        </w:rPr>
        <w:t>22</w:t>
      </w:r>
      <w:r>
        <w:rPr>
          <w:rFonts w:hint="eastAsia" w:ascii="宋体" w:hAnsi="宋体" w:eastAsia="宋体" w:cs="宋体"/>
          <w:b w:val="0"/>
          <w:bCs w:val="0"/>
          <w:color w:val="auto"/>
          <w:sz w:val="28"/>
          <w:szCs w:val="28"/>
          <w:highlight w:val="none"/>
        </w:rPr>
        <w:fldChar w:fldCharType="end"/>
      </w:r>
      <w:r>
        <w:rPr>
          <w:rFonts w:hint="eastAsia" w:ascii="宋体" w:hAnsi="宋体" w:eastAsia="宋体" w:cs="宋体"/>
          <w:b w:val="0"/>
          <w:bCs w:val="0"/>
          <w:caps w:val="0"/>
          <w:color w:val="auto"/>
          <w:sz w:val="28"/>
          <w:szCs w:val="28"/>
          <w:highlight w:val="none"/>
          <w:lang w:val="en-US" w:eastAsia="zh-CN"/>
        </w:rPr>
        <w:fldChar w:fldCharType="end"/>
      </w:r>
    </w:p>
    <w:p w14:paraId="6BDEF1DA">
      <w:pPr>
        <w:pStyle w:val="32"/>
        <w:tabs>
          <w:tab w:val="right" w:leader="dot" w:pos="9072"/>
        </w:tabs>
        <w:rPr>
          <w:rFonts w:hint="eastAsia" w:ascii="宋体" w:hAnsi="宋体" w:eastAsia="宋体" w:cs="宋体"/>
          <w:b w:val="0"/>
          <w:bCs w:val="0"/>
          <w:color w:val="auto"/>
          <w:sz w:val="28"/>
          <w:szCs w:val="28"/>
          <w:highlight w:val="none"/>
        </w:rPr>
      </w:pPr>
      <w:r>
        <w:rPr>
          <w:rFonts w:hint="eastAsia" w:ascii="宋体" w:hAnsi="宋体" w:eastAsia="宋体" w:cs="宋体"/>
          <w:b w:val="0"/>
          <w:bCs w:val="0"/>
          <w:caps w:val="0"/>
          <w:color w:val="auto"/>
          <w:sz w:val="28"/>
          <w:szCs w:val="28"/>
          <w:highlight w:val="none"/>
          <w:lang w:val="en-US" w:eastAsia="zh-CN"/>
        </w:rPr>
        <w:fldChar w:fldCharType="begin"/>
      </w:r>
      <w:r>
        <w:rPr>
          <w:rFonts w:hint="eastAsia" w:ascii="宋体" w:hAnsi="宋体" w:eastAsia="宋体" w:cs="宋体"/>
          <w:b w:val="0"/>
          <w:bCs w:val="0"/>
          <w:caps w:val="0"/>
          <w:color w:val="auto"/>
          <w:sz w:val="28"/>
          <w:szCs w:val="28"/>
          <w:highlight w:val="none"/>
          <w:lang w:val="en-US" w:eastAsia="zh-CN"/>
        </w:rPr>
        <w:instrText xml:space="preserve"> HYPERLINK \l _Toc30518 </w:instrText>
      </w:r>
      <w:r>
        <w:rPr>
          <w:rFonts w:hint="eastAsia" w:ascii="宋体" w:hAnsi="宋体" w:eastAsia="宋体" w:cs="宋体"/>
          <w:b w:val="0"/>
          <w:bCs w:val="0"/>
          <w:caps w:val="0"/>
          <w:color w:val="auto"/>
          <w:sz w:val="28"/>
          <w:szCs w:val="28"/>
          <w:highlight w:val="none"/>
          <w:lang w:val="en-US" w:eastAsia="zh-CN"/>
        </w:rPr>
        <w:fldChar w:fldCharType="separate"/>
      </w:r>
      <w:r>
        <w:rPr>
          <w:rFonts w:hint="eastAsia" w:ascii="宋体" w:hAnsi="宋体" w:eastAsia="宋体" w:cs="宋体"/>
          <w:b w:val="0"/>
          <w:bCs w:val="0"/>
          <w:color w:val="auto"/>
          <w:kern w:val="0"/>
          <w:sz w:val="28"/>
          <w:szCs w:val="28"/>
          <w:highlight w:val="none"/>
        </w:rPr>
        <w:t xml:space="preserve">第三章 </w:t>
      </w:r>
      <w:r>
        <w:rPr>
          <w:rFonts w:hint="eastAsia" w:ascii="宋体" w:hAnsi="宋体" w:eastAsia="宋体" w:cs="宋体"/>
          <w:b w:val="0"/>
          <w:bCs w:val="0"/>
          <w:color w:val="auto"/>
          <w:kern w:val="0"/>
          <w:sz w:val="28"/>
          <w:szCs w:val="28"/>
          <w:highlight w:val="none"/>
          <w:lang w:val="en-US" w:eastAsia="zh-CN"/>
        </w:rPr>
        <w:t xml:space="preserve"> </w:t>
      </w:r>
      <w:r>
        <w:rPr>
          <w:rFonts w:hint="eastAsia" w:ascii="宋体" w:hAnsi="宋体" w:eastAsia="宋体" w:cs="宋体"/>
          <w:b w:val="0"/>
          <w:bCs w:val="0"/>
          <w:color w:val="auto"/>
          <w:kern w:val="0"/>
          <w:sz w:val="28"/>
          <w:szCs w:val="28"/>
          <w:highlight w:val="none"/>
        </w:rPr>
        <w:t>评标办法</w:t>
      </w:r>
      <w:r>
        <w:rPr>
          <w:rFonts w:hint="eastAsia" w:ascii="宋体" w:hAnsi="宋体" w:eastAsia="宋体" w:cs="宋体"/>
          <w:b w:val="0"/>
          <w:bCs w:val="0"/>
          <w:color w:val="auto"/>
          <w:sz w:val="28"/>
          <w:szCs w:val="28"/>
          <w:highlight w:val="none"/>
        </w:rPr>
        <w:tab/>
      </w:r>
      <w:r>
        <w:rPr>
          <w:rFonts w:hint="eastAsia" w:ascii="宋体" w:hAnsi="宋体" w:eastAsia="宋体" w:cs="宋体"/>
          <w:b w:val="0"/>
          <w:bCs w:val="0"/>
          <w:color w:val="auto"/>
          <w:sz w:val="28"/>
          <w:szCs w:val="28"/>
          <w:highlight w:val="none"/>
        </w:rPr>
        <w:fldChar w:fldCharType="begin"/>
      </w:r>
      <w:r>
        <w:rPr>
          <w:rFonts w:hint="eastAsia" w:ascii="宋体" w:hAnsi="宋体" w:eastAsia="宋体" w:cs="宋体"/>
          <w:b w:val="0"/>
          <w:bCs w:val="0"/>
          <w:color w:val="auto"/>
          <w:sz w:val="28"/>
          <w:szCs w:val="28"/>
          <w:highlight w:val="none"/>
        </w:rPr>
        <w:instrText xml:space="preserve"> PAGEREF _Toc30518 \h </w:instrText>
      </w:r>
      <w:r>
        <w:rPr>
          <w:rFonts w:hint="eastAsia" w:ascii="宋体" w:hAnsi="宋体" w:eastAsia="宋体" w:cs="宋体"/>
          <w:b w:val="0"/>
          <w:bCs w:val="0"/>
          <w:color w:val="auto"/>
          <w:sz w:val="28"/>
          <w:szCs w:val="28"/>
          <w:highlight w:val="none"/>
        </w:rPr>
        <w:fldChar w:fldCharType="separate"/>
      </w:r>
      <w:r>
        <w:rPr>
          <w:rFonts w:hint="eastAsia" w:ascii="宋体" w:hAnsi="宋体" w:eastAsia="宋体" w:cs="宋体"/>
          <w:b w:val="0"/>
          <w:bCs w:val="0"/>
          <w:color w:val="auto"/>
          <w:sz w:val="28"/>
          <w:szCs w:val="28"/>
          <w:highlight w:val="none"/>
        </w:rPr>
        <w:t>24</w:t>
      </w:r>
      <w:r>
        <w:rPr>
          <w:rFonts w:hint="eastAsia" w:ascii="宋体" w:hAnsi="宋体" w:eastAsia="宋体" w:cs="宋体"/>
          <w:b w:val="0"/>
          <w:bCs w:val="0"/>
          <w:color w:val="auto"/>
          <w:sz w:val="28"/>
          <w:szCs w:val="28"/>
          <w:highlight w:val="none"/>
        </w:rPr>
        <w:fldChar w:fldCharType="end"/>
      </w:r>
      <w:r>
        <w:rPr>
          <w:rFonts w:hint="eastAsia" w:ascii="宋体" w:hAnsi="宋体" w:eastAsia="宋体" w:cs="宋体"/>
          <w:b w:val="0"/>
          <w:bCs w:val="0"/>
          <w:caps w:val="0"/>
          <w:color w:val="auto"/>
          <w:sz w:val="28"/>
          <w:szCs w:val="28"/>
          <w:highlight w:val="none"/>
          <w:lang w:val="en-US" w:eastAsia="zh-CN"/>
        </w:rPr>
        <w:fldChar w:fldCharType="end"/>
      </w:r>
    </w:p>
    <w:p w14:paraId="47A5ECD2">
      <w:pPr>
        <w:pStyle w:val="32"/>
        <w:tabs>
          <w:tab w:val="right" w:leader="dot" w:pos="9072"/>
        </w:tabs>
        <w:rPr>
          <w:rFonts w:hint="eastAsia" w:ascii="宋体" w:hAnsi="宋体" w:eastAsia="宋体" w:cs="宋体"/>
          <w:b w:val="0"/>
          <w:bCs w:val="0"/>
          <w:color w:val="auto"/>
          <w:sz w:val="28"/>
          <w:szCs w:val="28"/>
          <w:highlight w:val="none"/>
        </w:rPr>
      </w:pPr>
      <w:r>
        <w:rPr>
          <w:rFonts w:hint="eastAsia" w:ascii="宋体" w:hAnsi="宋体" w:eastAsia="宋体" w:cs="宋体"/>
          <w:b w:val="0"/>
          <w:bCs w:val="0"/>
          <w:caps w:val="0"/>
          <w:color w:val="auto"/>
          <w:sz w:val="28"/>
          <w:szCs w:val="28"/>
          <w:highlight w:val="none"/>
          <w:lang w:val="en-US" w:eastAsia="zh-CN"/>
        </w:rPr>
        <w:fldChar w:fldCharType="begin"/>
      </w:r>
      <w:r>
        <w:rPr>
          <w:rFonts w:hint="eastAsia" w:ascii="宋体" w:hAnsi="宋体" w:eastAsia="宋体" w:cs="宋体"/>
          <w:b w:val="0"/>
          <w:bCs w:val="0"/>
          <w:caps w:val="0"/>
          <w:color w:val="auto"/>
          <w:sz w:val="28"/>
          <w:szCs w:val="28"/>
          <w:highlight w:val="none"/>
          <w:lang w:val="en-US" w:eastAsia="zh-CN"/>
        </w:rPr>
        <w:instrText xml:space="preserve"> HYPERLINK \l _Toc7231 </w:instrText>
      </w:r>
      <w:r>
        <w:rPr>
          <w:rFonts w:hint="eastAsia" w:ascii="宋体" w:hAnsi="宋体" w:eastAsia="宋体" w:cs="宋体"/>
          <w:b w:val="0"/>
          <w:bCs w:val="0"/>
          <w:caps w:val="0"/>
          <w:color w:val="auto"/>
          <w:sz w:val="28"/>
          <w:szCs w:val="28"/>
          <w:highlight w:val="none"/>
          <w:lang w:val="en-US" w:eastAsia="zh-CN"/>
        </w:rPr>
        <w:fldChar w:fldCharType="separate"/>
      </w:r>
      <w:r>
        <w:rPr>
          <w:rFonts w:hint="eastAsia" w:ascii="宋体" w:hAnsi="宋体" w:eastAsia="宋体" w:cs="宋体"/>
          <w:b w:val="0"/>
          <w:bCs w:val="0"/>
          <w:color w:val="auto"/>
          <w:kern w:val="0"/>
          <w:sz w:val="28"/>
          <w:szCs w:val="28"/>
          <w:highlight w:val="none"/>
        </w:rPr>
        <w:t>第</w:t>
      </w:r>
      <w:r>
        <w:rPr>
          <w:rFonts w:hint="eastAsia" w:ascii="宋体" w:hAnsi="宋体" w:eastAsia="宋体" w:cs="宋体"/>
          <w:b w:val="0"/>
          <w:bCs w:val="0"/>
          <w:color w:val="auto"/>
          <w:kern w:val="0"/>
          <w:sz w:val="28"/>
          <w:szCs w:val="28"/>
          <w:highlight w:val="none"/>
          <w:lang w:val="en-US" w:eastAsia="zh-CN"/>
        </w:rPr>
        <w:t>四</w:t>
      </w:r>
      <w:r>
        <w:rPr>
          <w:rFonts w:hint="eastAsia" w:ascii="宋体" w:hAnsi="宋体" w:eastAsia="宋体" w:cs="宋体"/>
          <w:b w:val="0"/>
          <w:bCs w:val="0"/>
          <w:color w:val="auto"/>
          <w:kern w:val="0"/>
          <w:sz w:val="28"/>
          <w:szCs w:val="28"/>
          <w:highlight w:val="none"/>
        </w:rPr>
        <w:t>章  合同条款及格式</w:t>
      </w:r>
      <w:r>
        <w:rPr>
          <w:rFonts w:hint="eastAsia" w:ascii="宋体" w:hAnsi="宋体" w:eastAsia="宋体" w:cs="宋体"/>
          <w:b w:val="0"/>
          <w:bCs w:val="0"/>
          <w:color w:val="auto"/>
          <w:sz w:val="28"/>
          <w:szCs w:val="28"/>
          <w:highlight w:val="none"/>
        </w:rPr>
        <w:tab/>
      </w:r>
      <w:r>
        <w:rPr>
          <w:rFonts w:hint="eastAsia" w:ascii="宋体" w:hAnsi="宋体" w:eastAsia="宋体" w:cs="宋体"/>
          <w:b w:val="0"/>
          <w:bCs w:val="0"/>
          <w:color w:val="auto"/>
          <w:sz w:val="28"/>
          <w:szCs w:val="28"/>
          <w:highlight w:val="none"/>
        </w:rPr>
        <w:fldChar w:fldCharType="begin"/>
      </w:r>
      <w:r>
        <w:rPr>
          <w:rFonts w:hint="eastAsia" w:ascii="宋体" w:hAnsi="宋体" w:eastAsia="宋体" w:cs="宋体"/>
          <w:b w:val="0"/>
          <w:bCs w:val="0"/>
          <w:color w:val="auto"/>
          <w:sz w:val="28"/>
          <w:szCs w:val="28"/>
          <w:highlight w:val="none"/>
        </w:rPr>
        <w:instrText xml:space="preserve"> PAGEREF _Toc7231 \h </w:instrText>
      </w:r>
      <w:r>
        <w:rPr>
          <w:rFonts w:hint="eastAsia" w:ascii="宋体" w:hAnsi="宋体" w:eastAsia="宋体" w:cs="宋体"/>
          <w:b w:val="0"/>
          <w:bCs w:val="0"/>
          <w:color w:val="auto"/>
          <w:sz w:val="28"/>
          <w:szCs w:val="28"/>
          <w:highlight w:val="none"/>
        </w:rPr>
        <w:fldChar w:fldCharType="separate"/>
      </w:r>
      <w:r>
        <w:rPr>
          <w:rFonts w:hint="eastAsia" w:ascii="宋体" w:hAnsi="宋体" w:eastAsia="宋体" w:cs="宋体"/>
          <w:b w:val="0"/>
          <w:bCs w:val="0"/>
          <w:color w:val="auto"/>
          <w:sz w:val="28"/>
          <w:szCs w:val="28"/>
          <w:highlight w:val="none"/>
        </w:rPr>
        <w:t>30</w:t>
      </w:r>
      <w:r>
        <w:rPr>
          <w:rFonts w:hint="eastAsia" w:ascii="宋体" w:hAnsi="宋体" w:eastAsia="宋体" w:cs="宋体"/>
          <w:b w:val="0"/>
          <w:bCs w:val="0"/>
          <w:color w:val="auto"/>
          <w:sz w:val="28"/>
          <w:szCs w:val="28"/>
          <w:highlight w:val="none"/>
        </w:rPr>
        <w:fldChar w:fldCharType="end"/>
      </w:r>
      <w:r>
        <w:rPr>
          <w:rFonts w:hint="eastAsia" w:ascii="宋体" w:hAnsi="宋体" w:eastAsia="宋体" w:cs="宋体"/>
          <w:b w:val="0"/>
          <w:bCs w:val="0"/>
          <w:caps w:val="0"/>
          <w:color w:val="auto"/>
          <w:sz w:val="28"/>
          <w:szCs w:val="28"/>
          <w:highlight w:val="none"/>
          <w:lang w:val="en-US" w:eastAsia="zh-CN"/>
        </w:rPr>
        <w:fldChar w:fldCharType="end"/>
      </w:r>
    </w:p>
    <w:p w14:paraId="058A10DB">
      <w:pPr>
        <w:pStyle w:val="32"/>
        <w:tabs>
          <w:tab w:val="right" w:leader="dot" w:pos="9072"/>
        </w:tabs>
        <w:rPr>
          <w:rFonts w:hint="eastAsia" w:ascii="宋体" w:hAnsi="宋体" w:eastAsia="宋体" w:cs="宋体"/>
          <w:b w:val="0"/>
          <w:bCs w:val="0"/>
          <w:color w:val="auto"/>
          <w:sz w:val="28"/>
          <w:szCs w:val="28"/>
          <w:highlight w:val="none"/>
        </w:rPr>
      </w:pPr>
      <w:r>
        <w:rPr>
          <w:rFonts w:hint="eastAsia" w:ascii="宋体" w:hAnsi="宋体" w:eastAsia="宋体" w:cs="宋体"/>
          <w:b w:val="0"/>
          <w:bCs w:val="0"/>
          <w:caps w:val="0"/>
          <w:color w:val="auto"/>
          <w:sz w:val="28"/>
          <w:szCs w:val="28"/>
          <w:highlight w:val="none"/>
          <w:lang w:val="en-US" w:eastAsia="zh-CN"/>
        </w:rPr>
        <w:fldChar w:fldCharType="begin"/>
      </w:r>
      <w:r>
        <w:rPr>
          <w:rFonts w:hint="eastAsia" w:ascii="宋体" w:hAnsi="宋体" w:eastAsia="宋体" w:cs="宋体"/>
          <w:b w:val="0"/>
          <w:bCs w:val="0"/>
          <w:caps w:val="0"/>
          <w:color w:val="auto"/>
          <w:sz w:val="28"/>
          <w:szCs w:val="28"/>
          <w:highlight w:val="none"/>
          <w:lang w:val="en-US" w:eastAsia="zh-CN"/>
        </w:rPr>
        <w:instrText xml:space="preserve"> HYPERLINK \l _Toc23990 </w:instrText>
      </w:r>
      <w:r>
        <w:rPr>
          <w:rFonts w:hint="eastAsia" w:ascii="宋体" w:hAnsi="宋体" w:eastAsia="宋体" w:cs="宋体"/>
          <w:b w:val="0"/>
          <w:bCs w:val="0"/>
          <w:caps w:val="0"/>
          <w:color w:val="auto"/>
          <w:sz w:val="28"/>
          <w:szCs w:val="28"/>
          <w:highlight w:val="none"/>
          <w:lang w:val="en-US" w:eastAsia="zh-CN"/>
        </w:rPr>
        <w:fldChar w:fldCharType="separate"/>
      </w:r>
      <w:r>
        <w:rPr>
          <w:rFonts w:hint="eastAsia" w:ascii="宋体" w:hAnsi="宋体" w:eastAsia="宋体" w:cs="宋体"/>
          <w:b w:val="0"/>
          <w:bCs w:val="0"/>
          <w:color w:val="auto"/>
          <w:kern w:val="0"/>
          <w:sz w:val="28"/>
          <w:szCs w:val="28"/>
          <w:highlight w:val="none"/>
          <w:lang w:val="en-US" w:eastAsia="zh-CN" w:bidi="ar-SA"/>
        </w:rPr>
        <w:t>第五章</w:t>
      </w:r>
      <w:r>
        <w:rPr>
          <w:rFonts w:hint="eastAsia" w:ascii="宋体" w:hAnsi="宋体" w:eastAsia="宋体" w:cs="宋体"/>
          <w:b w:val="0"/>
          <w:bCs w:val="0"/>
          <w:color w:val="auto"/>
          <w:sz w:val="28"/>
          <w:szCs w:val="28"/>
          <w:highlight w:val="none"/>
        </w:rPr>
        <w:t xml:space="preserve"> </w:t>
      </w:r>
      <w:r>
        <w:rPr>
          <w:rFonts w:hint="eastAsia" w:ascii="宋体" w:hAnsi="宋体" w:eastAsia="宋体" w:cs="宋体"/>
          <w:b w:val="0"/>
          <w:bCs w:val="0"/>
          <w:color w:val="auto"/>
          <w:sz w:val="28"/>
          <w:szCs w:val="28"/>
          <w:highlight w:val="none"/>
          <w:lang w:val="en-US" w:eastAsia="zh-CN"/>
        </w:rPr>
        <w:t xml:space="preserve"> </w:t>
      </w:r>
      <w:r>
        <w:rPr>
          <w:rFonts w:hint="eastAsia" w:ascii="宋体" w:hAnsi="宋体" w:eastAsia="宋体" w:cs="宋体"/>
          <w:b w:val="0"/>
          <w:bCs w:val="0"/>
          <w:color w:val="auto"/>
          <w:sz w:val="28"/>
          <w:szCs w:val="28"/>
          <w:highlight w:val="none"/>
        </w:rPr>
        <w:t>工程量清单</w:t>
      </w:r>
      <w:r>
        <w:rPr>
          <w:rFonts w:hint="eastAsia" w:ascii="宋体" w:hAnsi="宋体" w:eastAsia="宋体" w:cs="宋体"/>
          <w:b w:val="0"/>
          <w:bCs w:val="0"/>
          <w:color w:val="auto"/>
          <w:sz w:val="28"/>
          <w:szCs w:val="28"/>
          <w:highlight w:val="none"/>
        </w:rPr>
        <w:tab/>
      </w:r>
      <w:r>
        <w:rPr>
          <w:rFonts w:hint="eastAsia" w:ascii="宋体" w:hAnsi="宋体" w:eastAsia="宋体" w:cs="宋体"/>
          <w:b w:val="0"/>
          <w:bCs w:val="0"/>
          <w:color w:val="auto"/>
          <w:sz w:val="28"/>
          <w:szCs w:val="28"/>
          <w:highlight w:val="none"/>
        </w:rPr>
        <w:fldChar w:fldCharType="begin"/>
      </w:r>
      <w:r>
        <w:rPr>
          <w:rFonts w:hint="eastAsia" w:ascii="宋体" w:hAnsi="宋体" w:eastAsia="宋体" w:cs="宋体"/>
          <w:b w:val="0"/>
          <w:bCs w:val="0"/>
          <w:color w:val="auto"/>
          <w:sz w:val="28"/>
          <w:szCs w:val="28"/>
          <w:highlight w:val="none"/>
        </w:rPr>
        <w:instrText xml:space="preserve"> PAGEREF _Toc23990 \h </w:instrText>
      </w:r>
      <w:r>
        <w:rPr>
          <w:rFonts w:hint="eastAsia" w:ascii="宋体" w:hAnsi="宋体" w:eastAsia="宋体" w:cs="宋体"/>
          <w:b w:val="0"/>
          <w:bCs w:val="0"/>
          <w:color w:val="auto"/>
          <w:sz w:val="28"/>
          <w:szCs w:val="28"/>
          <w:highlight w:val="none"/>
        </w:rPr>
        <w:fldChar w:fldCharType="separate"/>
      </w:r>
      <w:r>
        <w:rPr>
          <w:rFonts w:hint="eastAsia" w:ascii="宋体" w:hAnsi="宋体" w:eastAsia="宋体" w:cs="宋体"/>
          <w:b w:val="0"/>
          <w:bCs w:val="0"/>
          <w:color w:val="auto"/>
          <w:sz w:val="28"/>
          <w:szCs w:val="28"/>
          <w:highlight w:val="none"/>
        </w:rPr>
        <w:t>30</w:t>
      </w:r>
      <w:r>
        <w:rPr>
          <w:rFonts w:hint="eastAsia" w:ascii="宋体" w:hAnsi="宋体" w:eastAsia="宋体" w:cs="宋体"/>
          <w:b w:val="0"/>
          <w:bCs w:val="0"/>
          <w:color w:val="auto"/>
          <w:sz w:val="28"/>
          <w:szCs w:val="28"/>
          <w:highlight w:val="none"/>
        </w:rPr>
        <w:fldChar w:fldCharType="end"/>
      </w:r>
      <w:r>
        <w:rPr>
          <w:rFonts w:hint="eastAsia" w:ascii="宋体" w:hAnsi="宋体" w:eastAsia="宋体" w:cs="宋体"/>
          <w:b w:val="0"/>
          <w:bCs w:val="0"/>
          <w:caps w:val="0"/>
          <w:color w:val="auto"/>
          <w:sz w:val="28"/>
          <w:szCs w:val="28"/>
          <w:highlight w:val="none"/>
          <w:lang w:val="en-US" w:eastAsia="zh-CN"/>
        </w:rPr>
        <w:fldChar w:fldCharType="end"/>
      </w:r>
    </w:p>
    <w:p w14:paraId="3AC677FE">
      <w:pPr>
        <w:pStyle w:val="32"/>
        <w:tabs>
          <w:tab w:val="right" w:leader="dot" w:pos="9072"/>
        </w:tabs>
        <w:rPr>
          <w:rFonts w:hint="eastAsia" w:ascii="宋体" w:hAnsi="宋体" w:eastAsia="宋体" w:cs="宋体"/>
          <w:b w:val="0"/>
          <w:bCs w:val="0"/>
          <w:color w:val="auto"/>
          <w:sz w:val="28"/>
          <w:szCs w:val="28"/>
          <w:highlight w:val="none"/>
        </w:rPr>
      </w:pPr>
      <w:r>
        <w:rPr>
          <w:rFonts w:hint="eastAsia" w:ascii="宋体" w:hAnsi="宋体" w:eastAsia="宋体" w:cs="宋体"/>
          <w:b w:val="0"/>
          <w:bCs w:val="0"/>
          <w:caps w:val="0"/>
          <w:color w:val="auto"/>
          <w:sz w:val="28"/>
          <w:szCs w:val="28"/>
          <w:highlight w:val="none"/>
          <w:lang w:val="en-US" w:eastAsia="zh-CN"/>
        </w:rPr>
        <w:fldChar w:fldCharType="begin"/>
      </w:r>
      <w:r>
        <w:rPr>
          <w:rFonts w:hint="eastAsia" w:ascii="宋体" w:hAnsi="宋体" w:eastAsia="宋体" w:cs="宋体"/>
          <w:b w:val="0"/>
          <w:bCs w:val="0"/>
          <w:caps w:val="0"/>
          <w:color w:val="auto"/>
          <w:sz w:val="28"/>
          <w:szCs w:val="28"/>
          <w:highlight w:val="none"/>
          <w:lang w:val="en-US" w:eastAsia="zh-CN"/>
        </w:rPr>
        <w:instrText xml:space="preserve"> HYPERLINK \l _Toc10023 </w:instrText>
      </w:r>
      <w:r>
        <w:rPr>
          <w:rFonts w:hint="eastAsia" w:ascii="宋体" w:hAnsi="宋体" w:eastAsia="宋体" w:cs="宋体"/>
          <w:b w:val="0"/>
          <w:bCs w:val="0"/>
          <w:caps w:val="0"/>
          <w:color w:val="auto"/>
          <w:sz w:val="28"/>
          <w:szCs w:val="28"/>
          <w:highlight w:val="none"/>
          <w:lang w:val="en-US" w:eastAsia="zh-CN"/>
        </w:rPr>
        <w:fldChar w:fldCharType="separate"/>
      </w:r>
      <w:r>
        <w:rPr>
          <w:rFonts w:hint="eastAsia" w:ascii="宋体" w:hAnsi="宋体" w:eastAsia="宋体" w:cs="宋体"/>
          <w:b w:val="0"/>
          <w:bCs w:val="0"/>
          <w:color w:val="auto"/>
          <w:kern w:val="0"/>
          <w:sz w:val="28"/>
          <w:szCs w:val="28"/>
          <w:highlight w:val="none"/>
          <w:lang w:val="en-US" w:eastAsia="zh-CN" w:bidi="ar-SA"/>
        </w:rPr>
        <w:t xml:space="preserve">第六章  </w:t>
      </w:r>
      <w:r>
        <w:rPr>
          <w:rFonts w:hint="eastAsia" w:ascii="宋体" w:hAnsi="宋体" w:eastAsia="宋体" w:cs="宋体"/>
          <w:b w:val="0"/>
          <w:bCs w:val="0"/>
          <w:color w:val="auto"/>
          <w:sz w:val="28"/>
          <w:szCs w:val="28"/>
          <w:highlight w:val="none"/>
          <w:lang w:val="en-US" w:eastAsia="zh-CN"/>
        </w:rPr>
        <w:t>图纸</w:t>
      </w:r>
      <w:r>
        <w:rPr>
          <w:rFonts w:hint="eastAsia" w:ascii="宋体" w:hAnsi="宋体" w:eastAsia="宋体" w:cs="宋体"/>
          <w:b w:val="0"/>
          <w:bCs w:val="0"/>
          <w:color w:val="auto"/>
          <w:sz w:val="28"/>
          <w:szCs w:val="28"/>
          <w:highlight w:val="none"/>
        </w:rPr>
        <w:tab/>
      </w:r>
      <w:r>
        <w:rPr>
          <w:rFonts w:hint="eastAsia" w:ascii="宋体" w:hAnsi="宋体" w:eastAsia="宋体" w:cs="宋体"/>
          <w:b w:val="0"/>
          <w:bCs w:val="0"/>
          <w:color w:val="auto"/>
          <w:sz w:val="28"/>
          <w:szCs w:val="28"/>
          <w:highlight w:val="none"/>
        </w:rPr>
        <w:fldChar w:fldCharType="begin"/>
      </w:r>
      <w:r>
        <w:rPr>
          <w:rFonts w:hint="eastAsia" w:ascii="宋体" w:hAnsi="宋体" w:eastAsia="宋体" w:cs="宋体"/>
          <w:b w:val="0"/>
          <w:bCs w:val="0"/>
          <w:color w:val="auto"/>
          <w:sz w:val="28"/>
          <w:szCs w:val="28"/>
          <w:highlight w:val="none"/>
        </w:rPr>
        <w:instrText xml:space="preserve"> PAGEREF _Toc10023 \h </w:instrText>
      </w:r>
      <w:r>
        <w:rPr>
          <w:rFonts w:hint="eastAsia" w:ascii="宋体" w:hAnsi="宋体" w:eastAsia="宋体" w:cs="宋体"/>
          <w:b w:val="0"/>
          <w:bCs w:val="0"/>
          <w:color w:val="auto"/>
          <w:sz w:val="28"/>
          <w:szCs w:val="28"/>
          <w:highlight w:val="none"/>
        </w:rPr>
        <w:fldChar w:fldCharType="separate"/>
      </w:r>
      <w:r>
        <w:rPr>
          <w:rFonts w:hint="eastAsia" w:ascii="宋体" w:hAnsi="宋体" w:eastAsia="宋体" w:cs="宋体"/>
          <w:b w:val="0"/>
          <w:bCs w:val="0"/>
          <w:color w:val="auto"/>
          <w:sz w:val="28"/>
          <w:szCs w:val="28"/>
          <w:highlight w:val="none"/>
        </w:rPr>
        <w:t>95</w:t>
      </w:r>
      <w:r>
        <w:rPr>
          <w:rFonts w:hint="eastAsia" w:ascii="宋体" w:hAnsi="宋体" w:eastAsia="宋体" w:cs="宋体"/>
          <w:b w:val="0"/>
          <w:bCs w:val="0"/>
          <w:color w:val="auto"/>
          <w:sz w:val="28"/>
          <w:szCs w:val="28"/>
          <w:highlight w:val="none"/>
        </w:rPr>
        <w:fldChar w:fldCharType="end"/>
      </w:r>
      <w:r>
        <w:rPr>
          <w:rFonts w:hint="eastAsia" w:ascii="宋体" w:hAnsi="宋体" w:eastAsia="宋体" w:cs="宋体"/>
          <w:b w:val="0"/>
          <w:bCs w:val="0"/>
          <w:caps w:val="0"/>
          <w:color w:val="auto"/>
          <w:sz w:val="28"/>
          <w:szCs w:val="28"/>
          <w:highlight w:val="none"/>
          <w:lang w:val="en-US" w:eastAsia="zh-CN"/>
        </w:rPr>
        <w:fldChar w:fldCharType="end"/>
      </w:r>
    </w:p>
    <w:p w14:paraId="566B14AE">
      <w:pPr>
        <w:pStyle w:val="32"/>
        <w:tabs>
          <w:tab w:val="right" w:leader="dot" w:pos="9072"/>
        </w:tabs>
        <w:rPr>
          <w:rFonts w:hint="eastAsia" w:ascii="宋体" w:hAnsi="宋体" w:eastAsia="宋体" w:cs="宋体"/>
          <w:b w:val="0"/>
          <w:bCs w:val="0"/>
          <w:color w:val="auto"/>
          <w:sz w:val="28"/>
          <w:szCs w:val="28"/>
          <w:highlight w:val="none"/>
        </w:rPr>
      </w:pPr>
      <w:r>
        <w:rPr>
          <w:rFonts w:hint="eastAsia" w:ascii="宋体" w:hAnsi="宋体" w:eastAsia="宋体" w:cs="宋体"/>
          <w:b w:val="0"/>
          <w:bCs w:val="0"/>
          <w:caps w:val="0"/>
          <w:color w:val="auto"/>
          <w:sz w:val="28"/>
          <w:szCs w:val="28"/>
          <w:highlight w:val="none"/>
          <w:lang w:val="en-US" w:eastAsia="zh-CN"/>
        </w:rPr>
        <w:fldChar w:fldCharType="begin"/>
      </w:r>
      <w:r>
        <w:rPr>
          <w:rFonts w:hint="eastAsia" w:ascii="宋体" w:hAnsi="宋体" w:eastAsia="宋体" w:cs="宋体"/>
          <w:b w:val="0"/>
          <w:bCs w:val="0"/>
          <w:caps w:val="0"/>
          <w:color w:val="auto"/>
          <w:sz w:val="28"/>
          <w:szCs w:val="28"/>
          <w:highlight w:val="none"/>
          <w:lang w:val="en-US" w:eastAsia="zh-CN"/>
        </w:rPr>
        <w:instrText xml:space="preserve"> HYPERLINK \l _Toc24902 </w:instrText>
      </w:r>
      <w:r>
        <w:rPr>
          <w:rFonts w:hint="eastAsia" w:ascii="宋体" w:hAnsi="宋体" w:eastAsia="宋体" w:cs="宋体"/>
          <w:b w:val="0"/>
          <w:bCs w:val="0"/>
          <w:caps w:val="0"/>
          <w:color w:val="auto"/>
          <w:sz w:val="28"/>
          <w:szCs w:val="28"/>
          <w:highlight w:val="none"/>
          <w:lang w:val="en-US" w:eastAsia="zh-CN"/>
        </w:rPr>
        <w:fldChar w:fldCharType="separate"/>
      </w:r>
      <w:r>
        <w:rPr>
          <w:rFonts w:hint="eastAsia" w:ascii="宋体" w:hAnsi="宋体" w:eastAsia="宋体" w:cs="宋体"/>
          <w:b w:val="0"/>
          <w:bCs w:val="0"/>
          <w:color w:val="auto"/>
          <w:sz w:val="28"/>
          <w:szCs w:val="28"/>
          <w:highlight w:val="none"/>
          <w:lang w:val="en-US" w:eastAsia="zh-CN"/>
        </w:rPr>
        <w:t>第七章  技术标准和要求</w:t>
      </w:r>
      <w:r>
        <w:rPr>
          <w:rFonts w:hint="eastAsia" w:ascii="宋体" w:hAnsi="宋体" w:eastAsia="宋体" w:cs="宋体"/>
          <w:b w:val="0"/>
          <w:bCs w:val="0"/>
          <w:color w:val="auto"/>
          <w:sz w:val="28"/>
          <w:szCs w:val="28"/>
          <w:highlight w:val="none"/>
        </w:rPr>
        <w:tab/>
      </w:r>
      <w:r>
        <w:rPr>
          <w:rFonts w:hint="eastAsia" w:ascii="宋体" w:hAnsi="宋体" w:eastAsia="宋体" w:cs="宋体"/>
          <w:b w:val="0"/>
          <w:bCs w:val="0"/>
          <w:color w:val="auto"/>
          <w:sz w:val="28"/>
          <w:szCs w:val="28"/>
          <w:highlight w:val="none"/>
        </w:rPr>
        <w:fldChar w:fldCharType="begin"/>
      </w:r>
      <w:r>
        <w:rPr>
          <w:rFonts w:hint="eastAsia" w:ascii="宋体" w:hAnsi="宋体" w:eastAsia="宋体" w:cs="宋体"/>
          <w:b w:val="0"/>
          <w:bCs w:val="0"/>
          <w:color w:val="auto"/>
          <w:sz w:val="28"/>
          <w:szCs w:val="28"/>
          <w:highlight w:val="none"/>
        </w:rPr>
        <w:instrText xml:space="preserve"> PAGEREF _Toc24902 \h </w:instrText>
      </w:r>
      <w:r>
        <w:rPr>
          <w:rFonts w:hint="eastAsia" w:ascii="宋体" w:hAnsi="宋体" w:eastAsia="宋体" w:cs="宋体"/>
          <w:b w:val="0"/>
          <w:bCs w:val="0"/>
          <w:color w:val="auto"/>
          <w:sz w:val="28"/>
          <w:szCs w:val="28"/>
          <w:highlight w:val="none"/>
        </w:rPr>
        <w:fldChar w:fldCharType="separate"/>
      </w:r>
      <w:r>
        <w:rPr>
          <w:rFonts w:hint="eastAsia" w:ascii="宋体" w:hAnsi="宋体" w:eastAsia="宋体" w:cs="宋体"/>
          <w:b w:val="0"/>
          <w:bCs w:val="0"/>
          <w:color w:val="auto"/>
          <w:sz w:val="28"/>
          <w:szCs w:val="28"/>
          <w:highlight w:val="none"/>
        </w:rPr>
        <w:t>95</w:t>
      </w:r>
      <w:r>
        <w:rPr>
          <w:rFonts w:hint="eastAsia" w:ascii="宋体" w:hAnsi="宋体" w:eastAsia="宋体" w:cs="宋体"/>
          <w:b w:val="0"/>
          <w:bCs w:val="0"/>
          <w:color w:val="auto"/>
          <w:sz w:val="28"/>
          <w:szCs w:val="28"/>
          <w:highlight w:val="none"/>
        </w:rPr>
        <w:fldChar w:fldCharType="end"/>
      </w:r>
      <w:r>
        <w:rPr>
          <w:rFonts w:hint="eastAsia" w:ascii="宋体" w:hAnsi="宋体" w:eastAsia="宋体" w:cs="宋体"/>
          <w:b w:val="0"/>
          <w:bCs w:val="0"/>
          <w:caps w:val="0"/>
          <w:color w:val="auto"/>
          <w:sz w:val="28"/>
          <w:szCs w:val="28"/>
          <w:highlight w:val="none"/>
          <w:lang w:val="en-US" w:eastAsia="zh-CN"/>
        </w:rPr>
        <w:fldChar w:fldCharType="end"/>
      </w:r>
    </w:p>
    <w:p w14:paraId="457F73F2">
      <w:pPr>
        <w:pStyle w:val="32"/>
        <w:tabs>
          <w:tab w:val="right" w:leader="dot" w:pos="9072"/>
        </w:tabs>
        <w:rPr>
          <w:rFonts w:hint="eastAsia" w:ascii="宋体" w:hAnsi="宋体" w:eastAsia="宋体" w:cs="宋体"/>
          <w:b w:val="0"/>
          <w:bCs w:val="0"/>
          <w:color w:val="auto"/>
          <w:sz w:val="28"/>
          <w:szCs w:val="28"/>
          <w:highlight w:val="none"/>
        </w:rPr>
      </w:pPr>
      <w:r>
        <w:rPr>
          <w:rFonts w:hint="eastAsia" w:ascii="宋体" w:hAnsi="宋体" w:eastAsia="宋体" w:cs="宋体"/>
          <w:b w:val="0"/>
          <w:bCs w:val="0"/>
          <w:caps w:val="0"/>
          <w:color w:val="auto"/>
          <w:sz w:val="28"/>
          <w:szCs w:val="28"/>
          <w:highlight w:val="none"/>
          <w:lang w:val="en-US" w:eastAsia="zh-CN"/>
        </w:rPr>
        <w:fldChar w:fldCharType="begin"/>
      </w:r>
      <w:r>
        <w:rPr>
          <w:rFonts w:hint="eastAsia" w:ascii="宋体" w:hAnsi="宋体" w:eastAsia="宋体" w:cs="宋体"/>
          <w:b w:val="0"/>
          <w:bCs w:val="0"/>
          <w:caps w:val="0"/>
          <w:color w:val="auto"/>
          <w:sz w:val="28"/>
          <w:szCs w:val="28"/>
          <w:highlight w:val="none"/>
          <w:lang w:val="en-US" w:eastAsia="zh-CN"/>
        </w:rPr>
        <w:instrText xml:space="preserve"> HYPERLINK \l _Toc5279 </w:instrText>
      </w:r>
      <w:r>
        <w:rPr>
          <w:rFonts w:hint="eastAsia" w:ascii="宋体" w:hAnsi="宋体" w:eastAsia="宋体" w:cs="宋体"/>
          <w:b w:val="0"/>
          <w:bCs w:val="0"/>
          <w:caps w:val="0"/>
          <w:color w:val="auto"/>
          <w:sz w:val="28"/>
          <w:szCs w:val="28"/>
          <w:highlight w:val="none"/>
          <w:lang w:val="en-US" w:eastAsia="zh-CN"/>
        </w:rPr>
        <w:fldChar w:fldCharType="separate"/>
      </w:r>
      <w:r>
        <w:rPr>
          <w:rFonts w:hint="eastAsia" w:ascii="宋体" w:hAnsi="宋体" w:eastAsia="宋体" w:cs="宋体"/>
          <w:b w:val="0"/>
          <w:bCs w:val="0"/>
          <w:color w:val="auto"/>
          <w:sz w:val="28"/>
          <w:szCs w:val="28"/>
          <w:highlight w:val="none"/>
        </w:rPr>
        <w:t>第</w:t>
      </w:r>
      <w:r>
        <w:rPr>
          <w:rFonts w:hint="eastAsia" w:ascii="宋体" w:hAnsi="宋体" w:eastAsia="宋体" w:cs="宋体"/>
          <w:b w:val="0"/>
          <w:bCs w:val="0"/>
          <w:color w:val="auto"/>
          <w:sz w:val="28"/>
          <w:szCs w:val="28"/>
          <w:highlight w:val="none"/>
          <w:lang w:val="en-US" w:eastAsia="zh-CN"/>
        </w:rPr>
        <w:t>八</w:t>
      </w:r>
      <w:r>
        <w:rPr>
          <w:rFonts w:hint="eastAsia" w:ascii="宋体" w:hAnsi="宋体" w:eastAsia="宋体" w:cs="宋体"/>
          <w:b w:val="0"/>
          <w:bCs w:val="0"/>
          <w:color w:val="auto"/>
          <w:sz w:val="28"/>
          <w:szCs w:val="28"/>
          <w:highlight w:val="none"/>
        </w:rPr>
        <w:t>章  投标文件格式</w:t>
      </w:r>
      <w:r>
        <w:rPr>
          <w:rFonts w:hint="eastAsia" w:ascii="宋体" w:hAnsi="宋体" w:eastAsia="宋体" w:cs="宋体"/>
          <w:b w:val="0"/>
          <w:bCs w:val="0"/>
          <w:color w:val="auto"/>
          <w:sz w:val="28"/>
          <w:szCs w:val="28"/>
          <w:highlight w:val="none"/>
        </w:rPr>
        <w:tab/>
      </w:r>
      <w:r>
        <w:rPr>
          <w:rFonts w:hint="eastAsia" w:ascii="宋体" w:hAnsi="宋体" w:eastAsia="宋体" w:cs="宋体"/>
          <w:b w:val="0"/>
          <w:bCs w:val="0"/>
          <w:color w:val="auto"/>
          <w:sz w:val="28"/>
          <w:szCs w:val="28"/>
          <w:highlight w:val="none"/>
        </w:rPr>
        <w:fldChar w:fldCharType="begin"/>
      </w:r>
      <w:r>
        <w:rPr>
          <w:rFonts w:hint="eastAsia" w:ascii="宋体" w:hAnsi="宋体" w:eastAsia="宋体" w:cs="宋体"/>
          <w:b w:val="0"/>
          <w:bCs w:val="0"/>
          <w:color w:val="auto"/>
          <w:sz w:val="28"/>
          <w:szCs w:val="28"/>
          <w:highlight w:val="none"/>
        </w:rPr>
        <w:instrText xml:space="preserve"> PAGEREF _Toc5279 \h </w:instrText>
      </w:r>
      <w:r>
        <w:rPr>
          <w:rFonts w:hint="eastAsia" w:ascii="宋体" w:hAnsi="宋体" w:eastAsia="宋体" w:cs="宋体"/>
          <w:b w:val="0"/>
          <w:bCs w:val="0"/>
          <w:color w:val="auto"/>
          <w:sz w:val="28"/>
          <w:szCs w:val="28"/>
          <w:highlight w:val="none"/>
        </w:rPr>
        <w:fldChar w:fldCharType="separate"/>
      </w:r>
      <w:r>
        <w:rPr>
          <w:rFonts w:hint="eastAsia" w:ascii="宋体" w:hAnsi="宋体" w:eastAsia="宋体" w:cs="宋体"/>
          <w:b w:val="0"/>
          <w:bCs w:val="0"/>
          <w:color w:val="auto"/>
          <w:sz w:val="28"/>
          <w:szCs w:val="28"/>
          <w:highlight w:val="none"/>
        </w:rPr>
        <w:t>95</w:t>
      </w:r>
      <w:r>
        <w:rPr>
          <w:rFonts w:hint="eastAsia" w:ascii="宋体" w:hAnsi="宋体" w:eastAsia="宋体" w:cs="宋体"/>
          <w:b w:val="0"/>
          <w:bCs w:val="0"/>
          <w:color w:val="auto"/>
          <w:sz w:val="28"/>
          <w:szCs w:val="28"/>
          <w:highlight w:val="none"/>
        </w:rPr>
        <w:fldChar w:fldCharType="end"/>
      </w:r>
      <w:r>
        <w:rPr>
          <w:rFonts w:hint="eastAsia" w:ascii="宋体" w:hAnsi="宋体" w:eastAsia="宋体" w:cs="宋体"/>
          <w:b w:val="0"/>
          <w:bCs w:val="0"/>
          <w:caps w:val="0"/>
          <w:color w:val="auto"/>
          <w:sz w:val="28"/>
          <w:szCs w:val="28"/>
          <w:highlight w:val="none"/>
          <w:lang w:val="en-US" w:eastAsia="zh-CN"/>
        </w:rPr>
        <w:fldChar w:fldCharType="end"/>
      </w:r>
    </w:p>
    <w:p w14:paraId="2FFF46D2">
      <w:pPr>
        <w:pStyle w:val="32"/>
        <w:tabs>
          <w:tab w:val="right" w:leader="dot" w:pos="9072"/>
        </w:tabs>
        <w:rPr>
          <w:rFonts w:hint="eastAsia" w:ascii="宋体" w:hAnsi="宋体" w:eastAsia="宋体" w:cs="宋体"/>
          <w:b w:val="0"/>
          <w:bCs w:val="0"/>
          <w:color w:val="auto"/>
          <w:sz w:val="28"/>
          <w:szCs w:val="28"/>
          <w:highlight w:val="none"/>
        </w:rPr>
      </w:pPr>
      <w:r>
        <w:rPr>
          <w:rFonts w:hint="eastAsia" w:ascii="宋体" w:hAnsi="宋体" w:eastAsia="宋体" w:cs="宋体"/>
          <w:b w:val="0"/>
          <w:bCs w:val="0"/>
          <w:caps w:val="0"/>
          <w:color w:val="auto"/>
          <w:sz w:val="28"/>
          <w:szCs w:val="28"/>
          <w:highlight w:val="none"/>
          <w:lang w:val="en-US" w:eastAsia="zh-CN"/>
        </w:rPr>
        <w:fldChar w:fldCharType="begin"/>
      </w:r>
      <w:r>
        <w:rPr>
          <w:rFonts w:hint="eastAsia" w:ascii="宋体" w:hAnsi="宋体" w:eastAsia="宋体" w:cs="宋体"/>
          <w:b w:val="0"/>
          <w:bCs w:val="0"/>
          <w:caps w:val="0"/>
          <w:color w:val="auto"/>
          <w:sz w:val="28"/>
          <w:szCs w:val="28"/>
          <w:highlight w:val="none"/>
          <w:lang w:val="en-US" w:eastAsia="zh-CN"/>
        </w:rPr>
        <w:instrText xml:space="preserve"> HYPERLINK \l _Toc8955 </w:instrText>
      </w:r>
      <w:r>
        <w:rPr>
          <w:rFonts w:hint="eastAsia" w:ascii="宋体" w:hAnsi="宋体" w:eastAsia="宋体" w:cs="宋体"/>
          <w:b w:val="0"/>
          <w:bCs w:val="0"/>
          <w:caps w:val="0"/>
          <w:color w:val="auto"/>
          <w:sz w:val="28"/>
          <w:szCs w:val="28"/>
          <w:highlight w:val="none"/>
          <w:lang w:val="en-US" w:eastAsia="zh-CN"/>
        </w:rPr>
        <w:fldChar w:fldCharType="separate"/>
      </w:r>
      <w:r>
        <w:rPr>
          <w:rFonts w:hint="eastAsia" w:ascii="宋体" w:hAnsi="宋体" w:eastAsia="宋体" w:cs="宋体"/>
          <w:b w:val="0"/>
          <w:bCs w:val="0"/>
          <w:color w:val="auto"/>
          <w:sz w:val="28"/>
          <w:szCs w:val="28"/>
          <w:highlight w:val="none"/>
        </w:rPr>
        <w:t>第</w:t>
      </w:r>
      <w:r>
        <w:rPr>
          <w:rFonts w:hint="eastAsia" w:ascii="宋体" w:hAnsi="宋体" w:eastAsia="宋体" w:cs="宋体"/>
          <w:b w:val="0"/>
          <w:bCs w:val="0"/>
          <w:color w:val="auto"/>
          <w:sz w:val="28"/>
          <w:szCs w:val="28"/>
          <w:highlight w:val="none"/>
          <w:lang w:val="en-US" w:eastAsia="zh-CN"/>
        </w:rPr>
        <w:t>九</w:t>
      </w:r>
      <w:r>
        <w:rPr>
          <w:rFonts w:hint="eastAsia" w:ascii="宋体" w:hAnsi="宋体" w:eastAsia="宋体" w:cs="宋体"/>
          <w:b w:val="0"/>
          <w:bCs w:val="0"/>
          <w:color w:val="auto"/>
          <w:sz w:val="28"/>
          <w:szCs w:val="28"/>
          <w:highlight w:val="none"/>
        </w:rPr>
        <w:t>章  招标单位、招标代理机构对本招标文件的确认</w:t>
      </w:r>
      <w:r>
        <w:rPr>
          <w:rFonts w:hint="eastAsia" w:ascii="宋体" w:hAnsi="宋体" w:eastAsia="宋体" w:cs="宋体"/>
          <w:b w:val="0"/>
          <w:bCs w:val="0"/>
          <w:color w:val="auto"/>
          <w:sz w:val="28"/>
          <w:szCs w:val="28"/>
          <w:highlight w:val="none"/>
        </w:rPr>
        <w:tab/>
      </w:r>
      <w:r>
        <w:rPr>
          <w:rFonts w:hint="eastAsia" w:ascii="宋体" w:hAnsi="宋体" w:eastAsia="宋体" w:cs="宋体"/>
          <w:b w:val="0"/>
          <w:bCs w:val="0"/>
          <w:color w:val="auto"/>
          <w:sz w:val="28"/>
          <w:szCs w:val="28"/>
          <w:highlight w:val="none"/>
        </w:rPr>
        <w:fldChar w:fldCharType="begin"/>
      </w:r>
      <w:r>
        <w:rPr>
          <w:rFonts w:hint="eastAsia" w:ascii="宋体" w:hAnsi="宋体" w:eastAsia="宋体" w:cs="宋体"/>
          <w:b w:val="0"/>
          <w:bCs w:val="0"/>
          <w:color w:val="auto"/>
          <w:sz w:val="28"/>
          <w:szCs w:val="28"/>
          <w:highlight w:val="none"/>
        </w:rPr>
        <w:instrText xml:space="preserve"> PAGEREF _Toc8955 \h </w:instrText>
      </w:r>
      <w:r>
        <w:rPr>
          <w:rFonts w:hint="eastAsia" w:ascii="宋体" w:hAnsi="宋体" w:eastAsia="宋体" w:cs="宋体"/>
          <w:b w:val="0"/>
          <w:bCs w:val="0"/>
          <w:color w:val="auto"/>
          <w:sz w:val="28"/>
          <w:szCs w:val="28"/>
          <w:highlight w:val="none"/>
        </w:rPr>
        <w:fldChar w:fldCharType="separate"/>
      </w:r>
      <w:r>
        <w:rPr>
          <w:rFonts w:hint="eastAsia" w:ascii="宋体" w:hAnsi="宋体" w:eastAsia="宋体" w:cs="宋体"/>
          <w:b w:val="0"/>
          <w:bCs w:val="0"/>
          <w:color w:val="auto"/>
          <w:sz w:val="28"/>
          <w:szCs w:val="28"/>
          <w:highlight w:val="none"/>
        </w:rPr>
        <w:t>112</w:t>
      </w:r>
      <w:r>
        <w:rPr>
          <w:rFonts w:hint="eastAsia" w:ascii="宋体" w:hAnsi="宋体" w:eastAsia="宋体" w:cs="宋体"/>
          <w:b w:val="0"/>
          <w:bCs w:val="0"/>
          <w:color w:val="auto"/>
          <w:sz w:val="28"/>
          <w:szCs w:val="28"/>
          <w:highlight w:val="none"/>
        </w:rPr>
        <w:fldChar w:fldCharType="end"/>
      </w:r>
      <w:r>
        <w:rPr>
          <w:rFonts w:hint="eastAsia" w:ascii="宋体" w:hAnsi="宋体" w:eastAsia="宋体" w:cs="宋体"/>
          <w:b w:val="0"/>
          <w:bCs w:val="0"/>
          <w:caps w:val="0"/>
          <w:color w:val="auto"/>
          <w:sz w:val="28"/>
          <w:szCs w:val="28"/>
          <w:highlight w:val="none"/>
          <w:lang w:val="en-US" w:eastAsia="zh-CN"/>
        </w:rPr>
        <w:fldChar w:fldCharType="end"/>
      </w:r>
    </w:p>
    <w:p w14:paraId="5AC169EF">
      <w:pPr>
        <w:pStyle w:val="32"/>
        <w:tabs>
          <w:tab w:val="right" w:leader="dot" w:pos="9062"/>
        </w:tabs>
        <w:spacing w:line="700" w:lineRule="exact"/>
        <w:ind w:firstLine="560" w:firstLineChars="200"/>
        <w:rPr>
          <w:rFonts w:hint="default" w:ascii="宋体" w:hAnsi="宋体" w:eastAsia="宋体" w:cs="宋体"/>
          <w:b w:val="0"/>
          <w:bCs w:val="0"/>
          <w:caps w:val="0"/>
          <w:color w:val="auto"/>
          <w:sz w:val="24"/>
          <w:szCs w:val="24"/>
          <w:highlight w:val="none"/>
          <w:lang w:val="en-US" w:eastAsia="zh-CN"/>
        </w:rPr>
      </w:pPr>
      <w:r>
        <w:rPr>
          <w:rFonts w:hint="eastAsia" w:ascii="宋体" w:hAnsi="宋体" w:eastAsia="宋体" w:cs="宋体"/>
          <w:b w:val="0"/>
          <w:bCs w:val="0"/>
          <w:caps w:val="0"/>
          <w:color w:val="auto"/>
          <w:sz w:val="28"/>
          <w:szCs w:val="28"/>
          <w:highlight w:val="none"/>
          <w:lang w:val="en-US" w:eastAsia="zh-CN"/>
        </w:rPr>
        <w:fldChar w:fldCharType="end"/>
      </w:r>
    </w:p>
    <w:p w14:paraId="533303DF">
      <w:pPr>
        <w:pStyle w:val="2"/>
        <w:spacing w:line="700" w:lineRule="exact"/>
        <w:ind w:left="0" w:leftChars="0" w:firstLine="480"/>
        <w:jc w:val="left"/>
        <w:rPr>
          <w:color w:val="auto"/>
          <w:sz w:val="24"/>
          <w:szCs w:val="24"/>
          <w:highlight w:val="none"/>
        </w:rPr>
      </w:pPr>
    </w:p>
    <w:p w14:paraId="5BBF3450">
      <w:pPr>
        <w:pStyle w:val="43"/>
        <w:spacing w:line="700" w:lineRule="exact"/>
        <w:jc w:val="left"/>
        <w:rPr>
          <w:color w:val="auto"/>
          <w:sz w:val="24"/>
          <w:szCs w:val="24"/>
          <w:highlight w:val="none"/>
        </w:rPr>
        <w:sectPr>
          <w:footerReference r:id="rId5" w:type="default"/>
          <w:pgSz w:w="11906" w:h="16838"/>
          <w:pgMar w:top="1134" w:right="1417" w:bottom="1134" w:left="1417" w:header="851" w:footer="992" w:gutter="0"/>
          <w:pgNumType w:fmt="decimal" w:start="1"/>
          <w:cols w:space="720" w:num="1"/>
          <w:docGrid w:type="lines" w:linePitch="312" w:charSpace="0"/>
        </w:sectPr>
      </w:pPr>
    </w:p>
    <w:bookmarkEnd w:id="16"/>
    <w:bookmarkEnd w:id="17"/>
    <w:bookmarkEnd w:id="18"/>
    <w:bookmarkEnd w:id="19"/>
    <w:p w14:paraId="29A39082">
      <w:pPr>
        <w:pStyle w:val="43"/>
        <w:keepNext w:val="0"/>
        <w:keepLines w:val="0"/>
        <w:pageBreakBefore w:val="0"/>
        <w:widowControl w:val="0"/>
        <w:kinsoku/>
        <w:wordWrap/>
        <w:overflowPunct/>
        <w:topLinePunct w:val="0"/>
        <w:autoSpaceDE/>
        <w:autoSpaceDN/>
        <w:bidi w:val="0"/>
        <w:adjustRightInd w:val="0"/>
        <w:snapToGrid/>
        <w:spacing w:beforeLines="50" w:afterLines="50" w:line="400" w:lineRule="exact"/>
        <w:textAlignment w:val="baseline"/>
        <w:rPr>
          <w:bCs/>
          <w:color w:val="auto"/>
          <w:szCs w:val="32"/>
          <w:highlight w:val="none"/>
        </w:rPr>
      </w:pPr>
      <w:bookmarkStart w:id="20" w:name="_Toc78803320"/>
      <w:bookmarkStart w:id="21" w:name="_Toc7325"/>
      <w:bookmarkStart w:id="22" w:name="_Toc12261"/>
      <w:bookmarkStart w:id="23" w:name="_Toc21980"/>
      <w:bookmarkStart w:id="24" w:name="_Toc246996916"/>
      <w:bookmarkStart w:id="25" w:name="_Toc179632544"/>
      <w:bookmarkStart w:id="26" w:name="_Toc247085687"/>
      <w:bookmarkStart w:id="27" w:name="_Toc35424883"/>
      <w:bookmarkStart w:id="28" w:name="_Toc152042303"/>
      <w:bookmarkStart w:id="29" w:name="_Toc324404813"/>
      <w:bookmarkStart w:id="30" w:name="_Toc506107267"/>
      <w:bookmarkStart w:id="31" w:name="_Toc35425050"/>
      <w:bookmarkStart w:id="32" w:name="_Toc152045527"/>
      <w:bookmarkStart w:id="33" w:name="_Toc15058844"/>
      <w:bookmarkStart w:id="34" w:name="_Toc144974495"/>
      <w:bookmarkStart w:id="35" w:name="_Toc246996173"/>
      <w:r>
        <w:rPr>
          <w:rFonts w:hint="eastAsia"/>
          <w:bCs/>
          <w:color w:val="auto"/>
          <w:szCs w:val="32"/>
          <w:highlight w:val="none"/>
          <w:lang w:eastAsia="zh-CN"/>
        </w:rPr>
        <w:t>公共停车场光伏车棚项目</w:t>
      </w:r>
      <w:r>
        <w:rPr>
          <w:rFonts w:hint="eastAsia"/>
          <w:bCs/>
          <w:color w:val="auto"/>
          <w:szCs w:val="32"/>
          <w:highlight w:val="none"/>
        </w:rPr>
        <w:t>招标公告信息</w:t>
      </w:r>
      <w:bookmarkEnd w:id="20"/>
      <w:bookmarkEnd w:id="21"/>
      <w:bookmarkEnd w:id="22"/>
      <w:bookmarkEnd w:id="23"/>
    </w:p>
    <w:tbl>
      <w:tblPr>
        <w:tblStyle w:val="46"/>
        <w:tblW w:w="969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clear" w:color="auto" w:fill="auto"/>
        <w:tblLayout w:type="fixed"/>
        <w:tblCellMar>
          <w:top w:w="0" w:type="dxa"/>
          <w:left w:w="108" w:type="dxa"/>
          <w:bottom w:w="0" w:type="dxa"/>
          <w:right w:w="108" w:type="dxa"/>
        </w:tblCellMar>
      </w:tblPr>
      <w:tblGrid>
        <w:gridCol w:w="1494"/>
        <w:gridCol w:w="50"/>
        <w:gridCol w:w="2587"/>
        <w:gridCol w:w="508"/>
        <w:gridCol w:w="1955"/>
        <w:gridCol w:w="3102"/>
      </w:tblGrid>
      <w:tr w14:paraId="57BD221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clear" w:color="auto" w:fill="auto"/>
          <w:tblCellMar>
            <w:top w:w="0" w:type="dxa"/>
            <w:left w:w="108" w:type="dxa"/>
            <w:bottom w:w="0" w:type="dxa"/>
            <w:right w:w="108" w:type="dxa"/>
          </w:tblCellMar>
        </w:tblPrEx>
        <w:trPr>
          <w:trHeight w:val="717" w:hRule="atLeast"/>
          <w:jc w:val="center"/>
        </w:trPr>
        <w:tc>
          <w:tcPr>
            <w:tcW w:w="1544" w:type="dxa"/>
            <w:gridSpan w:val="2"/>
            <w:tcBorders>
              <w:top w:val="single" w:color="auto" w:sz="12" w:space="0"/>
              <w:left w:val="single" w:color="auto" w:sz="12" w:space="0"/>
              <w:bottom w:val="single" w:color="auto" w:sz="12" w:space="0"/>
              <w:right w:val="single" w:color="auto" w:sz="12" w:space="0"/>
            </w:tcBorders>
            <w:shd w:val="clear" w:color="auto" w:fill="auto"/>
            <w:vAlign w:val="center"/>
          </w:tcPr>
          <w:p w14:paraId="32049825">
            <w:pPr>
              <w:keepNext w:val="0"/>
              <w:keepLines w:val="0"/>
              <w:widowControl w:val="0"/>
              <w:suppressLineNumbers w:val="0"/>
              <w:autoSpaceDE w:val="0"/>
              <w:autoSpaceDN/>
              <w:spacing w:before="0" w:beforeAutospacing="0" w:after="0" w:afterAutospacing="0" w:line="300" w:lineRule="exact"/>
              <w:ind w:left="0" w:right="0"/>
              <w:jc w:val="both"/>
              <w:rPr>
                <w:rFonts w:hint="eastAsia" w:ascii="宋体" w:hAnsi="宋体" w:eastAsia="宋体" w:cs="宋体"/>
                <w:bCs/>
                <w:color w:val="auto"/>
                <w:kern w:val="1"/>
                <w:sz w:val="21"/>
                <w:szCs w:val="21"/>
                <w:highlight w:val="none"/>
              </w:rPr>
            </w:pPr>
            <w:bookmarkStart w:id="36" w:name="_Toc78803321"/>
            <w:r>
              <w:rPr>
                <w:rFonts w:hint="eastAsia" w:ascii="宋体" w:hAnsi="宋体" w:eastAsia="宋体" w:cs="宋体"/>
                <w:bCs/>
                <w:color w:val="auto"/>
                <w:kern w:val="1"/>
                <w:sz w:val="21"/>
                <w:szCs w:val="21"/>
                <w:highlight w:val="none"/>
                <w:lang w:val="en-US" w:eastAsia="zh-CN" w:bidi="ar"/>
              </w:rPr>
              <w:t>招标项目名称</w:t>
            </w:r>
          </w:p>
        </w:tc>
        <w:tc>
          <w:tcPr>
            <w:tcW w:w="8152" w:type="dxa"/>
            <w:gridSpan w:val="4"/>
            <w:tcBorders>
              <w:top w:val="single" w:color="auto" w:sz="12" w:space="0"/>
              <w:left w:val="single" w:color="auto" w:sz="12" w:space="0"/>
              <w:bottom w:val="single" w:color="auto" w:sz="12" w:space="0"/>
              <w:right w:val="single" w:color="auto" w:sz="12" w:space="0"/>
            </w:tcBorders>
            <w:shd w:val="clear" w:color="auto" w:fill="auto"/>
            <w:vAlign w:val="center"/>
          </w:tcPr>
          <w:p w14:paraId="4806FA84">
            <w:pPr>
              <w:keepNext w:val="0"/>
              <w:keepLines w:val="0"/>
              <w:widowControl w:val="0"/>
              <w:suppressLineNumbers w:val="0"/>
              <w:autoSpaceDE w:val="0"/>
              <w:autoSpaceDN/>
              <w:spacing w:before="0" w:beforeAutospacing="0" w:after="0" w:afterAutospacing="0" w:line="300" w:lineRule="exact"/>
              <w:ind w:left="0" w:right="0"/>
              <w:jc w:val="both"/>
              <w:rPr>
                <w:rFonts w:hint="eastAsia" w:ascii="宋体" w:hAnsi="宋体" w:eastAsia="宋体" w:cs="宋体"/>
                <w:bCs/>
                <w:color w:val="auto"/>
                <w:kern w:val="1"/>
                <w:sz w:val="21"/>
                <w:szCs w:val="21"/>
                <w:highlight w:val="none"/>
                <w:lang w:eastAsia="zh-CN"/>
              </w:rPr>
            </w:pPr>
            <w:r>
              <w:rPr>
                <w:rFonts w:hint="eastAsia" w:ascii="宋体" w:hAnsi="宋体" w:cs="宋体"/>
                <w:bCs/>
                <w:color w:val="auto"/>
                <w:kern w:val="1"/>
                <w:sz w:val="21"/>
                <w:szCs w:val="21"/>
                <w:highlight w:val="none"/>
                <w:lang w:eastAsia="zh-CN"/>
              </w:rPr>
              <w:t>公共停车场光伏车棚项目</w:t>
            </w:r>
          </w:p>
        </w:tc>
      </w:tr>
      <w:tr w14:paraId="73C843C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clear" w:color="auto" w:fill="auto"/>
          <w:tblCellMar>
            <w:top w:w="0" w:type="dxa"/>
            <w:left w:w="108" w:type="dxa"/>
            <w:bottom w:w="0" w:type="dxa"/>
            <w:right w:w="108" w:type="dxa"/>
          </w:tblCellMar>
        </w:tblPrEx>
        <w:trPr>
          <w:trHeight w:val="717" w:hRule="atLeast"/>
          <w:jc w:val="center"/>
        </w:trPr>
        <w:tc>
          <w:tcPr>
            <w:tcW w:w="1544" w:type="dxa"/>
            <w:gridSpan w:val="2"/>
            <w:tcBorders>
              <w:top w:val="single" w:color="auto" w:sz="12" w:space="0"/>
              <w:left w:val="single" w:color="auto" w:sz="12" w:space="0"/>
              <w:bottom w:val="single" w:color="auto" w:sz="12" w:space="0"/>
              <w:right w:val="single" w:color="auto" w:sz="12" w:space="0"/>
            </w:tcBorders>
            <w:shd w:val="clear" w:color="auto" w:fill="auto"/>
            <w:vAlign w:val="center"/>
          </w:tcPr>
          <w:p w14:paraId="0EB88667">
            <w:pPr>
              <w:keepNext w:val="0"/>
              <w:keepLines w:val="0"/>
              <w:widowControl w:val="0"/>
              <w:suppressLineNumbers w:val="0"/>
              <w:autoSpaceDE w:val="0"/>
              <w:autoSpaceDN/>
              <w:spacing w:before="0" w:beforeAutospacing="0" w:after="0" w:afterAutospacing="0" w:line="300" w:lineRule="exact"/>
              <w:ind w:left="0" w:right="0"/>
              <w:jc w:val="both"/>
              <w:rPr>
                <w:rFonts w:hint="default" w:ascii="宋体" w:hAnsi="宋体" w:eastAsia="宋体" w:cs="宋体"/>
                <w:bCs/>
                <w:color w:val="auto"/>
                <w:kern w:val="1"/>
                <w:sz w:val="21"/>
                <w:szCs w:val="21"/>
                <w:highlight w:val="none"/>
                <w:lang w:val="en-US" w:eastAsia="zh-CN" w:bidi="ar"/>
              </w:rPr>
            </w:pPr>
            <w:r>
              <w:rPr>
                <w:rFonts w:hint="eastAsia" w:ascii="宋体" w:hAnsi="宋体" w:cs="宋体"/>
                <w:bCs/>
                <w:color w:val="auto"/>
                <w:kern w:val="1"/>
                <w:sz w:val="21"/>
                <w:szCs w:val="21"/>
                <w:highlight w:val="none"/>
                <w:lang w:val="en-US" w:eastAsia="zh-CN" w:bidi="ar"/>
              </w:rPr>
              <w:t>项目编号</w:t>
            </w:r>
          </w:p>
        </w:tc>
        <w:tc>
          <w:tcPr>
            <w:tcW w:w="8152" w:type="dxa"/>
            <w:gridSpan w:val="4"/>
            <w:tcBorders>
              <w:top w:val="single" w:color="auto" w:sz="12" w:space="0"/>
              <w:left w:val="single" w:color="auto" w:sz="12" w:space="0"/>
              <w:bottom w:val="single" w:color="auto" w:sz="12" w:space="0"/>
              <w:right w:val="single" w:color="auto" w:sz="12" w:space="0"/>
            </w:tcBorders>
            <w:shd w:val="clear" w:color="auto" w:fill="auto"/>
            <w:vAlign w:val="center"/>
          </w:tcPr>
          <w:p w14:paraId="0C704516">
            <w:pPr>
              <w:keepNext w:val="0"/>
              <w:keepLines w:val="0"/>
              <w:widowControl w:val="0"/>
              <w:suppressLineNumbers w:val="0"/>
              <w:autoSpaceDE w:val="0"/>
              <w:autoSpaceDN/>
              <w:spacing w:before="0" w:beforeAutospacing="0" w:after="0" w:afterAutospacing="0" w:line="300" w:lineRule="exact"/>
              <w:ind w:left="0" w:right="0"/>
              <w:jc w:val="both"/>
              <w:rPr>
                <w:rFonts w:hint="default" w:ascii="宋体" w:hAnsi="宋体" w:eastAsia="宋体" w:cs="宋体"/>
                <w:bCs/>
                <w:color w:val="auto"/>
                <w:kern w:val="1"/>
                <w:sz w:val="21"/>
                <w:szCs w:val="21"/>
                <w:highlight w:val="none"/>
                <w:lang w:val="en-US" w:eastAsia="zh-CN"/>
              </w:rPr>
            </w:pPr>
            <w:r>
              <w:rPr>
                <w:rFonts w:hint="eastAsia" w:ascii="宋体" w:hAnsi="宋体" w:eastAsia="宋体" w:cs="宋体"/>
                <w:bCs/>
                <w:color w:val="auto"/>
                <w:kern w:val="1"/>
                <w:sz w:val="21"/>
                <w:szCs w:val="21"/>
                <w:highlight w:val="none"/>
              </w:rPr>
              <w:t>HXJY1110001033406</w:t>
            </w:r>
            <w:r>
              <w:rPr>
                <w:rFonts w:hint="eastAsia" w:ascii="宋体" w:hAnsi="宋体" w:cs="宋体"/>
                <w:bCs/>
                <w:color w:val="auto"/>
                <w:kern w:val="1"/>
                <w:sz w:val="21"/>
                <w:szCs w:val="21"/>
                <w:highlight w:val="none"/>
                <w:lang w:val="en-US" w:eastAsia="zh-CN"/>
              </w:rPr>
              <w:t>001001</w:t>
            </w:r>
          </w:p>
        </w:tc>
      </w:tr>
      <w:tr w14:paraId="691B024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clear" w:color="auto" w:fill="auto"/>
          <w:tblCellMar>
            <w:top w:w="0" w:type="dxa"/>
            <w:left w:w="108" w:type="dxa"/>
            <w:bottom w:w="0" w:type="dxa"/>
            <w:right w:w="108" w:type="dxa"/>
          </w:tblCellMar>
        </w:tblPrEx>
        <w:trPr>
          <w:trHeight w:val="717" w:hRule="atLeast"/>
          <w:jc w:val="center"/>
        </w:trPr>
        <w:tc>
          <w:tcPr>
            <w:tcW w:w="1544" w:type="dxa"/>
            <w:gridSpan w:val="2"/>
            <w:tcBorders>
              <w:top w:val="single" w:color="auto" w:sz="12" w:space="0"/>
              <w:left w:val="single" w:color="auto" w:sz="12" w:space="0"/>
              <w:bottom w:val="single" w:color="auto" w:sz="12" w:space="0"/>
              <w:right w:val="single" w:color="auto" w:sz="12" w:space="0"/>
            </w:tcBorders>
            <w:shd w:val="clear" w:color="auto" w:fill="auto"/>
            <w:vAlign w:val="center"/>
          </w:tcPr>
          <w:p w14:paraId="7CAE0D63">
            <w:pPr>
              <w:keepNext w:val="0"/>
              <w:keepLines w:val="0"/>
              <w:widowControl/>
              <w:suppressLineNumbers w:val="0"/>
              <w:autoSpaceDE w:val="0"/>
              <w:autoSpaceDN/>
              <w:spacing w:before="0" w:beforeAutospacing="0" w:after="0" w:afterAutospacing="0" w:line="300" w:lineRule="exact"/>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招标方式</w:t>
            </w:r>
          </w:p>
        </w:tc>
        <w:tc>
          <w:tcPr>
            <w:tcW w:w="8152" w:type="dxa"/>
            <w:gridSpan w:val="4"/>
            <w:tcBorders>
              <w:top w:val="single" w:color="auto" w:sz="12" w:space="0"/>
              <w:left w:val="single" w:color="auto" w:sz="12" w:space="0"/>
              <w:bottom w:val="single" w:color="auto" w:sz="12" w:space="0"/>
              <w:right w:val="single" w:color="auto" w:sz="12" w:space="0"/>
            </w:tcBorders>
            <w:shd w:val="clear" w:color="auto" w:fill="auto"/>
            <w:vAlign w:val="center"/>
          </w:tcPr>
          <w:p w14:paraId="5A7735F2">
            <w:pPr>
              <w:keepNext w:val="0"/>
              <w:keepLines w:val="0"/>
              <w:widowControl/>
              <w:suppressLineNumbers w:val="0"/>
              <w:autoSpaceDE w:val="0"/>
              <w:autoSpaceDN/>
              <w:spacing w:before="0" w:beforeAutospacing="0" w:after="0" w:afterAutospacing="0" w:line="300" w:lineRule="exact"/>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公开招标</w:t>
            </w:r>
          </w:p>
        </w:tc>
      </w:tr>
      <w:tr w14:paraId="622235B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clear" w:color="auto" w:fill="auto"/>
          <w:tblCellMar>
            <w:top w:w="0" w:type="dxa"/>
            <w:left w:w="108" w:type="dxa"/>
            <w:bottom w:w="0" w:type="dxa"/>
            <w:right w:w="108" w:type="dxa"/>
          </w:tblCellMar>
        </w:tblPrEx>
        <w:trPr>
          <w:trHeight w:val="7808" w:hRule="atLeast"/>
          <w:jc w:val="center"/>
        </w:trPr>
        <w:tc>
          <w:tcPr>
            <w:tcW w:w="1544" w:type="dxa"/>
            <w:gridSpan w:val="2"/>
            <w:tcBorders>
              <w:top w:val="single" w:color="auto" w:sz="12" w:space="0"/>
              <w:left w:val="single" w:color="auto" w:sz="12" w:space="0"/>
              <w:bottom w:val="single" w:color="auto" w:sz="12" w:space="0"/>
              <w:right w:val="single" w:color="auto" w:sz="12" w:space="0"/>
            </w:tcBorders>
            <w:shd w:val="clear" w:color="auto" w:fill="auto"/>
            <w:vAlign w:val="center"/>
          </w:tcPr>
          <w:p w14:paraId="30FFE7DD">
            <w:pPr>
              <w:keepNext w:val="0"/>
              <w:keepLines w:val="0"/>
              <w:widowControl/>
              <w:suppressLineNumbers w:val="0"/>
              <w:autoSpaceDE w:val="0"/>
              <w:autoSpaceDN/>
              <w:spacing w:before="0" w:beforeAutospacing="0" w:after="0" w:afterAutospacing="0" w:line="300" w:lineRule="exact"/>
              <w:ind w:left="0" w:leftChars="0" w:right="0" w:right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投标资质要求</w:t>
            </w:r>
          </w:p>
        </w:tc>
        <w:tc>
          <w:tcPr>
            <w:tcW w:w="8152" w:type="dxa"/>
            <w:gridSpan w:val="4"/>
            <w:tcBorders>
              <w:top w:val="single" w:color="auto" w:sz="12" w:space="0"/>
              <w:left w:val="single" w:color="auto" w:sz="12" w:space="0"/>
              <w:bottom w:val="single" w:color="auto" w:sz="12" w:space="0"/>
              <w:right w:val="single" w:color="auto" w:sz="12" w:space="0"/>
            </w:tcBorders>
            <w:shd w:val="clear" w:color="auto" w:fill="auto"/>
            <w:vAlign w:val="center"/>
          </w:tcPr>
          <w:p w14:paraId="55ACBDD2">
            <w:pPr>
              <w:keepNext w:val="0"/>
              <w:keepLines w:val="0"/>
              <w:widowControl/>
              <w:numPr>
                <w:ilvl w:val="0"/>
                <w:numId w:val="1"/>
              </w:numPr>
              <w:suppressLineNumbers w:val="0"/>
              <w:autoSpaceDE w:val="0"/>
              <w:autoSpaceDN/>
              <w:spacing w:before="0" w:beforeAutospacing="0" w:after="0" w:afterAutospacing="0" w:line="440" w:lineRule="exact"/>
              <w:ind w:left="0" w:right="0"/>
              <w:jc w:val="left"/>
              <w:rPr>
                <w:rFonts w:hint="eastAsia" w:ascii="宋体" w:hAnsi="宋体" w:eastAsia="宋体" w:cs="宋体"/>
                <w:bCs/>
                <w:color w:val="auto"/>
                <w:kern w:val="0"/>
                <w:sz w:val="21"/>
                <w:szCs w:val="21"/>
                <w:highlight w:val="none"/>
                <w:lang w:val="en-US" w:eastAsia="zh-CN" w:bidi="ar"/>
              </w:rPr>
            </w:pPr>
            <w:r>
              <w:rPr>
                <w:rFonts w:hint="eastAsia" w:ascii="宋体" w:hAnsi="宋体" w:eastAsia="宋体" w:cs="宋体"/>
                <w:bCs/>
                <w:color w:val="auto"/>
                <w:kern w:val="0"/>
                <w:sz w:val="21"/>
                <w:szCs w:val="21"/>
                <w:highlight w:val="none"/>
                <w:lang w:val="en-US" w:eastAsia="zh-CN" w:bidi="ar"/>
              </w:rPr>
              <w:t>投标人要求：</w:t>
            </w:r>
          </w:p>
          <w:p w14:paraId="0B13CFD3">
            <w:pPr>
              <w:keepNext w:val="0"/>
              <w:keepLines w:val="0"/>
              <w:widowControl/>
              <w:suppressLineNumbers w:val="0"/>
              <w:spacing w:before="0" w:beforeAutospacing="0" w:after="0" w:afterAutospacing="0" w:line="560" w:lineRule="exact"/>
              <w:ind w:left="0" w:right="0"/>
              <w:jc w:val="left"/>
              <w:rPr>
                <w:rFonts w:hint="default"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lang w:val="en-US" w:eastAsia="zh-CN"/>
              </w:rPr>
              <w:t>（</w:t>
            </w:r>
            <w:r>
              <w:rPr>
                <w:rFonts w:hint="default" w:ascii="Times New Roman" w:hAnsi="Times New Roman" w:eastAsia="宋体" w:cs="Times New Roman"/>
                <w:color w:val="auto"/>
                <w:szCs w:val="21"/>
                <w:highlight w:val="none"/>
                <w:lang w:val="en-US" w:eastAsia="zh-CN"/>
              </w:rPr>
              <w:t>1</w:t>
            </w:r>
            <w:r>
              <w:rPr>
                <w:rFonts w:hint="eastAsia" w:ascii="Times New Roman" w:hAnsi="Times New Roman" w:eastAsia="宋体" w:cs="Times New Roman"/>
                <w:color w:val="auto"/>
                <w:szCs w:val="21"/>
                <w:highlight w:val="none"/>
                <w:lang w:val="en-US" w:eastAsia="zh-CN"/>
              </w:rPr>
              <w:t>）设计资质</w:t>
            </w:r>
            <w:r>
              <w:rPr>
                <w:rFonts w:hint="default" w:ascii="Times New Roman" w:hAnsi="Times New Roman" w:eastAsia="宋体" w:cs="Times New Roman"/>
                <w:color w:val="auto"/>
                <w:szCs w:val="21"/>
                <w:highlight w:val="none"/>
                <w:lang w:val="en-US" w:eastAsia="zh-CN"/>
              </w:rPr>
              <w:t>(</w:t>
            </w:r>
            <w:r>
              <w:rPr>
                <w:rFonts w:hint="eastAsia" w:ascii="Times New Roman" w:hAnsi="Times New Roman" w:eastAsia="宋体" w:cs="Times New Roman"/>
                <w:color w:val="auto"/>
                <w:szCs w:val="21"/>
                <w:highlight w:val="none"/>
                <w:lang w:val="en-US" w:eastAsia="zh-CN"/>
              </w:rPr>
              <w:t>①、②具备其一</w:t>
            </w:r>
            <w:r>
              <w:rPr>
                <w:rFonts w:hint="default" w:ascii="Times New Roman" w:hAnsi="Times New Roman" w:eastAsia="宋体" w:cs="Times New Roman"/>
                <w:color w:val="auto"/>
                <w:szCs w:val="21"/>
                <w:highlight w:val="none"/>
                <w:lang w:val="en-US" w:eastAsia="zh-CN"/>
              </w:rPr>
              <w:t>)</w:t>
            </w:r>
            <w:r>
              <w:rPr>
                <w:rFonts w:hint="eastAsia" w:ascii="Times New Roman" w:hAnsi="Times New Roman" w:eastAsia="宋体" w:cs="Times New Roman"/>
                <w:color w:val="auto"/>
                <w:szCs w:val="21"/>
                <w:highlight w:val="none"/>
                <w:lang w:val="en-US" w:eastAsia="zh-CN"/>
              </w:rPr>
              <w:t xml:space="preserve">： </w:t>
            </w:r>
          </w:p>
          <w:p w14:paraId="67AEAE20">
            <w:pPr>
              <w:keepNext w:val="0"/>
              <w:keepLines w:val="0"/>
              <w:widowControl/>
              <w:suppressLineNumbers w:val="0"/>
              <w:spacing w:before="0" w:beforeAutospacing="0" w:after="0" w:afterAutospacing="0" w:line="560" w:lineRule="exact"/>
              <w:ind w:left="0" w:right="0"/>
              <w:jc w:val="left"/>
              <w:rPr>
                <w:rFonts w:hint="default"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lang w:val="en-US" w:eastAsia="zh-CN"/>
              </w:rPr>
              <w:t xml:space="preserve">①工程设计综合甲级资质； </w:t>
            </w:r>
          </w:p>
          <w:p w14:paraId="5C94A093">
            <w:pPr>
              <w:keepNext w:val="0"/>
              <w:keepLines w:val="0"/>
              <w:widowControl/>
              <w:suppressLineNumbers w:val="0"/>
              <w:spacing w:before="0" w:beforeAutospacing="0" w:after="0" w:afterAutospacing="0" w:line="560" w:lineRule="exact"/>
              <w:ind w:left="0" w:right="0"/>
              <w:jc w:val="left"/>
              <w:rPr>
                <w:rFonts w:hint="default"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②同时具备电力行业（送电工程或变电工程）专业丙级及以上资质</w:t>
            </w:r>
            <w:r>
              <w:rPr>
                <w:rFonts w:hint="eastAsia" w:cs="Times New Roman"/>
                <w:color w:val="auto"/>
                <w:szCs w:val="21"/>
                <w:highlight w:val="none"/>
                <w:lang w:val="en-US" w:eastAsia="zh-CN"/>
              </w:rPr>
              <w:t>、</w:t>
            </w:r>
            <w:r>
              <w:rPr>
                <w:rFonts w:hint="eastAsia" w:ascii="Times New Roman" w:hAnsi="Times New Roman" w:eastAsia="宋体" w:cs="Times New Roman"/>
                <w:bCs w:val="0"/>
                <w:color w:val="auto"/>
                <w:szCs w:val="21"/>
                <w:highlight w:val="none"/>
                <w:u w:val="none"/>
                <w:lang w:val="en-US" w:eastAsia="zh-CN"/>
              </w:rPr>
              <w:t>电力行业（新能源发电）</w:t>
            </w:r>
            <w:r>
              <w:rPr>
                <w:rFonts w:hint="eastAsia" w:ascii="Times New Roman" w:hAnsi="Times New Roman" w:eastAsia="宋体" w:cs="Times New Roman"/>
                <w:color w:val="auto"/>
                <w:szCs w:val="21"/>
                <w:highlight w:val="none"/>
                <w:lang w:val="en-US" w:eastAsia="zh-CN"/>
              </w:rPr>
              <w:t>专业</w:t>
            </w:r>
            <w:r>
              <w:rPr>
                <w:rFonts w:hint="eastAsia" w:ascii="Times New Roman" w:hAnsi="Times New Roman" w:eastAsia="宋体" w:cs="Times New Roman"/>
                <w:bCs w:val="0"/>
                <w:color w:val="auto"/>
                <w:szCs w:val="21"/>
                <w:highlight w:val="none"/>
                <w:u w:val="none"/>
                <w:lang w:val="en-US" w:eastAsia="zh-CN"/>
              </w:rPr>
              <w:t>资质</w:t>
            </w:r>
            <w:r>
              <w:rPr>
                <w:rFonts w:hint="eastAsia" w:cs="Times New Roman"/>
                <w:bCs w:val="0"/>
                <w:color w:val="auto"/>
                <w:szCs w:val="21"/>
                <w:highlight w:val="none"/>
                <w:u w:val="none"/>
                <w:lang w:val="en-US" w:eastAsia="zh-CN"/>
              </w:rPr>
              <w:t>和</w:t>
            </w:r>
            <w:r>
              <w:rPr>
                <w:rFonts w:hint="eastAsia" w:ascii="Times New Roman" w:hAnsi="Times New Roman" w:eastAsia="宋体" w:cs="Times New Roman"/>
                <w:color w:val="auto"/>
                <w:szCs w:val="21"/>
                <w:highlight w:val="none"/>
                <w:lang w:val="en-US" w:eastAsia="zh-CN"/>
              </w:rPr>
              <w:t>建筑行业建筑工程设计丙级及以上资质</w:t>
            </w:r>
            <w:r>
              <w:rPr>
                <w:rFonts w:hint="eastAsia" w:ascii="Times New Roman" w:hAnsi="Times New Roman" w:eastAsia="宋体" w:cs="Times New Roman"/>
                <w:bCs w:val="0"/>
                <w:color w:val="auto"/>
                <w:szCs w:val="21"/>
                <w:highlight w:val="none"/>
                <w:u w:val="none"/>
                <w:lang w:val="en-US" w:eastAsia="zh-CN"/>
              </w:rPr>
              <w:t>。</w:t>
            </w:r>
          </w:p>
          <w:p w14:paraId="1D3C8124">
            <w:pPr>
              <w:keepNext w:val="0"/>
              <w:keepLines w:val="0"/>
              <w:widowControl/>
              <w:suppressLineNumbers w:val="0"/>
              <w:spacing w:before="0" w:beforeAutospacing="0" w:after="0" w:afterAutospacing="0" w:line="560" w:lineRule="exact"/>
              <w:ind w:left="0" w:right="0"/>
              <w:jc w:val="left"/>
              <w:rPr>
                <w:rFonts w:hint="eastAsia"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lang w:val="en-US" w:eastAsia="zh-CN"/>
              </w:rPr>
              <w:t xml:space="preserve">（2）施工资质(同时具备①、②条件)： </w:t>
            </w:r>
          </w:p>
          <w:p w14:paraId="49A18AC8">
            <w:pPr>
              <w:keepNext w:val="0"/>
              <w:keepLines w:val="0"/>
              <w:widowControl/>
              <w:suppressLineNumbers w:val="0"/>
              <w:spacing w:before="0" w:beforeAutospacing="0" w:after="0" w:afterAutospacing="0" w:line="560" w:lineRule="exact"/>
              <w:ind w:left="0" w:right="0"/>
              <w:jc w:val="left"/>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①</w:t>
            </w:r>
            <w:r>
              <w:rPr>
                <w:rFonts w:hint="eastAsia"/>
                <w:color w:val="auto"/>
                <w:szCs w:val="21"/>
                <w:highlight w:val="none"/>
                <w:lang w:val="en-US" w:eastAsia="zh-CN"/>
              </w:rPr>
              <w:t>同时</w:t>
            </w:r>
            <w:r>
              <w:rPr>
                <w:rFonts w:hint="eastAsia"/>
                <w:color w:val="auto"/>
                <w:szCs w:val="21"/>
                <w:highlight w:val="none"/>
              </w:rPr>
              <w:t>具备电力工程施工总承包叁级（或以上）资质</w:t>
            </w:r>
            <w:r>
              <w:rPr>
                <w:rFonts w:hint="eastAsia"/>
                <w:color w:val="auto"/>
                <w:szCs w:val="21"/>
                <w:highlight w:val="none"/>
                <w:lang w:eastAsia="zh-CN"/>
              </w:rPr>
              <w:t>、</w:t>
            </w:r>
            <w:r>
              <w:rPr>
                <w:rFonts w:hint="eastAsia"/>
                <w:color w:val="auto"/>
                <w:szCs w:val="21"/>
                <w:highlight w:val="none"/>
              </w:rPr>
              <w:t>行业主管部门颁发的承装、承修、承试五级（或以上）电力设施许可证</w:t>
            </w:r>
            <w:r>
              <w:rPr>
                <w:rFonts w:hint="eastAsia"/>
                <w:color w:val="auto"/>
                <w:szCs w:val="21"/>
                <w:highlight w:val="none"/>
                <w:lang w:val="en-US" w:eastAsia="zh-CN"/>
              </w:rPr>
              <w:t>和</w:t>
            </w:r>
            <w:r>
              <w:rPr>
                <w:rFonts w:hint="eastAsia" w:ascii="Times New Roman" w:hAnsi="Times New Roman" w:eastAsia="宋体" w:cs="Times New Roman"/>
                <w:color w:val="auto"/>
                <w:szCs w:val="21"/>
                <w:highlight w:val="none"/>
                <w:lang w:val="en-US" w:eastAsia="zh-CN"/>
              </w:rPr>
              <w:t xml:space="preserve">钢结构专业承包三级及以上资质； </w:t>
            </w:r>
          </w:p>
          <w:p w14:paraId="2B9E75F2">
            <w:pPr>
              <w:keepNext w:val="0"/>
              <w:keepLines w:val="0"/>
              <w:widowControl/>
              <w:numPr>
                <w:ilvl w:val="0"/>
                <w:numId w:val="0"/>
              </w:numPr>
              <w:suppressLineNumbers w:val="0"/>
              <w:autoSpaceDE w:val="0"/>
              <w:autoSpaceDN/>
              <w:spacing w:before="0" w:beforeAutospacing="0" w:after="0" w:afterAutospacing="0" w:line="440" w:lineRule="exact"/>
              <w:ind w:left="0" w:right="0" w:rightChars="0"/>
              <w:jc w:val="left"/>
              <w:rPr>
                <w:rFonts w:hint="eastAsia" w:ascii="Times New Roman" w:hAnsi="Times New Roman" w:eastAsia="宋体" w:cs="Times New Roman"/>
                <w:color w:val="auto"/>
                <w:szCs w:val="21"/>
                <w:highlight w:val="none"/>
                <w:lang w:val="en-US" w:eastAsia="zh-CN"/>
              </w:rPr>
            </w:pPr>
            <w:r>
              <w:rPr>
                <w:rFonts w:hint="eastAsia" w:ascii="Times New Roman" w:hAnsi="Times New Roman" w:eastAsia="宋体" w:cs="Times New Roman"/>
                <w:color w:val="auto"/>
                <w:szCs w:val="21"/>
                <w:highlight w:val="none"/>
                <w:lang w:val="en-US" w:eastAsia="zh-CN"/>
              </w:rPr>
              <w:t>②具备有效的安全生产许可证；</w:t>
            </w:r>
          </w:p>
          <w:p w14:paraId="16D83976">
            <w:pPr>
              <w:keepNext w:val="0"/>
              <w:keepLines w:val="0"/>
              <w:widowControl/>
              <w:numPr>
                <w:ilvl w:val="0"/>
                <w:numId w:val="1"/>
              </w:numPr>
              <w:suppressLineNumbers w:val="0"/>
              <w:autoSpaceDE w:val="0"/>
              <w:autoSpaceDN/>
              <w:spacing w:before="0" w:beforeAutospacing="0" w:after="0" w:afterAutospacing="0" w:line="440" w:lineRule="exact"/>
              <w:ind w:left="0" w:leftChars="0" w:right="0" w:firstLine="0" w:firstLineChars="0"/>
              <w:jc w:val="left"/>
              <w:rPr>
                <w:rFonts w:hint="eastAsia" w:ascii="宋体" w:hAnsi="宋体" w:eastAsia="宋体" w:cs="宋体"/>
                <w:bCs/>
                <w:color w:val="auto"/>
                <w:kern w:val="0"/>
                <w:sz w:val="21"/>
                <w:szCs w:val="21"/>
                <w:highlight w:val="none"/>
                <w:lang w:val="en-US" w:eastAsia="zh-CN" w:bidi="ar"/>
              </w:rPr>
            </w:pPr>
            <w:r>
              <w:rPr>
                <w:rFonts w:hint="eastAsia" w:ascii="宋体" w:hAnsi="宋体" w:eastAsia="宋体" w:cs="宋体"/>
                <w:bCs/>
                <w:color w:val="auto"/>
                <w:kern w:val="0"/>
                <w:sz w:val="21"/>
                <w:szCs w:val="21"/>
                <w:highlight w:val="none"/>
                <w:lang w:val="en-US" w:eastAsia="zh-CN" w:bidi="ar"/>
              </w:rPr>
              <w:t>项目</w:t>
            </w:r>
            <w:r>
              <w:rPr>
                <w:rFonts w:hint="eastAsia" w:ascii="宋体" w:hAnsi="宋体" w:cs="宋体"/>
                <w:bCs/>
                <w:color w:val="auto"/>
                <w:kern w:val="0"/>
                <w:sz w:val="21"/>
                <w:szCs w:val="21"/>
                <w:highlight w:val="none"/>
                <w:lang w:val="en-US" w:eastAsia="zh-CN" w:bidi="ar"/>
              </w:rPr>
              <w:t>负责人</w:t>
            </w:r>
            <w:r>
              <w:rPr>
                <w:rFonts w:hint="eastAsia" w:ascii="宋体" w:hAnsi="宋体" w:eastAsia="宋体" w:cs="宋体"/>
                <w:bCs/>
                <w:color w:val="auto"/>
                <w:kern w:val="0"/>
                <w:sz w:val="21"/>
                <w:szCs w:val="21"/>
                <w:highlight w:val="none"/>
                <w:lang w:val="en-US" w:eastAsia="zh-CN" w:bidi="ar"/>
              </w:rPr>
              <w:t>要求：</w:t>
            </w:r>
          </w:p>
          <w:p w14:paraId="79480B2C">
            <w:pPr>
              <w:keepNext w:val="0"/>
              <w:keepLines w:val="0"/>
              <w:widowControl/>
              <w:suppressLineNumbers w:val="0"/>
              <w:spacing w:before="0" w:beforeAutospacing="0" w:after="0" w:afterAutospacing="0" w:line="560" w:lineRule="exact"/>
              <w:ind w:left="0" w:right="0"/>
              <w:jc w:val="left"/>
              <w:rPr>
                <w:rFonts w:hint="default" w:ascii="Times New Roman" w:hAnsi="Times New Roman" w:eastAsia="宋体" w:cs="Times New Roman"/>
                <w:color w:val="auto"/>
                <w:szCs w:val="21"/>
                <w:highlight w:val="none"/>
                <w:lang w:val="en-US"/>
              </w:rPr>
            </w:pPr>
            <w:r>
              <w:rPr>
                <w:rFonts w:hint="eastAsia" w:ascii="Times New Roman" w:hAnsi="Times New Roman" w:cs="Times New Roman"/>
                <w:color w:val="auto"/>
                <w:szCs w:val="21"/>
                <w:highlight w:val="none"/>
                <w:lang w:val="en-US" w:eastAsia="zh-CN"/>
              </w:rPr>
              <w:t>（</w:t>
            </w:r>
            <w:r>
              <w:rPr>
                <w:rFonts w:hint="default" w:ascii="Times New Roman" w:hAnsi="Times New Roman" w:eastAsia="宋体" w:cs="Times New Roman"/>
                <w:color w:val="auto"/>
                <w:szCs w:val="21"/>
                <w:highlight w:val="none"/>
                <w:lang w:val="en-US" w:eastAsia="zh-CN"/>
              </w:rPr>
              <w:t>1</w:t>
            </w:r>
            <w:r>
              <w:rPr>
                <w:rFonts w:hint="eastAsia" w:ascii="Times New Roman" w:hAnsi="Times New Roman" w:eastAsia="宋体" w:cs="Times New Roman"/>
                <w:color w:val="auto"/>
                <w:szCs w:val="21"/>
                <w:highlight w:val="none"/>
                <w:lang w:val="en-US" w:eastAsia="zh-CN"/>
              </w:rPr>
              <w:t>）</w:t>
            </w:r>
            <w:r>
              <w:rPr>
                <w:rFonts w:hint="eastAsia" w:ascii="Times New Roman" w:hAnsi="Times New Roman" w:cs="Times New Roman"/>
                <w:color w:val="auto"/>
                <w:szCs w:val="21"/>
                <w:highlight w:val="none"/>
                <w:lang w:val="en-US" w:eastAsia="zh-CN"/>
              </w:rPr>
              <w:t>施工负责人（项目经理）</w:t>
            </w:r>
            <w:r>
              <w:rPr>
                <w:rFonts w:hint="eastAsia" w:ascii="Times New Roman" w:hAnsi="Times New Roman" w:eastAsia="宋体" w:cs="Times New Roman"/>
                <w:color w:val="auto"/>
                <w:szCs w:val="21"/>
                <w:highlight w:val="none"/>
                <w:lang w:val="en-US" w:eastAsia="zh-CN"/>
              </w:rPr>
              <w:t>：投标人拟委任项目经理须具备机电工程专业二级及以上注册建造师资格，具备有效的安全生产考核合格</w:t>
            </w:r>
            <w:r>
              <w:rPr>
                <w:rFonts w:hint="default" w:ascii="Times New Roman" w:hAnsi="Times New Roman" w:eastAsia="宋体" w:cs="Times New Roman"/>
                <w:color w:val="auto"/>
                <w:szCs w:val="21"/>
                <w:highlight w:val="none"/>
                <w:lang w:val="en-US" w:eastAsia="zh-CN"/>
              </w:rPr>
              <w:t>(B</w:t>
            </w:r>
            <w:r>
              <w:rPr>
                <w:rFonts w:hint="eastAsia" w:ascii="Times New Roman" w:hAnsi="Times New Roman" w:eastAsia="宋体" w:cs="Times New Roman"/>
                <w:color w:val="auto"/>
                <w:szCs w:val="21"/>
                <w:highlight w:val="none"/>
                <w:lang w:val="en-US" w:eastAsia="zh-CN"/>
              </w:rPr>
              <w:t>类</w:t>
            </w:r>
            <w:r>
              <w:rPr>
                <w:rFonts w:hint="default" w:ascii="Times New Roman" w:hAnsi="Times New Roman" w:eastAsia="宋体" w:cs="Times New Roman"/>
                <w:color w:val="auto"/>
                <w:szCs w:val="21"/>
                <w:highlight w:val="none"/>
                <w:lang w:val="en-US" w:eastAsia="zh-CN"/>
              </w:rPr>
              <w:t>)</w:t>
            </w:r>
            <w:r>
              <w:rPr>
                <w:rFonts w:hint="eastAsia" w:ascii="Times New Roman" w:hAnsi="Times New Roman" w:eastAsia="宋体" w:cs="Times New Roman"/>
                <w:color w:val="auto"/>
                <w:szCs w:val="21"/>
                <w:highlight w:val="none"/>
                <w:lang w:val="en-US" w:eastAsia="zh-CN"/>
              </w:rPr>
              <w:t>证书。</w:t>
            </w:r>
          </w:p>
          <w:p w14:paraId="558D5083">
            <w:pPr>
              <w:keepNext w:val="0"/>
              <w:keepLines w:val="0"/>
              <w:widowControl/>
              <w:suppressLineNumbers w:val="0"/>
              <w:spacing w:before="0" w:beforeAutospacing="0" w:after="0" w:afterAutospacing="0" w:line="560" w:lineRule="exact"/>
              <w:ind w:left="0" w:right="0"/>
              <w:jc w:val="left"/>
              <w:rPr>
                <w:rFonts w:hint="eastAsia" w:ascii="宋体" w:hAnsi="宋体" w:eastAsia="宋体" w:cs="宋体"/>
                <w:bCs/>
                <w:color w:val="auto"/>
                <w:kern w:val="0"/>
                <w:sz w:val="21"/>
                <w:szCs w:val="21"/>
                <w:highlight w:val="none"/>
              </w:rPr>
            </w:pPr>
            <w:r>
              <w:rPr>
                <w:rFonts w:hint="eastAsia" w:ascii="Times New Roman" w:hAnsi="Times New Roman" w:cs="Times New Roman"/>
                <w:color w:val="auto"/>
                <w:szCs w:val="21"/>
                <w:highlight w:val="none"/>
                <w:lang w:val="en-US" w:eastAsia="zh-CN"/>
              </w:rPr>
              <w:t>（</w:t>
            </w:r>
            <w:r>
              <w:rPr>
                <w:rFonts w:hint="eastAsia" w:ascii="Times New Roman" w:hAnsi="Times New Roman" w:eastAsia="宋体" w:cs="Times New Roman"/>
                <w:color w:val="auto"/>
                <w:szCs w:val="21"/>
                <w:highlight w:val="none"/>
                <w:lang w:val="en-US" w:eastAsia="zh-CN"/>
              </w:rPr>
              <w:t xml:space="preserve">2）设计负责人：具有注册电气工程师证书； </w:t>
            </w:r>
          </w:p>
        </w:tc>
      </w:tr>
      <w:tr w14:paraId="6082DDC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clear" w:color="auto" w:fill="auto"/>
          <w:tblCellMar>
            <w:top w:w="0" w:type="dxa"/>
            <w:left w:w="108" w:type="dxa"/>
            <w:bottom w:w="0" w:type="dxa"/>
            <w:right w:w="108" w:type="dxa"/>
          </w:tblCellMar>
        </w:tblPrEx>
        <w:trPr>
          <w:trHeight w:val="5417" w:hRule="atLeast"/>
          <w:jc w:val="center"/>
        </w:trPr>
        <w:tc>
          <w:tcPr>
            <w:tcW w:w="1544" w:type="dxa"/>
            <w:gridSpan w:val="2"/>
            <w:tcBorders>
              <w:top w:val="single" w:color="auto" w:sz="12" w:space="0"/>
              <w:left w:val="single" w:color="auto" w:sz="12" w:space="0"/>
              <w:bottom w:val="single" w:color="auto" w:sz="12" w:space="0"/>
              <w:right w:val="single" w:color="auto" w:sz="12" w:space="0"/>
            </w:tcBorders>
            <w:shd w:val="clear" w:color="auto" w:fill="auto"/>
            <w:vAlign w:val="center"/>
          </w:tcPr>
          <w:p w14:paraId="4F741B5D">
            <w:pPr>
              <w:keepNext w:val="0"/>
              <w:keepLines w:val="0"/>
              <w:widowControl/>
              <w:suppressLineNumbers w:val="0"/>
              <w:autoSpaceDE w:val="0"/>
              <w:autoSpaceDN/>
              <w:spacing w:before="0" w:beforeAutospacing="0" w:after="0" w:afterAutospacing="0" w:line="300" w:lineRule="exact"/>
              <w:ind w:left="0" w:leftChars="0" w:right="0" w:right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是否接受联合体投标</w:t>
            </w:r>
          </w:p>
        </w:tc>
        <w:tc>
          <w:tcPr>
            <w:tcW w:w="8152" w:type="dxa"/>
            <w:gridSpan w:val="4"/>
            <w:tcBorders>
              <w:top w:val="single" w:color="auto" w:sz="12" w:space="0"/>
              <w:left w:val="single" w:color="auto" w:sz="12" w:space="0"/>
              <w:bottom w:val="single" w:color="auto" w:sz="12" w:space="0"/>
              <w:right w:val="single" w:color="auto" w:sz="12" w:space="0"/>
            </w:tcBorders>
            <w:shd w:val="clear" w:color="auto" w:fill="auto"/>
            <w:vAlign w:val="center"/>
          </w:tcPr>
          <w:p w14:paraId="1BF44CCF">
            <w:pPr>
              <w:pStyle w:val="2"/>
              <w:keepNext w:val="0"/>
              <w:keepLines w:val="0"/>
              <w:suppressLineNumbers w:val="0"/>
              <w:adjustRightInd w:val="0"/>
              <w:snapToGrid w:val="0"/>
              <w:spacing w:before="0" w:beforeAutospacing="0" w:after="0" w:afterAutospacing="0" w:line="560" w:lineRule="exact"/>
              <w:ind w:left="0" w:leftChars="0" w:right="0" w:firstLine="0" w:firstLineChars="0"/>
              <w:rPr>
                <w:rFonts w:hint="default" w:ascii="宋体" w:hAnsi="宋体" w:cs="宋体"/>
                <w:color w:val="auto"/>
                <w:kern w:val="0"/>
                <w:szCs w:val="21"/>
                <w:highlight w:val="none"/>
              </w:rPr>
            </w:pPr>
            <w:r>
              <w:rPr>
                <w:rFonts w:hint="eastAsia"/>
                <w:color w:val="auto"/>
                <w:szCs w:val="21"/>
                <w:highlight w:val="none"/>
              </w:rPr>
              <w:t>本次招标</w:t>
            </w:r>
            <w:r>
              <w:rPr>
                <w:rFonts w:hint="eastAsia" w:ascii="宋体" w:hAnsi="宋体" w:cs="宋体"/>
                <w:color w:val="auto"/>
                <w:kern w:val="0"/>
                <w:szCs w:val="21"/>
                <w:highlight w:val="none"/>
              </w:rPr>
              <w:t>接受</w:t>
            </w:r>
            <w:r>
              <w:rPr>
                <w:rFonts w:hint="eastAsia"/>
                <w:color w:val="auto"/>
                <w:szCs w:val="21"/>
                <w:highlight w:val="none"/>
              </w:rPr>
              <w:t>联合体投标</w:t>
            </w:r>
            <w:r>
              <w:rPr>
                <w:rFonts w:hint="eastAsia" w:ascii="宋体" w:hAnsi="宋体" w:cs="宋体"/>
                <w:color w:val="auto"/>
                <w:kern w:val="0"/>
                <w:szCs w:val="21"/>
                <w:highlight w:val="none"/>
              </w:rPr>
              <w:t>，应满足下列要求：</w:t>
            </w:r>
          </w:p>
          <w:p w14:paraId="6AB605CE">
            <w:pPr>
              <w:keepNext w:val="0"/>
              <w:keepLines w:val="0"/>
              <w:widowControl/>
              <w:suppressLineNumbers w:val="0"/>
              <w:adjustRightInd w:val="0"/>
              <w:snapToGrid w:val="0"/>
              <w:spacing w:before="0" w:beforeAutospacing="0" w:after="0" w:afterAutospacing="0" w:line="560" w:lineRule="exact"/>
              <w:ind w:left="0" w:right="0"/>
              <w:jc w:val="left"/>
              <w:rPr>
                <w:rFonts w:hint="default" w:ascii="宋体" w:hAnsi="宋体" w:cs="宋体"/>
                <w:color w:val="auto"/>
                <w:kern w:val="0"/>
                <w:szCs w:val="21"/>
                <w:highlight w:val="none"/>
              </w:rPr>
            </w:pPr>
            <w:r>
              <w:rPr>
                <w:rFonts w:hint="eastAsia" w:ascii="宋体" w:hAnsi="宋体" w:cs="宋体"/>
                <w:bCs/>
                <w:color w:val="auto"/>
                <w:kern w:val="0"/>
                <w:szCs w:val="21"/>
                <w:highlight w:val="none"/>
              </w:rPr>
              <w:t>1、联合体参加投标的，</w:t>
            </w:r>
            <w:r>
              <w:rPr>
                <w:rFonts w:hint="eastAsia" w:ascii="宋体" w:hAnsi="宋体" w:cs="宋体"/>
                <w:b/>
                <w:color w:val="auto"/>
                <w:kern w:val="0"/>
                <w:szCs w:val="21"/>
                <w:highlight w:val="none"/>
              </w:rPr>
              <w:t xml:space="preserve">联合体（牵头方和成员方）总数不得超过 </w:t>
            </w:r>
            <w:r>
              <w:rPr>
                <w:rFonts w:hint="eastAsia" w:ascii="宋体" w:hAnsi="宋体" w:cs="宋体"/>
                <w:b/>
                <w:color w:val="auto"/>
                <w:kern w:val="0"/>
                <w:szCs w:val="21"/>
                <w:highlight w:val="none"/>
                <w:u w:val="single"/>
              </w:rPr>
              <w:t xml:space="preserve"> </w:t>
            </w:r>
            <w:r>
              <w:rPr>
                <w:rFonts w:hint="eastAsia" w:ascii="宋体" w:hAnsi="宋体" w:cs="宋体"/>
                <w:b/>
                <w:color w:val="auto"/>
                <w:kern w:val="0"/>
                <w:szCs w:val="21"/>
                <w:highlight w:val="none"/>
                <w:u w:val="single"/>
                <w:lang w:val="en-US" w:eastAsia="zh-CN"/>
              </w:rPr>
              <w:t>2</w:t>
            </w:r>
            <w:r>
              <w:rPr>
                <w:rFonts w:hint="eastAsia" w:ascii="宋体" w:hAnsi="宋体" w:cs="宋体"/>
                <w:b/>
                <w:color w:val="auto"/>
                <w:kern w:val="0"/>
                <w:szCs w:val="21"/>
                <w:highlight w:val="none"/>
                <w:u w:val="single"/>
              </w:rPr>
              <w:t xml:space="preserve"> </w:t>
            </w:r>
            <w:r>
              <w:rPr>
                <w:rFonts w:hint="eastAsia" w:ascii="宋体" w:hAnsi="宋体" w:cs="宋体"/>
                <w:b/>
                <w:color w:val="auto"/>
                <w:kern w:val="0"/>
                <w:szCs w:val="21"/>
                <w:highlight w:val="none"/>
              </w:rPr>
              <w:t>家</w:t>
            </w:r>
            <w:r>
              <w:rPr>
                <w:rFonts w:hint="default"/>
                <w:color w:val="auto"/>
                <w:spacing w:val="-2"/>
                <w:szCs w:val="21"/>
                <w:highlight w:val="none"/>
              </w:rPr>
              <w:t>。</w:t>
            </w:r>
            <w:r>
              <w:rPr>
                <w:rFonts w:hint="eastAsia" w:ascii="宋体" w:hAnsi="宋体" w:cs="宋体"/>
                <w:bCs/>
                <w:color w:val="auto"/>
                <w:kern w:val="0"/>
                <w:szCs w:val="21"/>
                <w:highlight w:val="none"/>
              </w:rPr>
              <w:t>同一专业工程由一个单位承担的，按照承担单位资质确定资质等级；同一专业工程由两个单位共同承担的，按照资质等级较低的单位确定资质等级；不同专业工程由不同单位分别承担的，按照各单位的相应资质确定联合体</w:t>
            </w:r>
            <w:r>
              <w:rPr>
                <w:rFonts w:hint="eastAsia" w:ascii="宋体" w:hAnsi="宋体" w:cs="宋体"/>
                <w:color w:val="auto"/>
                <w:kern w:val="0"/>
                <w:szCs w:val="21"/>
                <w:highlight w:val="none"/>
              </w:rPr>
              <w:t>的资质。联合体牵头人和联合体成员按专业分工确定的联合体资质须满足招标文件的要求。</w:t>
            </w:r>
          </w:p>
          <w:p w14:paraId="742F89BD">
            <w:pPr>
              <w:keepNext w:val="0"/>
              <w:keepLines w:val="0"/>
              <w:widowControl/>
              <w:suppressLineNumbers w:val="0"/>
              <w:adjustRightInd w:val="0"/>
              <w:snapToGrid w:val="0"/>
              <w:spacing w:before="0" w:beforeAutospacing="0" w:after="0" w:afterAutospacing="0" w:line="560" w:lineRule="exact"/>
              <w:ind w:left="0" w:right="0"/>
              <w:jc w:val="left"/>
              <w:rPr>
                <w:rFonts w:hint="default" w:ascii="宋体" w:hAnsi="宋体" w:cs="宋体"/>
                <w:color w:val="auto"/>
                <w:kern w:val="0"/>
                <w:szCs w:val="21"/>
                <w:highlight w:val="none"/>
              </w:rPr>
            </w:pPr>
            <w:r>
              <w:rPr>
                <w:rFonts w:hint="eastAsia" w:ascii="宋体" w:hAnsi="宋体" w:cs="宋体"/>
                <w:color w:val="auto"/>
                <w:kern w:val="0"/>
                <w:szCs w:val="21"/>
                <w:highlight w:val="none"/>
              </w:rPr>
              <w:t>2、联合体参加投标的，招标文件下载、投标保证金缴纳、投标文件编制、</w:t>
            </w:r>
            <w:r>
              <w:rPr>
                <w:rFonts w:hint="eastAsia" w:ascii="宋体" w:hAnsi="宋体" w:cs="宋体"/>
                <w:color w:val="auto"/>
                <w:kern w:val="0"/>
                <w:szCs w:val="21"/>
                <w:highlight w:val="none"/>
                <w:lang w:val="en-US" w:eastAsia="zh-CN"/>
              </w:rPr>
              <w:t>盖章</w:t>
            </w:r>
            <w:r>
              <w:rPr>
                <w:rFonts w:hint="eastAsia" w:ascii="宋体" w:hAnsi="宋体" w:cs="宋体"/>
                <w:color w:val="auto"/>
                <w:kern w:val="0"/>
                <w:szCs w:val="21"/>
                <w:highlight w:val="none"/>
              </w:rPr>
              <w:t>、递交标书等工作均由其牵头人负责办理，其他联合体成员方按招标文件要求提供相关材料即可。</w:t>
            </w:r>
          </w:p>
          <w:p w14:paraId="55F29212">
            <w:pPr>
              <w:keepNext w:val="0"/>
              <w:keepLines w:val="0"/>
              <w:suppressLineNumbers w:val="0"/>
              <w:adjustRightInd w:val="0"/>
              <w:snapToGrid w:val="0"/>
              <w:spacing w:before="0" w:beforeAutospacing="0" w:after="0" w:afterAutospacing="0" w:line="560" w:lineRule="exact"/>
              <w:ind w:left="0" w:right="0"/>
              <w:rPr>
                <w:rFonts w:hint="default" w:ascii="宋体" w:hAnsi="宋体" w:cs="宋体"/>
                <w:color w:val="auto"/>
                <w:kern w:val="0"/>
                <w:szCs w:val="21"/>
                <w:highlight w:val="none"/>
              </w:rPr>
            </w:pPr>
            <w:r>
              <w:rPr>
                <w:rFonts w:hint="eastAsia" w:ascii="宋体" w:hAnsi="宋体" w:cs="宋体"/>
                <w:color w:val="auto"/>
                <w:kern w:val="0"/>
                <w:szCs w:val="21"/>
                <w:highlight w:val="none"/>
              </w:rPr>
              <w:t>3、联合体参加投标的，一旦中标，联合体各方将向招标人承担连带责任，各方应服从招标人的管理。</w:t>
            </w:r>
          </w:p>
          <w:p w14:paraId="3BFDFA98">
            <w:pPr>
              <w:keepNext w:val="0"/>
              <w:keepLines w:val="0"/>
              <w:suppressLineNumbers w:val="0"/>
              <w:spacing w:before="0" w:beforeAutospacing="0" w:after="0" w:afterAutospacing="0" w:line="560" w:lineRule="exact"/>
              <w:ind w:left="0" w:right="0"/>
              <w:jc w:val="left"/>
              <w:rPr>
                <w:rFonts w:hint="default" w:ascii="宋体" w:hAnsi="宋体" w:cs="宋体"/>
                <w:color w:val="auto"/>
                <w:kern w:val="0"/>
                <w:szCs w:val="21"/>
                <w:highlight w:val="none"/>
              </w:rPr>
            </w:pPr>
            <w:r>
              <w:rPr>
                <w:rFonts w:hint="eastAsia" w:ascii="宋体" w:hAnsi="宋体" w:cs="宋体"/>
                <w:color w:val="auto"/>
                <w:kern w:val="0"/>
                <w:szCs w:val="21"/>
                <w:highlight w:val="none"/>
              </w:rPr>
              <w:t>4、若为联合体投标的，联合体投标牵头方必须在投标文件中填报派驻项目经理（建造师）A，联合体成员方可根据项目情况自行选择是否在投标文件中填报派驻项目经理（建造师）B岗，若派驻，AB岗须满足项目经理资格要求。如联合体成员方没有在投标文件中填报派驻项目经理（建造师） B岗的，视为放弃填报派驻项目经理（建造师） B岗的权利，中标后不予填报增派。</w:t>
            </w:r>
          </w:p>
          <w:p w14:paraId="1C11F378">
            <w:pPr>
              <w:keepNext w:val="0"/>
              <w:keepLines w:val="0"/>
              <w:widowControl/>
              <w:suppressLineNumbers w:val="0"/>
              <w:autoSpaceDE w:val="0"/>
              <w:autoSpaceDN/>
              <w:spacing w:before="0" w:beforeAutospacing="0" w:after="0" w:afterAutospacing="0" w:line="440" w:lineRule="exact"/>
              <w:ind w:left="0" w:leftChars="0" w:right="0" w:rightChars="0"/>
              <w:jc w:val="left"/>
              <w:rPr>
                <w:rFonts w:hint="eastAsia" w:ascii="宋体" w:hAnsi="宋体" w:eastAsia="宋体" w:cs="宋体"/>
                <w:color w:val="auto"/>
                <w:kern w:val="2"/>
                <w:sz w:val="21"/>
                <w:szCs w:val="21"/>
                <w:highlight w:val="none"/>
              </w:rPr>
            </w:pPr>
            <w:r>
              <w:rPr>
                <w:rFonts w:hint="eastAsia" w:ascii="宋体" w:hAnsi="宋体" w:cs="宋体"/>
                <w:color w:val="auto"/>
                <w:kern w:val="0"/>
                <w:szCs w:val="21"/>
                <w:highlight w:val="none"/>
              </w:rPr>
              <w:t>5、联合体牵头人及成员单位共同对所提交的投标文件及相关证书材料的真实合规性负责。如联合体任一方出现保证金不予退还的情形，联合体所缴纳的投标保证金均不予退还。</w:t>
            </w:r>
          </w:p>
        </w:tc>
      </w:tr>
      <w:tr w14:paraId="04A42A5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clear" w:color="auto" w:fill="auto"/>
          <w:tblCellMar>
            <w:top w:w="0" w:type="dxa"/>
            <w:left w:w="108" w:type="dxa"/>
            <w:bottom w:w="0" w:type="dxa"/>
            <w:right w:w="108" w:type="dxa"/>
          </w:tblCellMar>
        </w:tblPrEx>
        <w:trPr>
          <w:trHeight w:val="672" w:hRule="atLeast"/>
          <w:jc w:val="center"/>
        </w:trPr>
        <w:tc>
          <w:tcPr>
            <w:tcW w:w="1544" w:type="dxa"/>
            <w:gridSpan w:val="2"/>
            <w:tcBorders>
              <w:top w:val="single" w:color="auto" w:sz="12" w:space="0"/>
              <w:left w:val="single" w:color="auto" w:sz="12" w:space="0"/>
              <w:bottom w:val="single" w:color="auto" w:sz="12" w:space="0"/>
              <w:right w:val="single" w:color="auto" w:sz="12" w:space="0"/>
            </w:tcBorders>
            <w:shd w:val="clear" w:color="auto" w:fill="auto"/>
            <w:vAlign w:val="center"/>
          </w:tcPr>
          <w:p w14:paraId="5130E0F3">
            <w:pPr>
              <w:keepNext w:val="0"/>
              <w:keepLines w:val="0"/>
              <w:widowControl/>
              <w:suppressLineNumbers w:val="0"/>
              <w:autoSpaceDE w:val="0"/>
              <w:autoSpaceDN/>
              <w:spacing w:before="0" w:beforeAutospacing="0" w:after="0" w:afterAutospacing="0" w:line="300" w:lineRule="exact"/>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招标项目规模</w:t>
            </w:r>
          </w:p>
        </w:tc>
        <w:tc>
          <w:tcPr>
            <w:tcW w:w="8152" w:type="dxa"/>
            <w:gridSpan w:val="4"/>
            <w:tcBorders>
              <w:top w:val="single" w:color="auto" w:sz="12" w:space="0"/>
              <w:left w:val="single" w:color="auto" w:sz="12" w:space="0"/>
              <w:bottom w:val="single" w:color="auto" w:sz="12" w:space="0"/>
              <w:right w:val="single" w:color="auto" w:sz="12" w:space="0"/>
            </w:tcBorders>
            <w:shd w:val="clear" w:color="auto" w:fill="auto"/>
            <w:vAlign w:val="center"/>
          </w:tcPr>
          <w:p w14:paraId="68CD9425">
            <w:pPr>
              <w:keepNext w:val="0"/>
              <w:keepLines w:val="0"/>
              <w:widowControl/>
              <w:suppressLineNumbers w:val="0"/>
              <w:autoSpaceDE w:val="0"/>
              <w:autoSpaceDN/>
              <w:spacing w:before="0" w:beforeAutospacing="0" w:after="0" w:afterAutospacing="0" w:line="440" w:lineRule="exact"/>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估算价约</w:t>
            </w:r>
            <w:r>
              <w:rPr>
                <w:rFonts w:hint="eastAsia" w:ascii="宋体" w:hAnsi="宋体" w:cs="宋体"/>
                <w:color w:val="auto"/>
                <w:kern w:val="0"/>
                <w:sz w:val="21"/>
                <w:szCs w:val="21"/>
                <w:highlight w:val="none"/>
                <w:lang w:val="en-US" w:eastAsia="zh-CN" w:bidi="ar"/>
              </w:rPr>
              <w:t>350万</w:t>
            </w:r>
            <w:r>
              <w:rPr>
                <w:rFonts w:hint="eastAsia" w:ascii="宋体" w:hAnsi="宋体" w:eastAsia="宋体" w:cs="宋体"/>
                <w:color w:val="auto"/>
                <w:kern w:val="0"/>
                <w:sz w:val="21"/>
                <w:szCs w:val="21"/>
                <w:highlight w:val="none"/>
                <w:lang w:val="en-US" w:eastAsia="zh-CN" w:bidi="ar"/>
              </w:rPr>
              <w:t>元</w:t>
            </w:r>
          </w:p>
        </w:tc>
      </w:tr>
      <w:tr w14:paraId="2977D54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clear" w:color="auto" w:fill="auto"/>
          <w:tblCellMar>
            <w:top w:w="0" w:type="dxa"/>
            <w:left w:w="108" w:type="dxa"/>
            <w:bottom w:w="0" w:type="dxa"/>
            <w:right w:w="108" w:type="dxa"/>
          </w:tblCellMar>
        </w:tblPrEx>
        <w:trPr>
          <w:trHeight w:val="7922" w:hRule="atLeast"/>
          <w:jc w:val="center"/>
        </w:trPr>
        <w:tc>
          <w:tcPr>
            <w:tcW w:w="1544" w:type="dxa"/>
            <w:gridSpan w:val="2"/>
            <w:tcBorders>
              <w:top w:val="single" w:color="auto" w:sz="12" w:space="0"/>
              <w:left w:val="single" w:color="auto" w:sz="12" w:space="0"/>
              <w:bottom w:val="single" w:color="auto" w:sz="12" w:space="0"/>
              <w:right w:val="single" w:color="auto" w:sz="12" w:space="0"/>
            </w:tcBorders>
            <w:shd w:val="clear" w:color="auto" w:fill="auto"/>
            <w:vAlign w:val="center"/>
          </w:tcPr>
          <w:p w14:paraId="58E13B51">
            <w:pPr>
              <w:keepNext w:val="0"/>
              <w:keepLines w:val="0"/>
              <w:widowControl/>
              <w:suppressLineNumbers w:val="0"/>
              <w:autoSpaceDE w:val="0"/>
              <w:autoSpaceDN/>
              <w:spacing w:before="0" w:beforeAutospacing="0" w:after="0" w:afterAutospacing="0" w:line="300" w:lineRule="exact"/>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招标项目内容范围</w:t>
            </w:r>
          </w:p>
        </w:tc>
        <w:tc>
          <w:tcPr>
            <w:tcW w:w="8152" w:type="dxa"/>
            <w:gridSpan w:val="4"/>
            <w:tcBorders>
              <w:top w:val="single" w:color="auto" w:sz="12" w:space="0"/>
              <w:left w:val="single" w:color="auto" w:sz="12" w:space="0"/>
              <w:bottom w:val="single" w:color="auto" w:sz="12" w:space="0"/>
              <w:right w:val="single" w:color="auto" w:sz="12" w:space="0"/>
            </w:tcBorders>
            <w:shd w:val="clear" w:color="auto" w:fill="auto"/>
            <w:vAlign w:val="center"/>
          </w:tcPr>
          <w:p w14:paraId="72669192">
            <w:pPr>
              <w:keepNext w:val="0"/>
              <w:keepLines w:val="0"/>
              <w:widowControl/>
              <w:suppressLineNumbers w:val="0"/>
              <w:spacing w:before="0" w:beforeAutospacing="0" w:after="0" w:afterAutospacing="0" w:line="440" w:lineRule="exact"/>
              <w:ind w:left="0" w:right="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本次招标范围包括但不限于：</w:t>
            </w:r>
          </w:p>
          <w:p w14:paraId="219E3666">
            <w:pPr>
              <w:keepNext w:val="0"/>
              <w:keepLines w:val="0"/>
              <w:widowControl/>
              <w:suppressLineNumbers w:val="0"/>
              <w:spacing w:before="0" w:beforeAutospacing="0" w:after="0" w:afterAutospacing="0" w:line="440" w:lineRule="exact"/>
              <w:ind w:left="0" w:right="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（1）设计部分：包括但不限于本项目投资分析、现场勘察、</w:t>
            </w:r>
            <w:r>
              <w:rPr>
                <w:rFonts w:hint="eastAsia" w:ascii="宋体" w:hAnsi="宋体" w:cs="宋体"/>
                <w:color w:val="auto"/>
                <w:kern w:val="0"/>
                <w:szCs w:val="21"/>
                <w:highlight w:val="none"/>
                <w:lang w:val="en-US" w:eastAsia="zh-CN"/>
              </w:rPr>
              <w:t>地勘报告、</w:t>
            </w:r>
            <w:r>
              <w:rPr>
                <w:rFonts w:hint="eastAsia" w:ascii="宋体" w:hAnsi="宋体" w:eastAsia="宋体" w:cs="宋体"/>
                <w:color w:val="auto"/>
                <w:kern w:val="0"/>
                <w:szCs w:val="21"/>
                <w:highlight w:val="none"/>
                <w:lang w:val="en-US" w:eastAsia="zh-CN"/>
              </w:rPr>
              <w:t>初步设计方案（含设计基础排布）、荷载鉴定报告、加固设计方案（如需）、施工图设计、竣工图编制、概算编制、配合图纸审查等，以上如涉及必须提供。</w:t>
            </w:r>
          </w:p>
          <w:p w14:paraId="3267E1B8">
            <w:pPr>
              <w:keepNext w:val="0"/>
              <w:keepLines w:val="0"/>
              <w:widowControl/>
              <w:suppressLineNumbers w:val="0"/>
              <w:spacing w:before="0" w:beforeAutospacing="0" w:after="0" w:afterAutospacing="0" w:line="440" w:lineRule="exact"/>
              <w:ind w:left="0" w:right="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（2）施工部分：包括但不限于备案、并网接入等相关手续办理、施工图范围内的所有</w:t>
            </w:r>
          </w:p>
          <w:p w14:paraId="51034B20">
            <w:pPr>
              <w:keepNext w:val="0"/>
              <w:keepLines w:val="0"/>
              <w:widowControl/>
              <w:suppressLineNumbers w:val="0"/>
              <w:tabs>
                <w:tab w:val="left" w:pos="3360"/>
              </w:tabs>
              <w:spacing w:before="0" w:beforeAutospacing="0" w:after="0" w:afterAutospacing="0" w:line="440" w:lineRule="exact"/>
              <w:ind w:left="0" w:right="0"/>
              <w:rPr>
                <w:rFonts w:hint="default"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rPr>
              <w:t>工作内容、</w:t>
            </w:r>
            <w:r>
              <w:rPr>
                <w:rFonts w:hint="eastAsia" w:ascii="宋体" w:hAnsi="宋体" w:cs="宋体"/>
                <w:color w:val="auto"/>
                <w:kern w:val="0"/>
                <w:szCs w:val="21"/>
                <w:highlight w:val="none"/>
                <w:lang w:val="en-US" w:eastAsia="zh-CN"/>
              </w:rPr>
              <w:t>建筑</w:t>
            </w:r>
            <w:r>
              <w:rPr>
                <w:rFonts w:hint="eastAsia" w:ascii="宋体" w:hAnsi="宋体" w:eastAsia="宋体" w:cs="宋体"/>
                <w:color w:val="auto"/>
                <w:kern w:val="0"/>
                <w:szCs w:val="21"/>
                <w:highlight w:val="none"/>
              </w:rPr>
              <w:t>加固（如需）、</w:t>
            </w:r>
            <w:r>
              <w:rPr>
                <w:rFonts w:hint="eastAsia" w:ascii="宋体" w:hAnsi="宋体" w:eastAsia="宋体" w:cs="宋体"/>
                <w:color w:val="auto"/>
                <w:kern w:val="0"/>
                <w:szCs w:val="21"/>
                <w:highlight w:val="none"/>
                <w:lang w:val="en-US" w:eastAsia="zh-CN"/>
              </w:rPr>
              <w:t>绿化移栽、</w:t>
            </w:r>
            <w:r>
              <w:rPr>
                <w:rFonts w:hint="eastAsia" w:ascii="宋体" w:hAnsi="宋体" w:eastAsia="宋体" w:cs="宋体"/>
                <w:color w:val="auto"/>
                <w:kern w:val="0"/>
                <w:szCs w:val="21"/>
                <w:highlight w:val="none"/>
              </w:rPr>
              <w:t>土建</w:t>
            </w:r>
            <w:r>
              <w:rPr>
                <w:rFonts w:hint="eastAsia"/>
                <w:color w:val="auto"/>
                <w:highlight w:val="none"/>
                <w:lang w:eastAsia="zh-CN"/>
              </w:rPr>
              <w:t>、</w:t>
            </w:r>
            <w:r>
              <w:rPr>
                <w:rFonts w:hint="eastAsia"/>
                <w:color w:val="auto"/>
                <w:highlight w:val="none"/>
                <w:lang w:val="en-US" w:eastAsia="zh-CN"/>
              </w:rPr>
              <w:t>施工现场所必须的管线及其他设施设备迁移</w:t>
            </w:r>
            <w:r>
              <w:rPr>
                <w:rFonts w:hint="eastAsia" w:ascii="宋体" w:hAnsi="宋体" w:eastAsia="宋体" w:cs="宋体"/>
                <w:color w:val="auto"/>
                <w:kern w:val="0"/>
                <w:szCs w:val="21"/>
                <w:highlight w:val="none"/>
              </w:rPr>
              <w:t>及安装施工等工作、本工程内所有设备和系统的供货安装、检验、试验、竣工验收、全站全容量并网240小时安全稳定试运行(出具试运行报告)、消缺、整套系统启动的性能保证的考核验收、技术和售后服务、人员培训、直至移交等全部工作。</w:t>
            </w:r>
            <w:r>
              <w:rPr>
                <w:rFonts w:hint="eastAsia" w:ascii="宋体" w:hAnsi="宋体" w:eastAsia="宋体" w:cs="宋体"/>
                <w:color w:val="auto"/>
                <w:kern w:val="0"/>
                <w:szCs w:val="21"/>
                <w:highlight w:val="none"/>
                <w:lang w:val="en-US" w:eastAsia="zh-CN"/>
              </w:rPr>
              <w:t>本项目的逆变器、数据采集器、远红、视频监控等设备，由中标单位设计和采购，并负责接入招标人已建或者后续要建设的能源管理平台（相关设备参数符合平台使用要求）便于后期统一运营管理</w:t>
            </w:r>
            <w:r>
              <w:rPr>
                <w:rFonts w:hint="eastAsia" w:ascii="宋体" w:hAnsi="宋体" w:cs="宋体"/>
                <w:color w:val="auto"/>
                <w:kern w:val="0"/>
                <w:szCs w:val="21"/>
                <w:highlight w:val="none"/>
                <w:lang w:val="en-US" w:eastAsia="zh-CN"/>
              </w:rPr>
              <w:t>，</w:t>
            </w:r>
            <w:r>
              <w:rPr>
                <w:rFonts w:hint="eastAsia" w:ascii="宋体" w:hAnsi="宋体" w:eastAsia="宋体" w:cs="宋体"/>
                <w:color w:val="auto"/>
                <w:kern w:val="0"/>
                <w:szCs w:val="21"/>
                <w:highlight w:val="none"/>
                <w:lang w:val="en-US" w:eastAsia="zh-CN"/>
              </w:rPr>
              <w:t>相关费用均在投标报价中。</w:t>
            </w:r>
            <w:r>
              <w:rPr>
                <w:rFonts w:hint="eastAsia" w:ascii="宋体" w:hAnsi="宋体" w:eastAsia="宋体" w:cs="宋体"/>
                <w:color w:val="auto"/>
                <w:kern w:val="0"/>
                <w:szCs w:val="21"/>
                <w:highlight w:val="none"/>
              </w:rPr>
              <w:t>移交前的运维管理，竣工验收交付后，光伏板产品质保 10 年、发电量质保25 年、逆变器质保5年，其他电器设备2年质保，免费运维2年；具体以招标人实施需求为准</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u w:val="none"/>
                <w:lang w:eastAsia="zh-CN"/>
              </w:rPr>
              <w:t>产品质保期</w:t>
            </w:r>
            <w:r>
              <w:rPr>
                <w:rFonts w:hint="eastAsia" w:ascii="宋体" w:hAnsi="宋体" w:eastAsia="宋体" w:cs="宋体"/>
                <w:color w:val="auto"/>
                <w:kern w:val="0"/>
                <w:szCs w:val="21"/>
                <w:highlight w:val="none"/>
                <w:u w:val="none"/>
                <w:lang w:val="en-US" w:eastAsia="zh-CN"/>
              </w:rPr>
              <w:t>内</w:t>
            </w:r>
            <w:r>
              <w:rPr>
                <w:rFonts w:hint="eastAsia" w:ascii="宋体" w:hAnsi="宋体" w:eastAsia="宋体" w:cs="宋体"/>
                <w:color w:val="auto"/>
                <w:kern w:val="0"/>
                <w:szCs w:val="21"/>
                <w:highlight w:val="none"/>
                <w:u w:val="none"/>
                <w:lang w:eastAsia="zh-CN"/>
              </w:rPr>
              <w:t>要响应业主需求，及时开展相关工作</w:t>
            </w:r>
            <w:r>
              <w:rPr>
                <w:rFonts w:hint="eastAsia" w:ascii="宋体" w:hAnsi="宋体" w:eastAsia="宋体" w:cs="宋体"/>
                <w:color w:val="auto"/>
                <w:kern w:val="0"/>
                <w:szCs w:val="21"/>
                <w:highlight w:val="none"/>
                <w:u w:val="none"/>
              </w:rPr>
              <w:t>；具体以招标人实施需求为准。</w:t>
            </w:r>
            <w:r>
              <w:rPr>
                <w:rFonts w:hint="eastAsia" w:ascii="宋体" w:hAnsi="宋体" w:eastAsia="宋体" w:cs="宋体"/>
                <w:color w:val="auto"/>
                <w:kern w:val="0"/>
                <w:szCs w:val="21"/>
                <w:highlight w:val="none"/>
                <w:u w:val="none"/>
                <w:lang w:val="en-US" w:eastAsia="zh-CN"/>
              </w:rPr>
              <w:t>项目施工按照施工设计方案开展，具体实际施工根据业主单位及招标单位意见开展，相关费用包含在项目报价中。</w:t>
            </w:r>
          </w:p>
          <w:p w14:paraId="6B295930">
            <w:pPr>
              <w:keepNext w:val="0"/>
              <w:keepLines w:val="0"/>
              <w:widowControl/>
              <w:suppressLineNumbers w:val="0"/>
              <w:autoSpaceDE w:val="0"/>
              <w:autoSpaceDN/>
              <w:spacing w:before="0" w:beforeAutospacing="0" w:after="0" w:afterAutospacing="0" w:line="440" w:lineRule="exact"/>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Cs w:val="21"/>
                <w:highlight w:val="none"/>
                <w:u w:val="none"/>
                <w:lang w:val="en-US" w:eastAsia="zh-CN"/>
              </w:rPr>
              <w:t>本项目为“交钥匙”工程</w:t>
            </w:r>
            <w:r>
              <w:rPr>
                <w:rFonts w:hint="eastAsia" w:ascii="宋体" w:hAnsi="宋体" w:cs="宋体"/>
                <w:color w:val="auto"/>
                <w:kern w:val="0"/>
                <w:szCs w:val="21"/>
                <w:highlight w:val="none"/>
                <w:u w:val="none"/>
                <w:lang w:val="en-US" w:eastAsia="zh-CN"/>
              </w:rPr>
              <w:t>，含设计、采购、安装、调试</w:t>
            </w:r>
            <w:r>
              <w:rPr>
                <w:rFonts w:hint="eastAsia" w:ascii="宋体" w:hAnsi="宋体" w:eastAsia="宋体" w:cs="宋体"/>
                <w:color w:val="auto"/>
                <w:kern w:val="0"/>
                <w:szCs w:val="21"/>
                <w:highlight w:val="none"/>
                <w:u w:val="none"/>
                <w:lang w:val="en-US" w:eastAsia="zh-CN"/>
              </w:rPr>
              <w:t>、并通过验收</w:t>
            </w:r>
            <w:r>
              <w:rPr>
                <w:rFonts w:hint="eastAsia" w:ascii="宋体" w:hAnsi="宋体" w:cs="宋体"/>
                <w:color w:val="auto"/>
                <w:kern w:val="0"/>
                <w:szCs w:val="21"/>
                <w:highlight w:val="none"/>
                <w:u w:val="none"/>
                <w:lang w:val="en-US" w:eastAsia="zh-CN"/>
              </w:rPr>
              <w:t>及后期运维</w:t>
            </w:r>
            <w:r>
              <w:rPr>
                <w:rFonts w:hint="eastAsia" w:ascii="宋体" w:hAnsi="宋体" w:eastAsia="宋体" w:cs="宋体"/>
                <w:color w:val="auto"/>
                <w:kern w:val="0"/>
                <w:szCs w:val="21"/>
                <w:highlight w:val="none"/>
                <w:u w:val="none"/>
                <w:lang w:val="en-US" w:eastAsia="zh-CN"/>
              </w:rPr>
              <w:t>。</w:t>
            </w:r>
          </w:p>
        </w:tc>
      </w:tr>
      <w:tr w14:paraId="163C1C2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clear" w:color="auto" w:fill="auto"/>
          <w:tblCellMar>
            <w:top w:w="0" w:type="dxa"/>
            <w:left w:w="108" w:type="dxa"/>
            <w:bottom w:w="0" w:type="dxa"/>
            <w:right w:w="108" w:type="dxa"/>
          </w:tblCellMar>
        </w:tblPrEx>
        <w:trPr>
          <w:trHeight w:val="1075" w:hRule="atLeast"/>
          <w:jc w:val="center"/>
        </w:trPr>
        <w:tc>
          <w:tcPr>
            <w:tcW w:w="1544" w:type="dxa"/>
            <w:gridSpan w:val="2"/>
            <w:tcBorders>
              <w:top w:val="single" w:color="auto" w:sz="12" w:space="0"/>
              <w:left w:val="single" w:color="auto" w:sz="12" w:space="0"/>
              <w:bottom w:val="single" w:color="auto" w:sz="12" w:space="0"/>
              <w:right w:val="single" w:color="auto" w:sz="12" w:space="0"/>
            </w:tcBorders>
            <w:shd w:val="clear" w:color="auto" w:fill="auto"/>
            <w:vAlign w:val="center"/>
          </w:tcPr>
          <w:p w14:paraId="08B69ACB">
            <w:pPr>
              <w:keepNext w:val="0"/>
              <w:keepLines w:val="0"/>
              <w:widowControl/>
              <w:suppressLineNumbers w:val="0"/>
              <w:autoSpaceDE w:val="0"/>
              <w:autoSpaceDN/>
              <w:spacing w:before="0" w:beforeAutospacing="0" w:after="0" w:afterAutospacing="0" w:line="300" w:lineRule="exact"/>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招标公告发布时间</w:t>
            </w:r>
          </w:p>
        </w:tc>
        <w:tc>
          <w:tcPr>
            <w:tcW w:w="8152" w:type="dxa"/>
            <w:gridSpan w:val="4"/>
            <w:tcBorders>
              <w:top w:val="single" w:color="auto" w:sz="12" w:space="0"/>
              <w:left w:val="single" w:color="auto" w:sz="12" w:space="0"/>
              <w:bottom w:val="single" w:color="auto" w:sz="12" w:space="0"/>
              <w:right w:val="single" w:color="auto" w:sz="12" w:space="0"/>
            </w:tcBorders>
            <w:shd w:val="clear" w:color="auto" w:fill="auto"/>
            <w:vAlign w:val="center"/>
          </w:tcPr>
          <w:p w14:paraId="70DFF7A5">
            <w:pPr>
              <w:keepNext w:val="0"/>
              <w:keepLines w:val="0"/>
              <w:widowControl/>
              <w:suppressLineNumbers w:val="0"/>
              <w:autoSpaceDE w:val="0"/>
              <w:autoSpaceDN/>
              <w:spacing w:before="0" w:beforeAutospacing="0" w:after="0" w:afterAutospacing="0" w:line="440" w:lineRule="exact"/>
              <w:ind w:left="0" w:right="0"/>
              <w:jc w:val="left"/>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bidi="ar"/>
              </w:rPr>
              <w:t>202</w:t>
            </w:r>
            <w:r>
              <w:rPr>
                <w:rFonts w:hint="eastAsia" w:ascii="宋体" w:hAnsi="宋体" w:cs="宋体"/>
                <w:b/>
                <w:bCs/>
                <w:color w:val="auto"/>
                <w:kern w:val="0"/>
                <w:sz w:val="21"/>
                <w:szCs w:val="21"/>
                <w:highlight w:val="none"/>
                <w:lang w:val="en-US" w:eastAsia="zh-CN" w:bidi="ar"/>
              </w:rPr>
              <w:t>5</w:t>
            </w:r>
            <w:r>
              <w:rPr>
                <w:rFonts w:hint="eastAsia" w:ascii="宋体" w:hAnsi="宋体" w:eastAsia="宋体" w:cs="宋体"/>
                <w:b/>
                <w:bCs/>
                <w:color w:val="auto"/>
                <w:kern w:val="0"/>
                <w:sz w:val="21"/>
                <w:szCs w:val="21"/>
                <w:highlight w:val="none"/>
                <w:lang w:val="en-US" w:eastAsia="zh-CN" w:bidi="ar"/>
              </w:rPr>
              <w:t>年</w:t>
            </w:r>
            <w:r>
              <w:rPr>
                <w:rFonts w:hint="eastAsia" w:ascii="宋体" w:hAnsi="宋体" w:cs="宋体"/>
                <w:b/>
                <w:bCs/>
                <w:color w:val="auto"/>
                <w:kern w:val="0"/>
                <w:sz w:val="21"/>
                <w:szCs w:val="21"/>
                <w:highlight w:val="none"/>
                <w:lang w:val="en-US" w:eastAsia="zh-CN" w:bidi="ar"/>
              </w:rPr>
              <w:t>3</w:t>
            </w:r>
            <w:r>
              <w:rPr>
                <w:rFonts w:hint="eastAsia" w:ascii="宋体" w:hAnsi="宋体" w:eastAsia="宋体" w:cs="宋体"/>
                <w:b/>
                <w:bCs/>
                <w:color w:val="auto"/>
                <w:kern w:val="0"/>
                <w:sz w:val="21"/>
                <w:szCs w:val="21"/>
                <w:highlight w:val="none"/>
                <w:lang w:val="en-US" w:eastAsia="zh-CN" w:bidi="ar"/>
              </w:rPr>
              <w:t>月</w:t>
            </w:r>
            <w:r>
              <w:rPr>
                <w:rFonts w:hint="eastAsia" w:ascii="宋体" w:hAnsi="宋体" w:cs="宋体"/>
                <w:b/>
                <w:bCs/>
                <w:color w:val="auto"/>
                <w:kern w:val="0"/>
                <w:sz w:val="21"/>
                <w:szCs w:val="21"/>
                <w:highlight w:val="none"/>
                <w:lang w:val="en-US" w:eastAsia="zh-CN" w:bidi="ar"/>
              </w:rPr>
              <w:t>12</w:t>
            </w:r>
            <w:r>
              <w:rPr>
                <w:rFonts w:hint="eastAsia" w:ascii="宋体" w:hAnsi="宋体" w:eastAsia="宋体" w:cs="宋体"/>
                <w:b/>
                <w:bCs/>
                <w:color w:val="auto"/>
                <w:kern w:val="0"/>
                <w:sz w:val="21"/>
                <w:szCs w:val="21"/>
                <w:highlight w:val="none"/>
                <w:lang w:val="en-US" w:eastAsia="zh-CN" w:bidi="ar"/>
              </w:rPr>
              <w:t>日</w:t>
            </w:r>
          </w:p>
        </w:tc>
      </w:tr>
      <w:tr w14:paraId="7AD29BC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clear" w:color="auto" w:fill="auto"/>
          <w:tblCellMar>
            <w:top w:w="0" w:type="dxa"/>
            <w:left w:w="108" w:type="dxa"/>
            <w:bottom w:w="0" w:type="dxa"/>
            <w:right w:w="108" w:type="dxa"/>
          </w:tblCellMar>
        </w:tblPrEx>
        <w:trPr>
          <w:trHeight w:val="1020" w:hRule="atLeast"/>
          <w:jc w:val="center"/>
        </w:trPr>
        <w:tc>
          <w:tcPr>
            <w:tcW w:w="1544" w:type="dxa"/>
            <w:gridSpan w:val="2"/>
            <w:tcBorders>
              <w:top w:val="single" w:color="auto" w:sz="12" w:space="0"/>
              <w:left w:val="single" w:color="auto" w:sz="12" w:space="0"/>
              <w:bottom w:val="single" w:color="auto" w:sz="12" w:space="0"/>
              <w:right w:val="single" w:color="auto" w:sz="12" w:space="0"/>
            </w:tcBorders>
            <w:shd w:val="clear" w:color="auto" w:fill="auto"/>
            <w:vAlign w:val="center"/>
          </w:tcPr>
          <w:p w14:paraId="3E323B5E">
            <w:pPr>
              <w:keepNext w:val="0"/>
              <w:keepLines w:val="0"/>
              <w:widowControl/>
              <w:suppressLineNumbers w:val="0"/>
              <w:autoSpaceDE w:val="0"/>
              <w:autoSpaceDN/>
              <w:spacing w:before="0" w:beforeAutospacing="0" w:after="0" w:afterAutospacing="0" w:line="300" w:lineRule="exact"/>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2"/>
                <w:sz w:val="21"/>
                <w:szCs w:val="21"/>
                <w:highlight w:val="none"/>
                <w:lang w:val="en-US" w:eastAsia="zh-CN" w:bidi="ar"/>
              </w:rPr>
              <w:t>递交投标文件的截止时间</w:t>
            </w:r>
          </w:p>
        </w:tc>
        <w:tc>
          <w:tcPr>
            <w:tcW w:w="8152" w:type="dxa"/>
            <w:gridSpan w:val="4"/>
            <w:tcBorders>
              <w:top w:val="single" w:color="auto" w:sz="12" w:space="0"/>
              <w:left w:val="single" w:color="auto" w:sz="12" w:space="0"/>
              <w:bottom w:val="single" w:color="auto" w:sz="12" w:space="0"/>
              <w:right w:val="single" w:color="auto" w:sz="12" w:space="0"/>
            </w:tcBorders>
            <w:shd w:val="clear" w:color="auto" w:fill="auto"/>
            <w:vAlign w:val="center"/>
          </w:tcPr>
          <w:p w14:paraId="3C30FE6E">
            <w:pPr>
              <w:keepNext w:val="0"/>
              <w:keepLines w:val="0"/>
              <w:widowControl/>
              <w:suppressLineNumbers w:val="0"/>
              <w:autoSpaceDE w:val="0"/>
              <w:autoSpaceDN/>
              <w:spacing w:before="0" w:beforeAutospacing="0" w:after="0" w:afterAutospacing="0" w:line="440" w:lineRule="exact"/>
              <w:ind w:left="0" w:right="0"/>
              <w:jc w:val="left"/>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bidi="ar"/>
              </w:rPr>
              <w:t>202</w:t>
            </w:r>
            <w:r>
              <w:rPr>
                <w:rFonts w:hint="eastAsia" w:ascii="宋体" w:hAnsi="宋体" w:cs="宋体"/>
                <w:b/>
                <w:bCs/>
                <w:color w:val="auto"/>
                <w:kern w:val="0"/>
                <w:sz w:val="21"/>
                <w:szCs w:val="21"/>
                <w:highlight w:val="none"/>
                <w:lang w:val="en-US" w:eastAsia="zh-CN" w:bidi="ar"/>
              </w:rPr>
              <w:t>5</w:t>
            </w:r>
            <w:r>
              <w:rPr>
                <w:rFonts w:hint="eastAsia" w:ascii="宋体" w:hAnsi="宋体" w:eastAsia="宋体" w:cs="宋体"/>
                <w:b/>
                <w:bCs/>
                <w:color w:val="auto"/>
                <w:kern w:val="0"/>
                <w:sz w:val="21"/>
                <w:szCs w:val="21"/>
                <w:highlight w:val="none"/>
                <w:lang w:val="en-US" w:eastAsia="zh-CN" w:bidi="ar"/>
              </w:rPr>
              <w:t>年</w:t>
            </w:r>
            <w:r>
              <w:rPr>
                <w:rFonts w:hint="eastAsia" w:ascii="宋体" w:hAnsi="宋体" w:cs="宋体"/>
                <w:b/>
                <w:bCs/>
                <w:color w:val="auto"/>
                <w:kern w:val="0"/>
                <w:sz w:val="21"/>
                <w:szCs w:val="21"/>
                <w:highlight w:val="none"/>
                <w:lang w:val="en-US" w:eastAsia="zh-CN" w:bidi="ar"/>
              </w:rPr>
              <w:t>4</w:t>
            </w:r>
            <w:r>
              <w:rPr>
                <w:rFonts w:hint="eastAsia" w:ascii="宋体" w:hAnsi="宋体" w:eastAsia="宋体" w:cs="宋体"/>
                <w:b/>
                <w:bCs/>
                <w:color w:val="auto"/>
                <w:kern w:val="0"/>
                <w:sz w:val="21"/>
                <w:szCs w:val="21"/>
                <w:highlight w:val="none"/>
                <w:lang w:val="en-US" w:eastAsia="zh-CN" w:bidi="ar"/>
              </w:rPr>
              <w:t>月</w:t>
            </w:r>
            <w:r>
              <w:rPr>
                <w:rFonts w:hint="eastAsia" w:ascii="宋体" w:hAnsi="宋体" w:cs="宋体"/>
                <w:b/>
                <w:bCs/>
                <w:color w:val="auto"/>
                <w:kern w:val="0"/>
                <w:sz w:val="21"/>
                <w:szCs w:val="21"/>
                <w:highlight w:val="none"/>
                <w:lang w:val="en-US" w:eastAsia="zh-CN" w:bidi="ar"/>
              </w:rPr>
              <w:t>2</w:t>
            </w:r>
            <w:r>
              <w:rPr>
                <w:rFonts w:hint="eastAsia" w:ascii="宋体" w:hAnsi="宋体" w:eastAsia="宋体" w:cs="宋体"/>
                <w:b/>
                <w:bCs/>
                <w:color w:val="auto"/>
                <w:kern w:val="0"/>
                <w:sz w:val="21"/>
                <w:szCs w:val="21"/>
                <w:highlight w:val="none"/>
                <w:lang w:val="en-US" w:eastAsia="zh-CN" w:bidi="ar"/>
              </w:rPr>
              <w:t>日</w:t>
            </w:r>
            <w:r>
              <w:rPr>
                <w:rFonts w:hint="eastAsia" w:ascii="宋体" w:hAnsi="宋体" w:cs="宋体"/>
                <w:b/>
                <w:bCs/>
                <w:color w:val="auto"/>
                <w:kern w:val="0"/>
                <w:sz w:val="21"/>
                <w:szCs w:val="21"/>
                <w:highlight w:val="none"/>
                <w:lang w:val="en-US" w:eastAsia="zh-CN" w:bidi="ar"/>
              </w:rPr>
              <w:t>15</w:t>
            </w:r>
            <w:r>
              <w:rPr>
                <w:rFonts w:hint="eastAsia" w:ascii="宋体" w:hAnsi="宋体" w:eastAsia="宋体" w:cs="宋体"/>
                <w:b/>
                <w:bCs/>
                <w:color w:val="auto"/>
                <w:kern w:val="0"/>
                <w:sz w:val="21"/>
                <w:szCs w:val="21"/>
                <w:highlight w:val="none"/>
                <w:lang w:val="en-US" w:eastAsia="zh-CN" w:bidi="ar"/>
              </w:rPr>
              <w:t>时</w:t>
            </w:r>
            <w:r>
              <w:rPr>
                <w:rFonts w:hint="eastAsia" w:ascii="宋体" w:hAnsi="宋体" w:cs="宋体"/>
                <w:b/>
                <w:bCs/>
                <w:color w:val="auto"/>
                <w:kern w:val="0"/>
                <w:sz w:val="21"/>
                <w:szCs w:val="21"/>
                <w:highlight w:val="none"/>
                <w:lang w:val="en-US" w:eastAsia="zh-CN" w:bidi="ar"/>
              </w:rPr>
              <w:t>00分</w:t>
            </w:r>
            <w:r>
              <w:rPr>
                <w:rFonts w:hint="eastAsia" w:ascii="宋体" w:hAnsi="宋体" w:eastAsia="宋体" w:cs="宋体"/>
                <w:b/>
                <w:bCs/>
                <w:color w:val="auto"/>
                <w:kern w:val="0"/>
                <w:sz w:val="21"/>
                <w:szCs w:val="21"/>
                <w:highlight w:val="none"/>
                <w:lang w:val="en-US" w:eastAsia="zh-CN" w:bidi="ar"/>
              </w:rPr>
              <w:t>(北京时间)</w:t>
            </w:r>
          </w:p>
        </w:tc>
      </w:tr>
      <w:tr w14:paraId="170D078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clear" w:color="auto" w:fill="auto"/>
          <w:tblCellMar>
            <w:top w:w="0" w:type="dxa"/>
            <w:left w:w="108" w:type="dxa"/>
            <w:bottom w:w="0" w:type="dxa"/>
            <w:right w:w="108" w:type="dxa"/>
          </w:tblCellMar>
        </w:tblPrEx>
        <w:trPr>
          <w:trHeight w:val="1020" w:hRule="atLeast"/>
          <w:jc w:val="center"/>
        </w:trPr>
        <w:tc>
          <w:tcPr>
            <w:tcW w:w="1544" w:type="dxa"/>
            <w:gridSpan w:val="2"/>
            <w:tcBorders>
              <w:top w:val="single" w:color="auto" w:sz="12" w:space="0"/>
              <w:left w:val="single" w:color="auto" w:sz="12" w:space="0"/>
              <w:bottom w:val="single" w:color="auto" w:sz="12" w:space="0"/>
              <w:right w:val="single" w:color="auto" w:sz="12" w:space="0"/>
            </w:tcBorders>
            <w:shd w:val="clear" w:color="auto" w:fill="auto"/>
            <w:vAlign w:val="center"/>
          </w:tcPr>
          <w:p w14:paraId="1E548D56">
            <w:pPr>
              <w:keepNext w:val="0"/>
              <w:keepLines w:val="0"/>
              <w:widowControl/>
              <w:suppressLineNumbers w:val="0"/>
              <w:autoSpaceDE w:val="0"/>
              <w:autoSpaceDN/>
              <w:spacing w:before="0" w:beforeAutospacing="0" w:after="0" w:afterAutospacing="0" w:line="300" w:lineRule="exact"/>
              <w:ind w:left="0" w:right="0"/>
              <w:jc w:val="left"/>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投标文件递交的方式</w:t>
            </w:r>
          </w:p>
        </w:tc>
        <w:tc>
          <w:tcPr>
            <w:tcW w:w="8152" w:type="dxa"/>
            <w:gridSpan w:val="4"/>
            <w:tcBorders>
              <w:top w:val="single" w:color="auto" w:sz="12" w:space="0"/>
              <w:left w:val="single" w:color="auto" w:sz="12" w:space="0"/>
              <w:bottom w:val="single" w:color="auto" w:sz="12" w:space="0"/>
              <w:right w:val="single" w:color="auto" w:sz="12" w:space="0"/>
            </w:tcBorders>
            <w:shd w:val="clear" w:color="auto" w:fill="auto"/>
            <w:vAlign w:val="center"/>
          </w:tcPr>
          <w:p w14:paraId="21CC2F52">
            <w:pPr>
              <w:keepNext w:val="0"/>
              <w:keepLines w:val="0"/>
              <w:widowControl w:val="0"/>
              <w:suppressLineNumbers w:val="0"/>
              <w:wordWrap w:val="0"/>
              <w:autoSpaceDE/>
              <w:autoSpaceDN/>
              <w:spacing w:before="0" w:beforeAutospacing="0" w:after="0" w:afterAutospacing="0" w:line="360" w:lineRule="exact"/>
              <w:ind w:left="0" w:right="0"/>
              <w:jc w:val="left"/>
              <w:outlineLvl w:val="9"/>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b w:val="0"/>
                <w:bCs/>
                <w:color w:val="auto"/>
                <w:szCs w:val="21"/>
                <w:highlight w:val="none"/>
              </w:rPr>
              <w:t>网上</w:t>
            </w:r>
            <w:r>
              <w:rPr>
                <w:rFonts w:hint="eastAsia" w:ascii="宋体" w:hAnsi="宋体" w:cs="宋体"/>
                <w:b w:val="0"/>
                <w:bCs/>
                <w:color w:val="auto"/>
                <w:szCs w:val="21"/>
                <w:highlight w:val="none"/>
                <w:lang w:val="en-US" w:eastAsia="zh-CN"/>
              </w:rPr>
              <w:t>递交</w:t>
            </w:r>
          </w:p>
        </w:tc>
      </w:tr>
      <w:tr w14:paraId="718141A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clear" w:color="auto" w:fill="auto"/>
          <w:tblCellMar>
            <w:top w:w="0" w:type="dxa"/>
            <w:left w:w="108" w:type="dxa"/>
            <w:bottom w:w="0" w:type="dxa"/>
            <w:right w:w="108" w:type="dxa"/>
          </w:tblCellMar>
        </w:tblPrEx>
        <w:trPr>
          <w:trHeight w:val="564" w:hRule="atLeast"/>
          <w:jc w:val="center"/>
        </w:trPr>
        <w:tc>
          <w:tcPr>
            <w:tcW w:w="1544" w:type="dxa"/>
            <w:gridSpan w:val="2"/>
            <w:tcBorders>
              <w:top w:val="single" w:color="auto" w:sz="12" w:space="0"/>
              <w:left w:val="single" w:color="auto" w:sz="12" w:space="0"/>
              <w:bottom w:val="single" w:color="auto" w:sz="12" w:space="0"/>
              <w:right w:val="single" w:color="auto" w:sz="12" w:space="0"/>
            </w:tcBorders>
            <w:shd w:val="clear" w:color="auto" w:fill="auto"/>
            <w:vAlign w:val="center"/>
          </w:tcPr>
          <w:p w14:paraId="1E3E339D">
            <w:pPr>
              <w:keepNext w:val="0"/>
              <w:keepLines w:val="0"/>
              <w:widowControl/>
              <w:suppressLineNumbers w:val="0"/>
              <w:autoSpaceDE w:val="0"/>
              <w:autoSpaceDN/>
              <w:spacing w:before="0" w:beforeAutospacing="0" w:after="0" w:afterAutospacing="0" w:line="300" w:lineRule="exact"/>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2"/>
                <w:sz w:val="21"/>
                <w:szCs w:val="21"/>
                <w:highlight w:val="none"/>
                <w:lang w:val="en-US" w:eastAsia="zh-CN" w:bidi="ar"/>
              </w:rPr>
              <w:t>开标时间</w:t>
            </w:r>
          </w:p>
        </w:tc>
        <w:tc>
          <w:tcPr>
            <w:tcW w:w="8152" w:type="dxa"/>
            <w:gridSpan w:val="4"/>
            <w:tcBorders>
              <w:top w:val="single" w:color="auto" w:sz="12" w:space="0"/>
              <w:left w:val="single" w:color="auto" w:sz="12" w:space="0"/>
              <w:bottom w:val="single" w:color="auto" w:sz="12" w:space="0"/>
              <w:right w:val="single" w:color="auto" w:sz="12" w:space="0"/>
            </w:tcBorders>
            <w:shd w:val="clear" w:color="auto" w:fill="auto"/>
            <w:vAlign w:val="center"/>
          </w:tcPr>
          <w:p w14:paraId="034228CC">
            <w:pPr>
              <w:keepNext w:val="0"/>
              <w:keepLines w:val="0"/>
              <w:widowControl/>
              <w:suppressLineNumbers w:val="0"/>
              <w:autoSpaceDE w:val="0"/>
              <w:autoSpaceDN/>
              <w:spacing w:before="0" w:beforeAutospacing="0" w:after="0" w:afterAutospacing="0" w:line="440" w:lineRule="exact"/>
              <w:ind w:left="0" w:right="0"/>
              <w:jc w:val="left"/>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lang w:val="en-US" w:eastAsia="zh-CN" w:bidi="ar"/>
              </w:rPr>
              <w:t>202</w:t>
            </w:r>
            <w:r>
              <w:rPr>
                <w:rFonts w:hint="eastAsia" w:ascii="宋体" w:hAnsi="宋体" w:cs="宋体"/>
                <w:b/>
                <w:bCs/>
                <w:color w:val="auto"/>
                <w:kern w:val="0"/>
                <w:sz w:val="21"/>
                <w:szCs w:val="21"/>
                <w:highlight w:val="none"/>
                <w:lang w:val="en-US" w:eastAsia="zh-CN" w:bidi="ar"/>
              </w:rPr>
              <w:t>5</w:t>
            </w:r>
            <w:r>
              <w:rPr>
                <w:rFonts w:hint="eastAsia" w:ascii="宋体" w:hAnsi="宋体" w:eastAsia="宋体" w:cs="宋体"/>
                <w:b/>
                <w:bCs/>
                <w:color w:val="auto"/>
                <w:kern w:val="0"/>
                <w:sz w:val="21"/>
                <w:szCs w:val="21"/>
                <w:highlight w:val="none"/>
                <w:lang w:val="en-US" w:eastAsia="zh-CN" w:bidi="ar"/>
              </w:rPr>
              <w:t>年</w:t>
            </w:r>
            <w:r>
              <w:rPr>
                <w:rFonts w:hint="eastAsia" w:ascii="宋体" w:hAnsi="宋体" w:cs="宋体"/>
                <w:b/>
                <w:bCs/>
                <w:color w:val="auto"/>
                <w:kern w:val="0"/>
                <w:sz w:val="21"/>
                <w:szCs w:val="21"/>
                <w:highlight w:val="none"/>
                <w:lang w:val="en-US" w:eastAsia="zh-CN" w:bidi="ar"/>
              </w:rPr>
              <w:t>4</w:t>
            </w:r>
            <w:r>
              <w:rPr>
                <w:rFonts w:hint="eastAsia" w:ascii="宋体" w:hAnsi="宋体" w:eastAsia="宋体" w:cs="宋体"/>
                <w:b/>
                <w:bCs/>
                <w:color w:val="auto"/>
                <w:kern w:val="0"/>
                <w:sz w:val="21"/>
                <w:szCs w:val="21"/>
                <w:highlight w:val="none"/>
                <w:lang w:val="en-US" w:eastAsia="zh-CN" w:bidi="ar"/>
              </w:rPr>
              <w:t>月</w:t>
            </w:r>
            <w:r>
              <w:rPr>
                <w:rFonts w:hint="eastAsia" w:ascii="宋体" w:hAnsi="宋体" w:cs="宋体"/>
                <w:b/>
                <w:bCs/>
                <w:color w:val="auto"/>
                <w:kern w:val="0"/>
                <w:sz w:val="21"/>
                <w:szCs w:val="21"/>
                <w:highlight w:val="none"/>
                <w:lang w:val="en-US" w:eastAsia="zh-CN" w:bidi="ar"/>
              </w:rPr>
              <w:t>2</w:t>
            </w:r>
            <w:r>
              <w:rPr>
                <w:rFonts w:hint="eastAsia" w:ascii="宋体" w:hAnsi="宋体" w:eastAsia="宋体" w:cs="宋体"/>
                <w:b/>
                <w:bCs/>
                <w:color w:val="auto"/>
                <w:kern w:val="0"/>
                <w:sz w:val="21"/>
                <w:szCs w:val="21"/>
                <w:highlight w:val="none"/>
                <w:lang w:val="en-US" w:eastAsia="zh-CN" w:bidi="ar"/>
              </w:rPr>
              <w:t>日</w:t>
            </w:r>
            <w:r>
              <w:rPr>
                <w:rFonts w:hint="eastAsia" w:ascii="宋体" w:hAnsi="宋体" w:cs="宋体"/>
                <w:b/>
                <w:bCs/>
                <w:color w:val="auto"/>
                <w:kern w:val="0"/>
                <w:sz w:val="21"/>
                <w:szCs w:val="21"/>
                <w:highlight w:val="none"/>
                <w:lang w:val="en-US" w:eastAsia="zh-CN" w:bidi="ar"/>
              </w:rPr>
              <w:t>15</w:t>
            </w:r>
            <w:r>
              <w:rPr>
                <w:rFonts w:hint="eastAsia" w:ascii="宋体" w:hAnsi="宋体" w:eastAsia="宋体" w:cs="宋体"/>
                <w:b/>
                <w:bCs/>
                <w:color w:val="auto"/>
                <w:kern w:val="0"/>
                <w:sz w:val="21"/>
                <w:szCs w:val="21"/>
                <w:highlight w:val="none"/>
                <w:lang w:val="en-US" w:eastAsia="zh-CN" w:bidi="ar"/>
              </w:rPr>
              <w:t>时</w:t>
            </w:r>
            <w:r>
              <w:rPr>
                <w:rFonts w:hint="eastAsia" w:ascii="宋体" w:hAnsi="宋体" w:cs="宋体"/>
                <w:b/>
                <w:bCs/>
                <w:color w:val="auto"/>
                <w:kern w:val="0"/>
                <w:sz w:val="21"/>
                <w:szCs w:val="21"/>
                <w:highlight w:val="none"/>
                <w:lang w:val="en-US" w:eastAsia="zh-CN" w:bidi="ar"/>
              </w:rPr>
              <w:t>00分</w:t>
            </w:r>
            <w:r>
              <w:rPr>
                <w:rFonts w:hint="eastAsia" w:ascii="宋体" w:hAnsi="宋体" w:eastAsia="宋体" w:cs="宋体"/>
                <w:b/>
                <w:bCs/>
                <w:color w:val="auto"/>
                <w:kern w:val="0"/>
                <w:sz w:val="21"/>
                <w:szCs w:val="21"/>
                <w:highlight w:val="none"/>
                <w:lang w:val="en-US" w:eastAsia="zh-CN" w:bidi="ar"/>
              </w:rPr>
              <w:t>(北京时间)</w:t>
            </w:r>
          </w:p>
        </w:tc>
      </w:tr>
      <w:tr w14:paraId="35F9601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clear" w:color="auto" w:fill="auto"/>
          <w:tblCellMar>
            <w:top w:w="0" w:type="dxa"/>
            <w:left w:w="108" w:type="dxa"/>
            <w:bottom w:w="0" w:type="dxa"/>
            <w:right w:w="108" w:type="dxa"/>
          </w:tblCellMar>
        </w:tblPrEx>
        <w:trPr>
          <w:trHeight w:val="1333" w:hRule="atLeast"/>
          <w:jc w:val="center"/>
        </w:trPr>
        <w:tc>
          <w:tcPr>
            <w:tcW w:w="1544" w:type="dxa"/>
            <w:gridSpan w:val="2"/>
            <w:tcBorders>
              <w:top w:val="single" w:color="auto" w:sz="12" w:space="0"/>
              <w:left w:val="single" w:color="auto" w:sz="12" w:space="0"/>
              <w:bottom w:val="single" w:color="auto" w:sz="12" w:space="0"/>
              <w:right w:val="single" w:color="auto" w:sz="12" w:space="0"/>
            </w:tcBorders>
            <w:shd w:val="clear" w:color="auto" w:fill="auto"/>
            <w:vAlign w:val="center"/>
          </w:tcPr>
          <w:p w14:paraId="0E18E01C">
            <w:pPr>
              <w:keepNext w:val="0"/>
              <w:keepLines w:val="0"/>
              <w:widowControl/>
              <w:suppressLineNumbers w:val="0"/>
              <w:autoSpaceDE w:val="0"/>
              <w:autoSpaceDN/>
              <w:spacing w:before="0" w:beforeAutospacing="0" w:after="0" w:afterAutospacing="0" w:line="300" w:lineRule="exact"/>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2"/>
                <w:sz w:val="21"/>
                <w:szCs w:val="21"/>
                <w:highlight w:val="none"/>
                <w:lang w:val="en-US" w:eastAsia="zh-CN" w:bidi="ar"/>
              </w:rPr>
              <w:t>开标地点</w:t>
            </w:r>
          </w:p>
        </w:tc>
        <w:tc>
          <w:tcPr>
            <w:tcW w:w="8152" w:type="dxa"/>
            <w:gridSpan w:val="4"/>
            <w:tcBorders>
              <w:top w:val="single" w:color="auto" w:sz="12" w:space="0"/>
              <w:left w:val="single" w:color="auto" w:sz="12" w:space="0"/>
              <w:bottom w:val="single" w:color="auto" w:sz="12" w:space="0"/>
              <w:right w:val="single" w:color="auto" w:sz="12" w:space="0"/>
            </w:tcBorders>
            <w:shd w:val="clear" w:color="auto" w:fill="auto"/>
            <w:vAlign w:val="center"/>
          </w:tcPr>
          <w:p w14:paraId="73A1C32C">
            <w:pPr>
              <w:keepNext w:val="0"/>
              <w:keepLines w:val="0"/>
              <w:widowControl w:val="0"/>
              <w:suppressLineNumbers w:val="0"/>
              <w:wordWrap w:val="0"/>
              <w:autoSpaceDE/>
              <w:autoSpaceDN/>
              <w:spacing w:before="0" w:beforeAutospacing="0" w:after="0" w:afterAutospacing="0" w:line="360" w:lineRule="exact"/>
              <w:ind w:left="0" w:right="0"/>
              <w:jc w:val="left"/>
              <w:outlineLvl w:val="9"/>
              <w:rPr>
                <w:rFonts w:hint="default" w:ascii="宋体" w:hAnsi="宋体" w:eastAsia="宋体" w:cs="宋体"/>
                <w:bCs/>
                <w:color w:val="auto"/>
                <w:kern w:val="2"/>
                <w:sz w:val="21"/>
                <w:szCs w:val="21"/>
                <w:highlight w:val="none"/>
              </w:rPr>
            </w:pPr>
            <w:r>
              <w:rPr>
                <w:rFonts w:hint="eastAsia" w:ascii="宋体" w:hAnsi="宋体" w:eastAsia="宋体" w:cs="宋体"/>
                <w:b w:val="0"/>
                <w:bCs/>
                <w:color w:val="auto"/>
                <w:kern w:val="2"/>
                <w:sz w:val="21"/>
                <w:szCs w:val="21"/>
                <w:highlight w:val="none"/>
              </w:rPr>
              <w:t>网上开标，投标人登录滁州市城投工程咨询有限公司不见面开标系统参与网上开标（网址：http://js.etrading.cn/EpointBidOpening/bidopeninghallaction/hall/login）。</w:t>
            </w:r>
            <w:r>
              <w:rPr>
                <w:rFonts w:hint="eastAsia" w:ascii="宋体" w:hAnsi="宋体" w:eastAsia="宋体" w:cs="宋体"/>
                <w:bCs/>
                <w:color w:val="auto"/>
                <w:kern w:val="2"/>
                <w:sz w:val="21"/>
                <w:szCs w:val="21"/>
                <w:highlight w:val="none"/>
              </w:rPr>
              <w:t> </w:t>
            </w:r>
          </w:p>
        </w:tc>
      </w:tr>
      <w:tr w14:paraId="2D93504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clear" w:color="auto" w:fill="auto"/>
          <w:tblCellMar>
            <w:top w:w="0" w:type="dxa"/>
            <w:left w:w="108" w:type="dxa"/>
            <w:bottom w:w="0" w:type="dxa"/>
            <w:right w:w="108" w:type="dxa"/>
          </w:tblCellMar>
        </w:tblPrEx>
        <w:trPr>
          <w:trHeight w:val="708" w:hRule="atLeast"/>
          <w:jc w:val="center"/>
        </w:trPr>
        <w:tc>
          <w:tcPr>
            <w:tcW w:w="1544" w:type="dxa"/>
            <w:gridSpan w:val="2"/>
            <w:tcBorders>
              <w:top w:val="single" w:color="auto" w:sz="12" w:space="0"/>
              <w:left w:val="single" w:color="auto" w:sz="12" w:space="0"/>
              <w:bottom w:val="single" w:color="auto" w:sz="12" w:space="0"/>
              <w:right w:val="single" w:color="auto" w:sz="12" w:space="0"/>
            </w:tcBorders>
            <w:shd w:val="clear" w:color="auto" w:fill="auto"/>
            <w:vAlign w:val="center"/>
          </w:tcPr>
          <w:p w14:paraId="5334A3CD">
            <w:pPr>
              <w:keepNext w:val="0"/>
              <w:keepLines w:val="0"/>
              <w:widowControl/>
              <w:suppressLineNumbers w:val="0"/>
              <w:autoSpaceDE w:val="0"/>
              <w:autoSpaceDN/>
              <w:spacing w:before="0" w:beforeAutospacing="0" w:after="0" w:afterAutospacing="0" w:line="300" w:lineRule="exact"/>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2"/>
                <w:sz w:val="21"/>
                <w:szCs w:val="21"/>
                <w:highlight w:val="none"/>
                <w:lang w:val="en-US" w:eastAsia="zh-CN" w:bidi="ar"/>
              </w:rPr>
              <w:t>招标文件售价</w:t>
            </w:r>
          </w:p>
        </w:tc>
        <w:tc>
          <w:tcPr>
            <w:tcW w:w="8152" w:type="dxa"/>
            <w:gridSpan w:val="4"/>
            <w:tcBorders>
              <w:top w:val="single" w:color="auto" w:sz="12" w:space="0"/>
              <w:left w:val="single" w:color="auto" w:sz="12" w:space="0"/>
              <w:bottom w:val="single" w:color="auto" w:sz="12" w:space="0"/>
              <w:right w:val="single" w:color="auto" w:sz="12" w:space="0"/>
            </w:tcBorders>
            <w:shd w:val="clear" w:color="auto" w:fill="auto"/>
            <w:vAlign w:val="center"/>
          </w:tcPr>
          <w:p w14:paraId="05AC2F6D">
            <w:pPr>
              <w:keepNext w:val="0"/>
              <w:keepLines w:val="0"/>
              <w:widowControl/>
              <w:suppressLineNumbers w:val="0"/>
              <w:autoSpaceDE w:val="0"/>
              <w:autoSpaceDN/>
              <w:spacing w:before="0" w:beforeAutospacing="0" w:after="0" w:afterAutospacing="0" w:line="440" w:lineRule="exact"/>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0元</w:t>
            </w:r>
          </w:p>
        </w:tc>
      </w:tr>
      <w:tr w14:paraId="501BC6C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clear" w:color="auto" w:fill="auto"/>
          <w:tblCellMar>
            <w:top w:w="0" w:type="dxa"/>
            <w:left w:w="108" w:type="dxa"/>
            <w:bottom w:w="0" w:type="dxa"/>
            <w:right w:w="108" w:type="dxa"/>
          </w:tblCellMar>
        </w:tblPrEx>
        <w:trPr>
          <w:trHeight w:val="618" w:hRule="atLeast"/>
          <w:jc w:val="center"/>
        </w:trPr>
        <w:tc>
          <w:tcPr>
            <w:tcW w:w="9696" w:type="dxa"/>
            <w:gridSpan w:val="6"/>
            <w:tcBorders>
              <w:top w:val="single" w:color="auto" w:sz="12" w:space="0"/>
              <w:left w:val="single" w:color="auto" w:sz="12" w:space="0"/>
              <w:bottom w:val="single" w:color="auto" w:sz="12" w:space="0"/>
              <w:right w:val="single" w:color="auto" w:sz="12" w:space="0"/>
            </w:tcBorders>
            <w:shd w:val="clear" w:color="auto" w:fill="auto"/>
            <w:vAlign w:val="center"/>
          </w:tcPr>
          <w:p w14:paraId="511801FE">
            <w:pPr>
              <w:keepNext w:val="0"/>
              <w:keepLines w:val="0"/>
              <w:widowControl w:val="0"/>
              <w:suppressLineNumbers w:val="0"/>
              <w:autoSpaceDE w:val="0"/>
              <w:autoSpaceDN/>
              <w:spacing w:before="0" w:beforeAutospacing="0" w:after="0" w:afterAutospacing="0" w:line="300" w:lineRule="exact"/>
              <w:ind w:left="0" w:right="0"/>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信  息  内  容</w:t>
            </w:r>
          </w:p>
        </w:tc>
      </w:tr>
      <w:tr w14:paraId="74D2A36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clear" w:color="auto" w:fill="auto"/>
          <w:tblCellMar>
            <w:top w:w="0" w:type="dxa"/>
            <w:left w:w="108" w:type="dxa"/>
            <w:bottom w:w="0" w:type="dxa"/>
            <w:right w:w="108" w:type="dxa"/>
          </w:tblCellMar>
        </w:tblPrEx>
        <w:trPr>
          <w:trHeight w:val="2150" w:hRule="atLeast"/>
          <w:jc w:val="center"/>
        </w:trPr>
        <w:tc>
          <w:tcPr>
            <w:tcW w:w="1494" w:type="dxa"/>
            <w:tcBorders>
              <w:top w:val="single" w:color="auto" w:sz="12" w:space="0"/>
              <w:left w:val="single" w:color="auto" w:sz="12" w:space="0"/>
              <w:bottom w:val="single" w:color="auto" w:sz="12" w:space="0"/>
              <w:right w:val="single" w:color="auto" w:sz="12" w:space="0"/>
            </w:tcBorders>
            <w:shd w:val="clear" w:color="auto" w:fill="auto"/>
            <w:vAlign w:val="center"/>
          </w:tcPr>
          <w:p w14:paraId="1DF97E17">
            <w:pPr>
              <w:keepNext w:val="0"/>
              <w:keepLines w:val="0"/>
              <w:widowControl/>
              <w:suppressLineNumbers w:val="0"/>
              <w:autoSpaceDE w:val="0"/>
              <w:autoSpaceDN/>
              <w:spacing w:before="0" w:beforeAutospacing="0" w:after="0" w:afterAutospacing="0" w:line="440" w:lineRule="exact"/>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工程概况</w:t>
            </w:r>
          </w:p>
        </w:tc>
        <w:tc>
          <w:tcPr>
            <w:tcW w:w="8202" w:type="dxa"/>
            <w:gridSpan w:val="5"/>
            <w:tcBorders>
              <w:top w:val="single" w:color="auto" w:sz="12" w:space="0"/>
              <w:left w:val="single" w:color="auto" w:sz="12" w:space="0"/>
              <w:bottom w:val="single" w:color="auto" w:sz="12" w:space="0"/>
              <w:right w:val="single" w:color="auto" w:sz="12" w:space="0"/>
            </w:tcBorders>
            <w:shd w:val="clear" w:color="auto" w:fill="auto"/>
            <w:vAlign w:val="center"/>
          </w:tcPr>
          <w:p w14:paraId="67188ABA">
            <w:pPr>
              <w:keepNext w:val="0"/>
              <w:keepLines w:val="0"/>
              <w:widowControl/>
              <w:suppressLineNumbers w:val="0"/>
              <w:autoSpaceDE w:val="0"/>
              <w:autoSpaceDN/>
              <w:spacing w:before="0" w:beforeAutospacing="0" w:after="0" w:afterAutospacing="0" w:line="440" w:lineRule="exact"/>
              <w:ind w:left="0" w:right="0"/>
              <w:jc w:val="left"/>
              <w:rPr>
                <w:rFonts w:hint="eastAsia" w:ascii="宋体" w:hAnsi="宋体" w:eastAsia="宋体" w:cs="宋体"/>
                <w:bCs/>
                <w:color w:val="auto"/>
                <w:kern w:val="0"/>
                <w:sz w:val="21"/>
                <w:szCs w:val="21"/>
                <w:highlight w:val="none"/>
              </w:rPr>
            </w:pPr>
            <w:r>
              <w:rPr>
                <w:rFonts w:hint="eastAsia" w:ascii="宋体" w:hAnsi="宋体" w:eastAsia="宋体" w:cs="宋体"/>
                <w:color w:val="auto"/>
                <w:kern w:val="2"/>
                <w:sz w:val="21"/>
                <w:szCs w:val="21"/>
                <w:highlight w:val="none"/>
                <w:lang w:val="en-US" w:eastAsia="zh-CN" w:bidi="ar"/>
              </w:rPr>
              <w:t>项目地为花博园轻轨站停车场和卫校巷停车场、小桥湖停车等</w:t>
            </w:r>
            <w:r>
              <w:rPr>
                <w:rFonts w:hint="eastAsia" w:ascii="宋体" w:hAnsi="宋体" w:cs="宋体"/>
                <w:color w:val="auto"/>
                <w:kern w:val="2"/>
                <w:sz w:val="21"/>
                <w:szCs w:val="21"/>
                <w:highlight w:val="none"/>
                <w:lang w:val="en-US" w:eastAsia="zh-CN" w:bidi="ar"/>
              </w:rPr>
              <w:t>停车场</w:t>
            </w:r>
            <w:r>
              <w:rPr>
                <w:rFonts w:hint="eastAsia" w:ascii="宋体" w:hAnsi="宋体" w:eastAsia="宋体" w:cs="宋体"/>
                <w:color w:val="auto"/>
                <w:kern w:val="2"/>
                <w:sz w:val="21"/>
                <w:szCs w:val="21"/>
                <w:highlight w:val="none"/>
                <w:lang w:val="en-US" w:eastAsia="zh-CN" w:bidi="ar"/>
              </w:rPr>
              <w:t>建设光伏车棚</w:t>
            </w:r>
            <w:r>
              <w:rPr>
                <w:rFonts w:hint="eastAsia" w:ascii="宋体" w:hAnsi="宋体" w:cs="宋体"/>
                <w:color w:val="auto"/>
                <w:kern w:val="2"/>
                <w:sz w:val="21"/>
                <w:szCs w:val="21"/>
                <w:highlight w:val="none"/>
                <w:lang w:val="en-US" w:eastAsia="zh-CN" w:bidi="ar"/>
              </w:rPr>
              <w:t>（具体建设地点、建设容量需经招标人确认）</w:t>
            </w:r>
            <w:r>
              <w:rPr>
                <w:rFonts w:hint="eastAsia" w:ascii="宋体" w:hAnsi="宋体" w:eastAsia="宋体" w:cs="宋体"/>
                <w:color w:val="auto"/>
                <w:kern w:val="2"/>
                <w:sz w:val="21"/>
                <w:szCs w:val="21"/>
                <w:highlight w:val="none"/>
                <w:lang w:val="en-US" w:eastAsia="zh-CN" w:bidi="ar"/>
              </w:rPr>
              <w:t>，项目总装机容量</w:t>
            </w:r>
            <w:r>
              <w:rPr>
                <w:rFonts w:hint="eastAsia" w:ascii="宋体" w:hAnsi="宋体" w:cs="宋体"/>
                <w:color w:val="auto"/>
                <w:kern w:val="2"/>
                <w:sz w:val="21"/>
                <w:szCs w:val="21"/>
                <w:highlight w:val="none"/>
                <w:lang w:val="en-US" w:eastAsia="zh-CN" w:bidi="ar"/>
              </w:rPr>
              <w:t>不超过</w:t>
            </w:r>
            <w:r>
              <w:rPr>
                <w:rFonts w:hint="eastAsia" w:ascii="宋体" w:hAnsi="宋体" w:eastAsia="宋体" w:cs="宋体"/>
                <w:color w:val="auto"/>
                <w:kern w:val="2"/>
                <w:sz w:val="21"/>
                <w:szCs w:val="21"/>
                <w:highlight w:val="none"/>
                <w:lang w:val="en-US" w:eastAsia="zh-CN" w:bidi="ar"/>
              </w:rPr>
              <w:t>1MWp。项目采用低压并网，自发自用、余电上网模式，拟</w:t>
            </w:r>
            <w:r>
              <w:rPr>
                <w:rFonts w:hint="eastAsia" w:ascii="宋体" w:hAnsi="宋体" w:cs="宋体"/>
                <w:color w:val="auto"/>
                <w:kern w:val="2"/>
                <w:sz w:val="21"/>
                <w:szCs w:val="21"/>
                <w:highlight w:val="none"/>
                <w:lang w:val="en-US" w:eastAsia="zh-CN" w:bidi="ar"/>
              </w:rPr>
              <w:t>直流侧</w:t>
            </w:r>
            <w:r>
              <w:rPr>
                <w:rFonts w:hint="eastAsia" w:ascii="宋体" w:hAnsi="宋体" w:eastAsia="宋体" w:cs="宋体"/>
                <w:color w:val="auto"/>
                <w:kern w:val="2"/>
                <w:sz w:val="21"/>
                <w:szCs w:val="21"/>
                <w:highlight w:val="none"/>
                <w:lang w:val="en-US" w:eastAsia="zh-CN" w:bidi="ar"/>
              </w:rPr>
              <w:t>单瓦造价</w:t>
            </w:r>
            <w:r>
              <w:rPr>
                <w:rFonts w:hint="eastAsia" w:ascii="宋体" w:hAnsi="宋体" w:cs="宋体"/>
                <w:color w:val="auto"/>
                <w:kern w:val="2"/>
                <w:sz w:val="21"/>
                <w:szCs w:val="21"/>
                <w:highlight w:val="none"/>
                <w:lang w:val="en-US" w:eastAsia="zh-CN" w:bidi="ar"/>
              </w:rPr>
              <w:t>不超过</w:t>
            </w:r>
            <w:r>
              <w:rPr>
                <w:rFonts w:hint="eastAsia" w:ascii="宋体" w:hAnsi="宋体" w:eastAsia="宋体" w:cs="宋体"/>
                <w:color w:val="auto"/>
                <w:kern w:val="2"/>
                <w:sz w:val="21"/>
                <w:szCs w:val="21"/>
                <w:highlight w:val="none"/>
                <w:lang w:val="en-US" w:eastAsia="zh-CN" w:bidi="ar"/>
              </w:rPr>
              <w:t>3.5元，总投资金额</w:t>
            </w:r>
            <w:r>
              <w:rPr>
                <w:rFonts w:hint="eastAsia" w:ascii="宋体" w:hAnsi="宋体" w:cs="宋体"/>
                <w:color w:val="auto"/>
                <w:kern w:val="2"/>
                <w:sz w:val="21"/>
                <w:szCs w:val="21"/>
                <w:highlight w:val="none"/>
                <w:lang w:val="en-US" w:eastAsia="zh-CN" w:bidi="ar"/>
              </w:rPr>
              <w:t>不超过</w:t>
            </w:r>
            <w:r>
              <w:rPr>
                <w:rFonts w:hint="eastAsia" w:ascii="宋体" w:hAnsi="宋体" w:eastAsia="宋体" w:cs="宋体"/>
                <w:color w:val="auto"/>
                <w:kern w:val="2"/>
                <w:sz w:val="21"/>
                <w:szCs w:val="21"/>
                <w:highlight w:val="none"/>
                <w:lang w:val="en-US" w:eastAsia="zh-CN" w:bidi="ar"/>
              </w:rPr>
              <w:t>350万元。</w:t>
            </w:r>
          </w:p>
        </w:tc>
      </w:tr>
      <w:tr w14:paraId="1B86C73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clear" w:color="auto" w:fill="auto"/>
          <w:tblCellMar>
            <w:top w:w="0" w:type="dxa"/>
            <w:left w:w="108" w:type="dxa"/>
            <w:bottom w:w="0" w:type="dxa"/>
            <w:right w:w="108" w:type="dxa"/>
          </w:tblCellMar>
        </w:tblPrEx>
        <w:trPr>
          <w:trHeight w:val="717" w:hRule="atLeast"/>
          <w:jc w:val="center"/>
        </w:trPr>
        <w:tc>
          <w:tcPr>
            <w:tcW w:w="1494" w:type="dxa"/>
            <w:tcBorders>
              <w:top w:val="single" w:color="auto" w:sz="12" w:space="0"/>
              <w:left w:val="single" w:color="auto" w:sz="12" w:space="0"/>
              <w:bottom w:val="single" w:color="auto" w:sz="12" w:space="0"/>
              <w:right w:val="single" w:color="auto" w:sz="12" w:space="0"/>
            </w:tcBorders>
            <w:shd w:val="clear" w:color="auto" w:fill="auto"/>
            <w:vAlign w:val="center"/>
          </w:tcPr>
          <w:p w14:paraId="61DADA66">
            <w:pPr>
              <w:keepNext w:val="0"/>
              <w:keepLines w:val="0"/>
              <w:widowControl w:val="0"/>
              <w:suppressLineNumbers w:val="0"/>
              <w:autoSpaceDE w:val="0"/>
              <w:autoSpaceDN/>
              <w:spacing w:before="0" w:beforeAutospacing="0" w:after="0" w:afterAutospacing="0" w:line="440" w:lineRule="exact"/>
              <w:ind w:left="0" w:right="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标段划分</w:t>
            </w:r>
          </w:p>
        </w:tc>
        <w:tc>
          <w:tcPr>
            <w:tcW w:w="8202" w:type="dxa"/>
            <w:gridSpan w:val="5"/>
            <w:tcBorders>
              <w:top w:val="single" w:color="auto" w:sz="12" w:space="0"/>
              <w:left w:val="single" w:color="auto" w:sz="12" w:space="0"/>
              <w:bottom w:val="single" w:color="auto" w:sz="12" w:space="0"/>
              <w:right w:val="single" w:color="auto" w:sz="12" w:space="0"/>
            </w:tcBorders>
            <w:shd w:val="clear" w:color="auto" w:fill="auto"/>
            <w:vAlign w:val="center"/>
          </w:tcPr>
          <w:p w14:paraId="1DE66096">
            <w:pPr>
              <w:keepNext w:val="0"/>
              <w:keepLines w:val="0"/>
              <w:widowControl w:val="0"/>
              <w:suppressLineNumbers w:val="0"/>
              <w:autoSpaceDE w:val="0"/>
              <w:autoSpaceDN/>
              <w:spacing w:before="0" w:beforeAutospacing="0" w:after="0" w:afterAutospacing="0" w:line="440" w:lineRule="exact"/>
              <w:ind w:left="0" w:right="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一个标段</w:t>
            </w:r>
          </w:p>
        </w:tc>
      </w:tr>
      <w:tr w14:paraId="51FA51B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clear" w:color="auto" w:fill="auto"/>
          <w:tblCellMar>
            <w:top w:w="0" w:type="dxa"/>
            <w:left w:w="108" w:type="dxa"/>
            <w:bottom w:w="0" w:type="dxa"/>
            <w:right w:w="108" w:type="dxa"/>
          </w:tblCellMar>
        </w:tblPrEx>
        <w:trPr>
          <w:trHeight w:val="717" w:hRule="atLeast"/>
          <w:jc w:val="center"/>
        </w:trPr>
        <w:tc>
          <w:tcPr>
            <w:tcW w:w="1494" w:type="dxa"/>
            <w:tcBorders>
              <w:top w:val="single" w:color="auto" w:sz="12" w:space="0"/>
              <w:left w:val="single" w:color="auto" w:sz="12" w:space="0"/>
              <w:bottom w:val="single" w:color="auto" w:sz="12" w:space="0"/>
              <w:right w:val="single" w:color="auto" w:sz="12" w:space="0"/>
            </w:tcBorders>
            <w:shd w:val="clear" w:color="auto" w:fill="auto"/>
            <w:vAlign w:val="center"/>
          </w:tcPr>
          <w:p w14:paraId="444023C1">
            <w:pPr>
              <w:keepNext w:val="0"/>
              <w:keepLines w:val="0"/>
              <w:widowControl w:val="0"/>
              <w:suppressLineNumbers w:val="0"/>
              <w:autoSpaceDE w:val="0"/>
              <w:autoSpaceDN/>
              <w:spacing w:before="0" w:beforeAutospacing="0" w:after="0" w:afterAutospacing="0" w:line="440" w:lineRule="exact"/>
              <w:ind w:left="0" w:right="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评标办法</w:t>
            </w:r>
          </w:p>
        </w:tc>
        <w:tc>
          <w:tcPr>
            <w:tcW w:w="2637" w:type="dxa"/>
            <w:gridSpan w:val="2"/>
            <w:tcBorders>
              <w:top w:val="single" w:color="auto" w:sz="12" w:space="0"/>
              <w:left w:val="single" w:color="auto" w:sz="12" w:space="0"/>
              <w:bottom w:val="single" w:color="auto" w:sz="12" w:space="0"/>
              <w:right w:val="single" w:color="auto" w:sz="12" w:space="0"/>
            </w:tcBorders>
            <w:shd w:val="clear" w:color="auto" w:fill="auto"/>
            <w:vAlign w:val="center"/>
          </w:tcPr>
          <w:p w14:paraId="65DD6126">
            <w:pPr>
              <w:keepNext w:val="0"/>
              <w:keepLines w:val="0"/>
              <w:widowControl w:val="0"/>
              <w:suppressLineNumbers w:val="0"/>
              <w:autoSpaceDE w:val="0"/>
              <w:autoSpaceDN/>
              <w:spacing w:before="0" w:beforeAutospacing="0" w:after="0" w:afterAutospacing="0" w:line="440" w:lineRule="exact"/>
              <w:ind w:left="0" w:right="0"/>
              <w:jc w:val="left"/>
              <w:rPr>
                <w:rFonts w:hint="eastAsia" w:ascii="宋体" w:hAnsi="宋体" w:eastAsia="宋体" w:cs="宋体"/>
                <w:color w:val="auto"/>
                <w:kern w:val="2"/>
                <w:sz w:val="21"/>
                <w:szCs w:val="21"/>
                <w:highlight w:val="none"/>
              </w:rPr>
            </w:pPr>
            <w:r>
              <w:rPr>
                <w:rFonts w:hint="eastAsia" w:ascii="宋体" w:hAnsi="宋体" w:cs="宋体"/>
                <w:color w:val="auto"/>
                <w:kern w:val="2"/>
                <w:sz w:val="21"/>
                <w:szCs w:val="21"/>
                <w:highlight w:val="none"/>
                <w:lang w:val="en-US" w:eastAsia="zh-CN" w:bidi="ar"/>
              </w:rPr>
              <w:t>综合评估法</w:t>
            </w:r>
          </w:p>
        </w:tc>
        <w:tc>
          <w:tcPr>
            <w:tcW w:w="2463" w:type="dxa"/>
            <w:gridSpan w:val="2"/>
            <w:tcBorders>
              <w:top w:val="single" w:color="auto" w:sz="12" w:space="0"/>
              <w:left w:val="single" w:color="auto" w:sz="12" w:space="0"/>
              <w:bottom w:val="single" w:color="auto" w:sz="12" w:space="0"/>
              <w:right w:val="single" w:color="auto" w:sz="12" w:space="0"/>
            </w:tcBorders>
            <w:shd w:val="clear" w:color="auto" w:fill="auto"/>
            <w:vAlign w:val="center"/>
          </w:tcPr>
          <w:p w14:paraId="1C3AAA58">
            <w:pPr>
              <w:keepNext w:val="0"/>
              <w:keepLines w:val="0"/>
              <w:widowControl w:val="0"/>
              <w:suppressLineNumbers w:val="0"/>
              <w:autoSpaceDE w:val="0"/>
              <w:autoSpaceDN/>
              <w:spacing w:before="0" w:beforeAutospacing="0" w:after="0" w:afterAutospacing="0" w:line="440" w:lineRule="exact"/>
              <w:ind w:left="0" w:right="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0"/>
                <w:sz w:val="21"/>
                <w:szCs w:val="21"/>
                <w:highlight w:val="none"/>
                <w:lang w:val="en-US" w:eastAsia="zh-CN" w:bidi="ar"/>
              </w:rPr>
              <w:t>工程款支付方式</w:t>
            </w:r>
          </w:p>
        </w:tc>
        <w:tc>
          <w:tcPr>
            <w:tcW w:w="3102" w:type="dxa"/>
            <w:tcBorders>
              <w:top w:val="single" w:color="auto" w:sz="12" w:space="0"/>
              <w:left w:val="single" w:color="auto" w:sz="12" w:space="0"/>
              <w:bottom w:val="single" w:color="auto" w:sz="12" w:space="0"/>
              <w:right w:val="single" w:color="auto" w:sz="12" w:space="0"/>
            </w:tcBorders>
            <w:shd w:val="clear" w:color="auto" w:fill="auto"/>
            <w:vAlign w:val="center"/>
          </w:tcPr>
          <w:p w14:paraId="753A0E40">
            <w:pPr>
              <w:keepNext w:val="0"/>
              <w:keepLines w:val="0"/>
              <w:widowControl w:val="0"/>
              <w:suppressLineNumbers w:val="0"/>
              <w:autoSpaceDE w:val="0"/>
              <w:autoSpaceDN/>
              <w:spacing w:before="0" w:beforeAutospacing="0" w:after="0" w:afterAutospacing="0" w:line="440" w:lineRule="exact"/>
              <w:ind w:left="0" w:right="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详见招标文件</w:t>
            </w:r>
          </w:p>
        </w:tc>
      </w:tr>
      <w:tr w14:paraId="3B242DC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clear" w:color="auto" w:fill="auto"/>
          <w:tblCellMar>
            <w:top w:w="0" w:type="dxa"/>
            <w:left w:w="108" w:type="dxa"/>
            <w:bottom w:w="0" w:type="dxa"/>
            <w:right w:w="108" w:type="dxa"/>
          </w:tblCellMar>
        </w:tblPrEx>
        <w:trPr>
          <w:trHeight w:val="717" w:hRule="atLeast"/>
          <w:jc w:val="center"/>
        </w:trPr>
        <w:tc>
          <w:tcPr>
            <w:tcW w:w="1494" w:type="dxa"/>
            <w:tcBorders>
              <w:top w:val="single" w:color="auto" w:sz="12" w:space="0"/>
              <w:left w:val="single" w:color="auto" w:sz="12" w:space="0"/>
              <w:bottom w:val="single" w:color="auto" w:sz="12" w:space="0"/>
              <w:right w:val="single" w:color="auto" w:sz="12" w:space="0"/>
            </w:tcBorders>
            <w:shd w:val="clear" w:color="auto" w:fill="auto"/>
            <w:vAlign w:val="center"/>
          </w:tcPr>
          <w:p w14:paraId="0E85FE6A">
            <w:pPr>
              <w:keepNext w:val="0"/>
              <w:keepLines w:val="0"/>
              <w:widowControl w:val="0"/>
              <w:suppressLineNumbers w:val="0"/>
              <w:autoSpaceDE w:val="0"/>
              <w:autoSpaceDN/>
              <w:spacing w:before="0" w:beforeAutospacing="0" w:after="0" w:afterAutospacing="0" w:line="440" w:lineRule="exact"/>
              <w:ind w:left="0" w:right="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工程概算</w:t>
            </w:r>
          </w:p>
        </w:tc>
        <w:tc>
          <w:tcPr>
            <w:tcW w:w="2637" w:type="dxa"/>
            <w:gridSpan w:val="2"/>
            <w:tcBorders>
              <w:top w:val="single" w:color="auto" w:sz="12" w:space="0"/>
              <w:left w:val="single" w:color="auto" w:sz="12" w:space="0"/>
              <w:bottom w:val="single" w:color="auto" w:sz="12" w:space="0"/>
              <w:right w:val="single" w:color="auto" w:sz="12" w:space="0"/>
            </w:tcBorders>
            <w:shd w:val="clear" w:color="auto" w:fill="auto"/>
            <w:vAlign w:val="center"/>
          </w:tcPr>
          <w:p w14:paraId="0F96134A">
            <w:pPr>
              <w:keepNext w:val="0"/>
              <w:keepLines w:val="0"/>
              <w:widowControl w:val="0"/>
              <w:suppressLineNumbers w:val="0"/>
              <w:autoSpaceDE w:val="0"/>
              <w:autoSpaceDN/>
              <w:spacing w:before="0" w:beforeAutospacing="0" w:after="0" w:afterAutospacing="0" w:line="440" w:lineRule="exact"/>
              <w:ind w:left="0" w:right="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约</w:t>
            </w:r>
            <w:r>
              <w:rPr>
                <w:rFonts w:hint="eastAsia" w:ascii="宋体" w:hAnsi="宋体" w:cs="宋体"/>
                <w:color w:val="auto"/>
                <w:kern w:val="2"/>
                <w:sz w:val="21"/>
                <w:szCs w:val="21"/>
                <w:highlight w:val="none"/>
                <w:lang w:val="en-US" w:eastAsia="zh-CN" w:bidi="ar"/>
              </w:rPr>
              <w:t>350万</w:t>
            </w:r>
            <w:r>
              <w:rPr>
                <w:rFonts w:hint="eastAsia" w:ascii="宋体" w:hAnsi="宋体" w:eastAsia="宋体" w:cs="宋体"/>
                <w:color w:val="auto"/>
                <w:kern w:val="2"/>
                <w:sz w:val="21"/>
                <w:szCs w:val="21"/>
                <w:highlight w:val="none"/>
                <w:lang w:val="en-US" w:eastAsia="zh-CN" w:bidi="ar"/>
              </w:rPr>
              <w:t>元</w:t>
            </w:r>
          </w:p>
        </w:tc>
        <w:tc>
          <w:tcPr>
            <w:tcW w:w="2463" w:type="dxa"/>
            <w:gridSpan w:val="2"/>
            <w:tcBorders>
              <w:top w:val="single" w:color="auto" w:sz="12" w:space="0"/>
              <w:left w:val="single" w:color="auto" w:sz="12" w:space="0"/>
              <w:bottom w:val="single" w:color="auto" w:sz="12" w:space="0"/>
              <w:right w:val="single" w:color="auto" w:sz="12" w:space="0"/>
            </w:tcBorders>
            <w:shd w:val="clear" w:color="auto" w:fill="auto"/>
            <w:vAlign w:val="center"/>
          </w:tcPr>
          <w:p w14:paraId="128A4D7F">
            <w:pPr>
              <w:keepNext w:val="0"/>
              <w:keepLines w:val="0"/>
              <w:widowControl w:val="0"/>
              <w:suppressLineNumbers w:val="0"/>
              <w:autoSpaceDE w:val="0"/>
              <w:autoSpaceDN/>
              <w:spacing w:before="0" w:beforeAutospacing="0" w:after="0" w:afterAutospacing="0" w:line="440" w:lineRule="exact"/>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计划工期</w:t>
            </w:r>
          </w:p>
        </w:tc>
        <w:tc>
          <w:tcPr>
            <w:tcW w:w="3102" w:type="dxa"/>
            <w:tcBorders>
              <w:top w:val="single" w:color="auto" w:sz="12" w:space="0"/>
              <w:left w:val="single" w:color="auto" w:sz="12" w:space="0"/>
              <w:bottom w:val="single" w:color="auto" w:sz="12" w:space="0"/>
              <w:right w:val="single" w:color="auto" w:sz="12" w:space="0"/>
            </w:tcBorders>
            <w:shd w:val="clear" w:color="auto" w:fill="auto"/>
            <w:vAlign w:val="center"/>
          </w:tcPr>
          <w:p w14:paraId="29D0F769">
            <w:pPr>
              <w:keepNext w:val="0"/>
              <w:keepLines w:val="0"/>
              <w:widowControl w:val="0"/>
              <w:suppressLineNumbers w:val="0"/>
              <w:autoSpaceDE w:val="0"/>
              <w:autoSpaceDN/>
              <w:spacing w:before="0" w:beforeAutospacing="0" w:after="0" w:afterAutospacing="0" w:line="440" w:lineRule="exact"/>
              <w:ind w:left="0" w:right="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详见招标文件</w:t>
            </w:r>
          </w:p>
        </w:tc>
      </w:tr>
      <w:tr w14:paraId="2616F63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clear" w:color="auto" w:fill="auto"/>
          <w:tblCellMar>
            <w:top w:w="0" w:type="dxa"/>
            <w:left w:w="108" w:type="dxa"/>
            <w:bottom w:w="0" w:type="dxa"/>
            <w:right w:w="108" w:type="dxa"/>
          </w:tblCellMar>
        </w:tblPrEx>
        <w:trPr>
          <w:trHeight w:val="717" w:hRule="atLeast"/>
          <w:jc w:val="center"/>
        </w:trPr>
        <w:tc>
          <w:tcPr>
            <w:tcW w:w="1494" w:type="dxa"/>
            <w:tcBorders>
              <w:top w:val="single" w:color="auto" w:sz="12" w:space="0"/>
              <w:left w:val="single" w:color="auto" w:sz="12" w:space="0"/>
              <w:bottom w:val="single" w:color="auto" w:sz="12" w:space="0"/>
              <w:right w:val="single" w:color="auto" w:sz="12" w:space="0"/>
            </w:tcBorders>
            <w:shd w:val="clear" w:color="auto" w:fill="auto"/>
            <w:vAlign w:val="center"/>
          </w:tcPr>
          <w:p w14:paraId="564032AB">
            <w:pPr>
              <w:keepNext w:val="0"/>
              <w:keepLines w:val="0"/>
              <w:widowControl w:val="0"/>
              <w:suppressLineNumbers w:val="0"/>
              <w:autoSpaceDE w:val="0"/>
              <w:autoSpaceDN/>
              <w:spacing w:before="0" w:beforeAutospacing="0" w:after="0" w:afterAutospacing="0" w:line="440" w:lineRule="exact"/>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资金来源</w:t>
            </w:r>
          </w:p>
        </w:tc>
        <w:tc>
          <w:tcPr>
            <w:tcW w:w="2637" w:type="dxa"/>
            <w:gridSpan w:val="2"/>
            <w:tcBorders>
              <w:top w:val="single" w:color="auto" w:sz="12" w:space="0"/>
              <w:left w:val="single" w:color="auto" w:sz="12" w:space="0"/>
              <w:bottom w:val="single" w:color="auto" w:sz="12" w:space="0"/>
              <w:right w:val="single" w:color="auto" w:sz="12" w:space="0"/>
            </w:tcBorders>
            <w:shd w:val="clear" w:color="auto" w:fill="auto"/>
            <w:vAlign w:val="center"/>
          </w:tcPr>
          <w:p w14:paraId="4A9F5B11">
            <w:pPr>
              <w:keepNext w:val="0"/>
              <w:keepLines w:val="0"/>
              <w:widowControl w:val="0"/>
              <w:suppressLineNumbers w:val="0"/>
              <w:autoSpaceDE w:val="0"/>
              <w:autoSpaceDN/>
              <w:spacing w:before="0" w:beforeAutospacing="0" w:after="0" w:afterAutospacing="0" w:line="440" w:lineRule="exact"/>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自筹资金</w:t>
            </w:r>
          </w:p>
        </w:tc>
        <w:tc>
          <w:tcPr>
            <w:tcW w:w="2463" w:type="dxa"/>
            <w:gridSpan w:val="2"/>
            <w:tcBorders>
              <w:top w:val="single" w:color="auto" w:sz="12" w:space="0"/>
              <w:left w:val="single" w:color="auto" w:sz="12" w:space="0"/>
              <w:bottom w:val="single" w:color="auto" w:sz="12" w:space="0"/>
              <w:right w:val="single" w:color="auto" w:sz="12" w:space="0"/>
            </w:tcBorders>
            <w:shd w:val="clear" w:color="auto" w:fill="auto"/>
            <w:vAlign w:val="center"/>
          </w:tcPr>
          <w:p w14:paraId="4FD47154">
            <w:pPr>
              <w:keepNext w:val="0"/>
              <w:keepLines w:val="0"/>
              <w:widowControl w:val="0"/>
              <w:suppressLineNumbers w:val="0"/>
              <w:autoSpaceDE w:val="0"/>
              <w:autoSpaceDN/>
              <w:spacing w:before="0" w:beforeAutospacing="0" w:after="0" w:afterAutospacing="0" w:line="440" w:lineRule="exact"/>
              <w:ind w:left="0" w:right="0"/>
              <w:jc w:val="left"/>
              <w:rPr>
                <w:rFonts w:hint="eastAsia" w:ascii="宋体" w:hAnsi="宋体" w:eastAsia="宋体" w:cs="宋体"/>
                <w:color w:val="auto"/>
                <w:spacing w:val="-4"/>
                <w:kern w:val="0"/>
                <w:sz w:val="21"/>
                <w:szCs w:val="21"/>
                <w:highlight w:val="none"/>
              </w:rPr>
            </w:pPr>
            <w:r>
              <w:rPr>
                <w:rFonts w:hint="eastAsia" w:ascii="宋体" w:hAnsi="宋体" w:eastAsia="宋体" w:cs="宋体"/>
                <w:color w:val="auto"/>
                <w:kern w:val="2"/>
                <w:sz w:val="21"/>
                <w:szCs w:val="21"/>
                <w:highlight w:val="none"/>
                <w:lang w:val="en-US" w:eastAsia="zh-CN" w:bidi="ar"/>
              </w:rPr>
              <w:t>招标文件等获取方式</w:t>
            </w:r>
          </w:p>
        </w:tc>
        <w:tc>
          <w:tcPr>
            <w:tcW w:w="3102" w:type="dxa"/>
            <w:tcBorders>
              <w:top w:val="single" w:color="auto" w:sz="12" w:space="0"/>
              <w:left w:val="single" w:color="auto" w:sz="12" w:space="0"/>
              <w:bottom w:val="single" w:color="auto" w:sz="12" w:space="0"/>
              <w:right w:val="single" w:color="auto" w:sz="12" w:space="0"/>
            </w:tcBorders>
            <w:shd w:val="clear" w:color="auto" w:fill="auto"/>
            <w:vAlign w:val="center"/>
          </w:tcPr>
          <w:p w14:paraId="4D931239">
            <w:pPr>
              <w:keepNext w:val="0"/>
              <w:keepLines w:val="0"/>
              <w:widowControl w:val="0"/>
              <w:suppressLineNumbers w:val="0"/>
              <w:autoSpaceDE w:val="0"/>
              <w:autoSpaceDN/>
              <w:spacing w:before="0" w:beforeAutospacing="0" w:after="0" w:afterAutospacing="0" w:line="440" w:lineRule="exact"/>
              <w:ind w:left="0" w:right="0"/>
              <w:jc w:val="left"/>
              <w:rPr>
                <w:rFonts w:hint="eastAsia" w:ascii="宋体" w:hAnsi="宋体" w:eastAsia="宋体" w:cs="宋体"/>
                <w:color w:val="auto"/>
                <w:spacing w:val="-4"/>
                <w:kern w:val="0"/>
                <w:sz w:val="21"/>
                <w:szCs w:val="21"/>
                <w:highlight w:val="none"/>
              </w:rPr>
            </w:pPr>
            <w:r>
              <w:rPr>
                <w:rFonts w:hint="eastAsia" w:ascii="宋体" w:hAnsi="宋体" w:eastAsia="宋体" w:cs="宋体"/>
                <w:color w:val="auto"/>
                <w:kern w:val="2"/>
                <w:sz w:val="21"/>
                <w:szCs w:val="21"/>
                <w:highlight w:val="none"/>
                <w:lang w:val="en-US" w:eastAsia="zh-CN" w:bidi="ar"/>
              </w:rPr>
              <w:t>网上下载</w:t>
            </w:r>
          </w:p>
        </w:tc>
      </w:tr>
      <w:tr w14:paraId="2283936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clear" w:color="auto" w:fill="auto"/>
          <w:tblCellMar>
            <w:top w:w="0" w:type="dxa"/>
            <w:left w:w="108" w:type="dxa"/>
            <w:bottom w:w="0" w:type="dxa"/>
            <w:right w:w="108" w:type="dxa"/>
          </w:tblCellMar>
        </w:tblPrEx>
        <w:trPr>
          <w:trHeight w:val="524" w:hRule="atLeast"/>
          <w:jc w:val="center"/>
        </w:trPr>
        <w:tc>
          <w:tcPr>
            <w:tcW w:w="9696" w:type="dxa"/>
            <w:gridSpan w:val="6"/>
            <w:tcBorders>
              <w:top w:val="single" w:color="auto" w:sz="12" w:space="0"/>
              <w:left w:val="single" w:color="auto" w:sz="12" w:space="0"/>
              <w:bottom w:val="single" w:color="auto" w:sz="12" w:space="0"/>
              <w:right w:val="single" w:color="auto" w:sz="12" w:space="0"/>
            </w:tcBorders>
            <w:shd w:val="clear" w:color="auto" w:fill="auto"/>
            <w:vAlign w:val="center"/>
          </w:tcPr>
          <w:p w14:paraId="56F61A2D">
            <w:pPr>
              <w:keepNext w:val="0"/>
              <w:keepLines w:val="0"/>
              <w:widowControl w:val="0"/>
              <w:suppressLineNumbers w:val="0"/>
              <w:autoSpaceDE w:val="0"/>
              <w:autoSpaceDN/>
              <w:spacing w:before="0" w:beforeAutospacing="0" w:after="0" w:afterAutospacing="0" w:line="440" w:lineRule="exact"/>
              <w:ind w:left="0" w:right="0"/>
              <w:jc w:val="left"/>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是否要求提交投标保证金：要求，投标保证金的金额：</w:t>
            </w:r>
            <w:r>
              <w:rPr>
                <w:rFonts w:hint="eastAsia" w:ascii="宋体" w:hAnsi="宋体" w:cs="宋体"/>
                <w:color w:val="auto"/>
                <w:kern w:val="2"/>
                <w:sz w:val="21"/>
                <w:szCs w:val="21"/>
                <w:highlight w:val="none"/>
                <w:lang w:val="en-US" w:eastAsia="zh-CN" w:bidi="ar"/>
              </w:rPr>
              <w:t>7</w:t>
            </w:r>
            <w:r>
              <w:rPr>
                <w:rFonts w:hint="eastAsia" w:ascii="宋体" w:hAnsi="宋体" w:eastAsia="宋体" w:cs="宋体"/>
                <w:color w:val="auto"/>
                <w:kern w:val="2"/>
                <w:sz w:val="21"/>
                <w:szCs w:val="21"/>
                <w:highlight w:val="none"/>
                <w:lang w:val="en-US" w:eastAsia="zh-CN" w:bidi="ar"/>
              </w:rPr>
              <w:t>万元。</w:t>
            </w:r>
          </w:p>
          <w:p w14:paraId="066BAEF0">
            <w:pPr>
              <w:keepNext w:val="0"/>
              <w:keepLines w:val="0"/>
              <w:widowControl w:val="0"/>
              <w:suppressLineNumbers w:val="0"/>
              <w:autoSpaceDE w:val="0"/>
              <w:autoSpaceDN/>
              <w:spacing w:before="0" w:beforeAutospacing="0" w:after="0" w:afterAutospacing="0" w:line="440" w:lineRule="exact"/>
              <w:ind w:left="0" w:right="0"/>
              <w:jc w:val="left"/>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 xml:space="preserve">投标保证金的形式：☑银行转账 </w:t>
            </w:r>
          </w:p>
          <w:p w14:paraId="6FBF332E">
            <w:pPr>
              <w:keepNext w:val="0"/>
              <w:keepLines w:val="0"/>
              <w:widowControl w:val="0"/>
              <w:suppressLineNumbers w:val="0"/>
              <w:autoSpaceDE w:val="0"/>
              <w:autoSpaceDN/>
              <w:spacing w:before="0" w:beforeAutospacing="0" w:after="0" w:afterAutospacing="0" w:line="440" w:lineRule="exact"/>
              <w:ind w:left="0" w:right="0"/>
              <w:jc w:val="left"/>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投标保证金须投标截止时间前交纳完毕；投标保证金须从投标人基本账户转入以下账户，投标保证金付款人的账户名称必须与投标人名称一致，不接受汇票和结算卡汇入，以资金到账时间为确认保证金交纳完毕时间。</w:t>
            </w:r>
          </w:p>
          <w:p w14:paraId="778A4AFC">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60" w:lineRule="exact"/>
              <w:ind w:left="0" w:right="0"/>
              <w:jc w:val="left"/>
              <w:textAlignment w:val="auto"/>
              <w:rPr>
                <w:rFonts w:hint="default"/>
                <w:color w:val="auto"/>
                <w:highlight w:val="none"/>
              </w:rPr>
            </w:pPr>
            <w:r>
              <w:rPr>
                <w:rFonts w:hint="eastAsia"/>
                <w:color w:val="auto"/>
                <w:highlight w:val="none"/>
              </w:rPr>
              <w:t xml:space="preserve">户  名：滁州市城投工程咨询管理有限公司 </w:t>
            </w:r>
          </w:p>
          <w:p w14:paraId="1F0364BA">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60" w:lineRule="exact"/>
              <w:ind w:left="0" w:right="0"/>
              <w:jc w:val="left"/>
              <w:textAlignment w:val="auto"/>
              <w:rPr>
                <w:rFonts w:hint="default"/>
                <w:color w:val="auto"/>
                <w:highlight w:val="none"/>
              </w:rPr>
            </w:pPr>
            <w:r>
              <w:rPr>
                <w:rFonts w:hint="eastAsia"/>
                <w:color w:val="auto"/>
                <w:highlight w:val="none"/>
              </w:rPr>
              <w:t xml:space="preserve">开户行：中国银行滁州分行营业部 </w:t>
            </w:r>
          </w:p>
          <w:p w14:paraId="25CF5EC5">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60" w:lineRule="exact"/>
              <w:ind w:left="0" w:right="0"/>
              <w:jc w:val="left"/>
              <w:textAlignment w:val="auto"/>
              <w:rPr>
                <w:rFonts w:hint="default"/>
                <w:color w:val="auto"/>
                <w:highlight w:val="none"/>
              </w:rPr>
            </w:pPr>
            <w:r>
              <w:rPr>
                <w:rFonts w:hint="eastAsia"/>
                <w:color w:val="auto"/>
                <w:highlight w:val="none"/>
              </w:rPr>
              <w:t xml:space="preserve">账  号：184256514737 </w:t>
            </w:r>
          </w:p>
          <w:p w14:paraId="58180847">
            <w:pPr>
              <w:keepNext w:val="0"/>
              <w:keepLines w:val="0"/>
              <w:widowControl w:val="0"/>
              <w:suppressLineNumbers w:val="0"/>
              <w:autoSpaceDE w:val="0"/>
              <w:autoSpaceDN/>
              <w:spacing w:before="0" w:beforeAutospacing="0" w:after="0" w:afterAutospacing="0" w:line="440" w:lineRule="exact"/>
              <w:ind w:left="0" w:right="0"/>
              <w:jc w:val="left"/>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保证金到账截止时间同投标文件递交截止时间，交纳保证金时须在交易附言中注明：“</w:t>
            </w:r>
            <w:r>
              <w:rPr>
                <w:rFonts w:hint="eastAsia" w:ascii="宋体" w:hAnsi="宋体" w:cs="宋体"/>
                <w:color w:val="auto"/>
                <w:kern w:val="2"/>
                <w:sz w:val="21"/>
                <w:szCs w:val="21"/>
                <w:highlight w:val="none"/>
                <w:lang w:val="en-US" w:eastAsia="zh-CN" w:bidi="ar"/>
              </w:rPr>
              <w:t>公共停车场光伏车棚项目</w:t>
            </w:r>
            <w:r>
              <w:rPr>
                <w:rFonts w:hint="eastAsia" w:ascii="宋体" w:hAnsi="宋体" w:eastAsia="宋体" w:cs="宋体"/>
                <w:color w:val="auto"/>
                <w:kern w:val="2"/>
                <w:sz w:val="21"/>
                <w:szCs w:val="21"/>
                <w:highlight w:val="none"/>
                <w:lang w:val="en-US" w:eastAsia="zh-CN" w:bidi="ar"/>
              </w:rPr>
              <w:t xml:space="preserve">”投标保证金。 </w:t>
            </w:r>
          </w:p>
          <w:p w14:paraId="4B875A70">
            <w:pPr>
              <w:keepNext w:val="0"/>
              <w:keepLines w:val="0"/>
              <w:widowControl w:val="0"/>
              <w:suppressLineNumbers w:val="0"/>
              <w:autoSpaceDE w:val="0"/>
              <w:autoSpaceDN/>
              <w:spacing w:before="0" w:beforeAutospacing="0" w:after="0" w:afterAutospacing="0" w:line="440" w:lineRule="exact"/>
              <w:ind w:left="0" w:right="0"/>
              <w:jc w:val="left"/>
              <w:rPr>
                <w:rFonts w:hint="eastAsia" w:ascii="宋体" w:hAnsi="宋体" w:eastAsia="宋体" w:cs="宋体"/>
                <w:color w:val="auto"/>
                <w:kern w:val="2"/>
                <w:sz w:val="21"/>
                <w:szCs w:val="21"/>
                <w:highlight w:val="none"/>
                <w:lang w:val="en-US" w:eastAsia="zh-CN" w:bidi="ar"/>
              </w:rPr>
            </w:pPr>
            <w:r>
              <w:rPr>
                <w:rFonts w:hint="eastAsia" w:ascii="宋体" w:hAnsi="宋体" w:eastAsia="宋体" w:cs="宋体"/>
                <w:color w:val="auto"/>
                <w:kern w:val="2"/>
                <w:sz w:val="21"/>
                <w:szCs w:val="21"/>
                <w:highlight w:val="none"/>
                <w:lang w:val="en-US" w:eastAsia="zh-CN" w:bidi="ar"/>
              </w:rPr>
              <w:t>注：各投标人请严格按照招标公告和招标文件载明的银行、账户汇入投标保证金，否则在开标时将无法查询保证金是否到账，导致评标委员会否决其投标！</w:t>
            </w:r>
          </w:p>
          <w:p w14:paraId="3BEC2A69">
            <w:pPr>
              <w:keepNext w:val="0"/>
              <w:keepLines w:val="0"/>
              <w:widowControl w:val="0"/>
              <w:suppressLineNumbers w:val="0"/>
              <w:autoSpaceDE w:val="0"/>
              <w:autoSpaceDN/>
              <w:spacing w:before="0" w:beforeAutospacing="0" w:after="0" w:afterAutospacing="0" w:line="440" w:lineRule="exact"/>
              <w:ind w:left="0" w:right="0"/>
              <w:jc w:val="left"/>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投标保证金退还期限：中标通知书发放后五个工作日内退还未中标单位的投标保证金，签订合同后五个工作日内退还中标单位的投标保证金。</w:t>
            </w:r>
          </w:p>
        </w:tc>
      </w:tr>
      <w:tr w14:paraId="4DCFDCA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clear" w:color="auto" w:fill="auto"/>
          <w:tblCellMar>
            <w:top w:w="0" w:type="dxa"/>
            <w:left w:w="108" w:type="dxa"/>
            <w:bottom w:w="0" w:type="dxa"/>
            <w:right w:w="108" w:type="dxa"/>
          </w:tblCellMar>
        </w:tblPrEx>
        <w:trPr>
          <w:trHeight w:val="1621" w:hRule="atLeast"/>
          <w:jc w:val="center"/>
        </w:trPr>
        <w:tc>
          <w:tcPr>
            <w:tcW w:w="9696" w:type="dxa"/>
            <w:gridSpan w:val="6"/>
            <w:tcBorders>
              <w:top w:val="single" w:color="auto" w:sz="12" w:space="0"/>
              <w:left w:val="single" w:color="auto" w:sz="12" w:space="0"/>
              <w:bottom w:val="single" w:color="auto" w:sz="12" w:space="0"/>
              <w:right w:val="single" w:color="auto" w:sz="12" w:space="0"/>
            </w:tcBorders>
            <w:shd w:val="clear" w:color="auto" w:fill="auto"/>
            <w:vAlign w:val="center"/>
          </w:tcPr>
          <w:p w14:paraId="73DDADEA">
            <w:pPr>
              <w:keepNext w:val="0"/>
              <w:keepLines w:val="0"/>
              <w:widowControl w:val="0"/>
              <w:suppressLineNumbers w:val="0"/>
              <w:autoSpaceDE w:val="0"/>
              <w:autoSpaceDN/>
              <w:spacing w:before="0" w:beforeAutospacing="0" w:after="0" w:afterAutospacing="0" w:line="440" w:lineRule="exact"/>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2"/>
                <w:sz w:val="21"/>
                <w:szCs w:val="21"/>
                <w:highlight w:val="none"/>
                <w:lang w:val="en-US" w:eastAsia="zh-CN" w:bidi="ar"/>
              </w:rPr>
              <w:t>招标文件获取方式：投标人从</w:t>
            </w:r>
            <w:r>
              <w:rPr>
                <w:rFonts w:hint="eastAsia" w:ascii="宋体" w:hAnsi="宋体" w:cs="宋体"/>
                <w:color w:val="auto"/>
                <w:sz w:val="21"/>
                <w:szCs w:val="21"/>
                <w:highlight w:val="none"/>
                <w:lang w:val="en-US" w:eastAsia="zh-CN"/>
              </w:rPr>
              <w:t>滁州扬子工业集团有限公司官网（https://czyzgtjt.com/）、</w:t>
            </w:r>
            <w:r>
              <w:rPr>
                <w:rFonts w:hint="eastAsia" w:ascii="宋体" w:hAnsi="宋体" w:eastAsia="宋体" w:cs="宋体"/>
                <w:i w:val="0"/>
                <w:iCs w:val="0"/>
                <w:caps w:val="0"/>
                <w:color w:val="auto"/>
                <w:spacing w:val="0"/>
                <w:sz w:val="21"/>
                <w:szCs w:val="21"/>
                <w:highlight w:val="none"/>
                <w:shd w:val="clear"/>
              </w:rPr>
              <w:t>中国扬子集团官网（http://www.yangzigroup.cn）</w:t>
            </w:r>
            <w:r>
              <w:rPr>
                <w:rFonts w:hint="eastAsia" w:ascii="宋体" w:hAnsi="宋体" w:eastAsia="宋体" w:cs="宋体"/>
                <w:i w:val="0"/>
                <w:iCs w:val="0"/>
                <w:caps w:val="0"/>
                <w:color w:val="auto"/>
                <w:spacing w:val="0"/>
                <w:sz w:val="21"/>
                <w:szCs w:val="21"/>
                <w:highlight w:val="none"/>
                <w:shd w:val="clear"/>
                <w:lang w:eastAsia="zh-CN"/>
              </w:rPr>
              <w:t>、</w:t>
            </w:r>
            <w:r>
              <w:rPr>
                <w:rFonts w:hint="eastAsia" w:ascii="宋体" w:hAnsi="宋体" w:cs="宋体"/>
                <w:color w:val="auto"/>
                <w:sz w:val="21"/>
                <w:szCs w:val="21"/>
                <w:highlight w:val="none"/>
                <w:lang w:val="en-US" w:eastAsia="zh-CN"/>
              </w:rPr>
              <w:t>滁州市城投工程咨询管理有限公司官网（https://www.czctgczx.com/）</w:t>
            </w:r>
            <w:r>
              <w:rPr>
                <w:rFonts w:hint="eastAsia" w:ascii="宋体" w:hAnsi="宋体" w:eastAsia="宋体" w:cs="宋体"/>
                <w:color w:val="auto"/>
                <w:kern w:val="2"/>
                <w:sz w:val="21"/>
                <w:szCs w:val="21"/>
                <w:highlight w:val="none"/>
                <w:lang w:val="en-US" w:eastAsia="zh-CN" w:bidi="ar"/>
              </w:rPr>
              <w:t>下载。</w:t>
            </w:r>
          </w:p>
        </w:tc>
      </w:tr>
      <w:tr w14:paraId="6346B8E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clear" w:color="auto" w:fill="auto"/>
          <w:tblCellMar>
            <w:top w:w="0" w:type="dxa"/>
            <w:left w:w="108" w:type="dxa"/>
            <w:bottom w:w="0" w:type="dxa"/>
            <w:right w:w="108" w:type="dxa"/>
          </w:tblCellMar>
        </w:tblPrEx>
        <w:trPr>
          <w:trHeight w:val="559" w:hRule="atLeast"/>
          <w:jc w:val="center"/>
        </w:trPr>
        <w:tc>
          <w:tcPr>
            <w:tcW w:w="9696" w:type="dxa"/>
            <w:gridSpan w:val="6"/>
            <w:tcBorders>
              <w:top w:val="single" w:color="auto" w:sz="12" w:space="0"/>
              <w:left w:val="single" w:color="auto" w:sz="12" w:space="0"/>
              <w:bottom w:val="single" w:color="auto" w:sz="12" w:space="0"/>
              <w:right w:val="single" w:color="auto" w:sz="12" w:space="0"/>
            </w:tcBorders>
            <w:shd w:val="clear" w:color="auto" w:fill="auto"/>
            <w:vAlign w:val="center"/>
          </w:tcPr>
          <w:p w14:paraId="6C7A9099">
            <w:pPr>
              <w:keepNext w:val="0"/>
              <w:keepLines w:val="0"/>
              <w:widowControl w:val="0"/>
              <w:suppressLineNumbers w:val="0"/>
              <w:autoSpaceDE w:val="0"/>
              <w:autoSpaceDN/>
              <w:spacing w:before="0" w:beforeAutospacing="0" w:after="0" w:afterAutospacing="0" w:line="440" w:lineRule="exact"/>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招标文件获取时间：</w:t>
            </w:r>
            <w:r>
              <w:rPr>
                <w:rFonts w:hint="eastAsia" w:ascii="宋体" w:hAnsi="宋体" w:eastAsia="宋体" w:cs="宋体"/>
                <w:b/>
                <w:bCs/>
                <w:color w:val="auto"/>
                <w:kern w:val="0"/>
                <w:sz w:val="21"/>
                <w:szCs w:val="21"/>
                <w:highlight w:val="none"/>
                <w:lang w:val="en-US" w:eastAsia="zh-CN" w:bidi="ar"/>
              </w:rPr>
              <w:t>202</w:t>
            </w:r>
            <w:r>
              <w:rPr>
                <w:rFonts w:hint="eastAsia" w:ascii="宋体" w:hAnsi="宋体" w:cs="宋体"/>
                <w:b/>
                <w:bCs/>
                <w:color w:val="auto"/>
                <w:kern w:val="0"/>
                <w:sz w:val="21"/>
                <w:szCs w:val="21"/>
                <w:highlight w:val="none"/>
                <w:lang w:val="en-US" w:eastAsia="zh-CN" w:bidi="ar"/>
              </w:rPr>
              <w:t>5</w:t>
            </w:r>
            <w:r>
              <w:rPr>
                <w:rFonts w:hint="eastAsia" w:ascii="宋体" w:hAnsi="宋体" w:eastAsia="宋体" w:cs="宋体"/>
                <w:b/>
                <w:bCs/>
                <w:color w:val="auto"/>
                <w:kern w:val="0"/>
                <w:sz w:val="21"/>
                <w:szCs w:val="21"/>
                <w:highlight w:val="none"/>
                <w:lang w:val="en-US" w:eastAsia="zh-CN" w:bidi="ar"/>
              </w:rPr>
              <w:t>年</w:t>
            </w:r>
            <w:r>
              <w:rPr>
                <w:rFonts w:hint="eastAsia" w:ascii="宋体" w:hAnsi="宋体" w:cs="宋体"/>
                <w:b/>
                <w:bCs/>
                <w:color w:val="auto"/>
                <w:kern w:val="0"/>
                <w:sz w:val="21"/>
                <w:szCs w:val="21"/>
                <w:highlight w:val="none"/>
                <w:lang w:val="en-US" w:eastAsia="zh-CN" w:bidi="ar"/>
              </w:rPr>
              <w:t>3</w:t>
            </w:r>
            <w:r>
              <w:rPr>
                <w:rFonts w:hint="eastAsia" w:ascii="宋体" w:hAnsi="宋体" w:eastAsia="宋体" w:cs="宋体"/>
                <w:b/>
                <w:bCs/>
                <w:color w:val="auto"/>
                <w:kern w:val="0"/>
                <w:sz w:val="21"/>
                <w:szCs w:val="21"/>
                <w:highlight w:val="none"/>
                <w:lang w:val="en-US" w:eastAsia="zh-CN" w:bidi="ar"/>
              </w:rPr>
              <w:t>月</w:t>
            </w:r>
            <w:r>
              <w:rPr>
                <w:rFonts w:hint="eastAsia" w:ascii="宋体" w:hAnsi="宋体" w:cs="宋体"/>
                <w:b/>
                <w:bCs/>
                <w:color w:val="auto"/>
                <w:kern w:val="0"/>
                <w:sz w:val="21"/>
                <w:szCs w:val="21"/>
                <w:highlight w:val="none"/>
                <w:lang w:val="en-US" w:eastAsia="zh-CN" w:bidi="ar"/>
              </w:rPr>
              <w:t>12</w:t>
            </w:r>
            <w:r>
              <w:rPr>
                <w:rFonts w:hint="eastAsia" w:ascii="宋体" w:hAnsi="宋体" w:eastAsia="宋体" w:cs="宋体"/>
                <w:b/>
                <w:bCs/>
                <w:color w:val="auto"/>
                <w:kern w:val="0"/>
                <w:sz w:val="21"/>
                <w:szCs w:val="21"/>
                <w:highlight w:val="none"/>
                <w:lang w:val="en-US" w:eastAsia="zh-CN" w:bidi="ar"/>
              </w:rPr>
              <w:t>日17时后</w:t>
            </w:r>
            <w:r>
              <w:rPr>
                <w:rFonts w:hint="eastAsia" w:ascii="宋体" w:hAnsi="宋体" w:eastAsia="宋体" w:cs="宋体"/>
                <w:color w:val="auto"/>
                <w:kern w:val="0"/>
                <w:sz w:val="21"/>
                <w:szCs w:val="21"/>
                <w:highlight w:val="none"/>
                <w:lang w:val="en-US" w:eastAsia="zh-CN" w:bidi="ar"/>
              </w:rPr>
              <w:t>，如投标人不及时下载招标文件，造成后果由投标人自负。</w:t>
            </w:r>
          </w:p>
        </w:tc>
      </w:tr>
      <w:tr w14:paraId="6AC7D5E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clear" w:color="auto" w:fill="auto"/>
          <w:tblCellMar>
            <w:top w:w="0" w:type="dxa"/>
            <w:left w:w="108" w:type="dxa"/>
            <w:bottom w:w="0" w:type="dxa"/>
            <w:right w:w="108" w:type="dxa"/>
          </w:tblCellMar>
        </w:tblPrEx>
        <w:trPr>
          <w:trHeight w:val="2372" w:hRule="atLeast"/>
          <w:jc w:val="center"/>
        </w:trPr>
        <w:tc>
          <w:tcPr>
            <w:tcW w:w="4639" w:type="dxa"/>
            <w:gridSpan w:val="4"/>
            <w:tcBorders>
              <w:top w:val="single" w:color="auto" w:sz="12" w:space="0"/>
              <w:left w:val="single" w:color="auto" w:sz="12" w:space="0"/>
              <w:bottom w:val="single" w:color="auto" w:sz="12" w:space="0"/>
              <w:right w:val="single" w:color="auto" w:sz="12" w:space="0"/>
            </w:tcBorders>
            <w:shd w:val="clear" w:color="auto" w:fill="auto"/>
            <w:vAlign w:val="center"/>
          </w:tcPr>
          <w:p w14:paraId="7E7C3048">
            <w:pPr>
              <w:keepNext w:val="0"/>
              <w:keepLines w:val="0"/>
              <w:widowControl/>
              <w:suppressLineNumbers w:val="0"/>
              <w:autoSpaceDE w:val="0"/>
              <w:autoSpaceDN/>
              <w:spacing w:before="0" w:beforeAutospacing="0" w:after="0" w:afterAutospacing="0" w:line="440" w:lineRule="exact"/>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招标人名称：</w:t>
            </w:r>
            <w:r>
              <w:rPr>
                <w:rFonts w:hint="eastAsia" w:ascii="宋体" w:hAnsi="宋体" w:eastAsia="宋体" w:cs="宋体"/>
                <w:color w:val="auto"/>
                <w:szCs w:val="21"/>
                <w:highlight w:val="none"/>
                <w:lang w:eastAsia="zh-CN"/>
              </w:rPr>
              <w:t>滁州工投新能源开发有限公司</w:t>
            </w:r>
          </w:p>
          <w:p w14:paraId="5024F6B3">
            <w:pPr>
              <w:keepNext w:val="0"/>
              <w:keepLines w:val="0"/>
              <w:widowControl/>
              <w:suppressLineNumbers w:val="0"/>
              <w:autoSpaceDE w:val="0"/>
              <w:autoSpaceDN/>
              <w:spacing w:before="0" w:beforeAutospacing="0" w:after="0" w:afterAutospacing="0" w:line="440" w:lineRule="exact"/>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地址：</w:t>
            </w:r>
            <w:r>
              <w:rPr>
                <w:rFonts w:hint="eastAsia" w:ascii="宋体" w:hAnsi="宋体" w:eastAsia="宋体" w:cs="宋体"/>
                <w:color w:val="auto"/>
                <w:szCs w:val="21"/>
                <w:highlight w:val="none"/>
                <w:lang w:eastAsia="zh-CN"/>
              </w:rPr>
              <w:t>滁州市中都大道城投大厦13楼</w:t>
            </w:r>
          </w:p>
          <w:p w14:paraId="3CBFC626">
            <w:pPr>
              <w:keepNext w:val="0"/>
              <w:keepLines w:val="0"/>
              <w:widowControl/>
              <w:suppressLineNumbers w:val="0"/>
              <w:autoSpaceDE w:val="0"/>
              <w:autoSpaceDN/>
              <w:spacing w:before="0" w:beforeAutospacing="0" w:after="0" w:afterAutospacing="0" w:line="440" w:lineRule="exact"/>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联 系 人：</w:t>
            </w:r>
            <w:r>
              <w:rPr>
                <w:rFonts w:hint="eastAsia" w:ascii="宋体" w:hAnsi="宋体" w:eastAsia="宋体" w:cs="宋体"/>
                <w:color w:val="auto"/>
                <w:szCs w:val="21"/>
                <w:highlight w:val="none"/>
                <w:lang w:eastAsia="zh-CN"/>
              </w:rPr>
              <w:t>王春奇</w:t>
            </w:r>
          </w:p>
          <w:p w14:paraId="30BF5D58">
            <w:pPr>
              <w:keepNext w:val="0"/>
              <w:keepLines w:val="0"/>
              <w:widowControl/>
              <w:suppressLineNumbers w:val="0"/>
              <w:autoSpaceDE w:val="0"/>
              <w:autoSpaceDN/>
              <w:spacing w:before="0" w:beforeAutospacing="0" w:after="0" w:afterAutospacing="0" w:line="440" w:lineRule="exact"/>
              <w:ind w:left="0" w:right="0"/>
              <w:jc w:val="left"/>
              <w:rPr>
                <w:rFonts w:hint="eastAsia" w:ascii="宋体" w:hAnsi="宋体" w:cs="宋体"/>
                <w:color w:val="auto"/>
                <w:szCs w:val="21"/>
                <w:highlight w:val="none"/>
                <w:lang w:val="en-US" w:eastAsia="zh-CN"/>
              </w:rPr>
            </w:pPr>
            <w:r>
              <w:rPr>
                <w:rFonts w:hint="eastAsia" w:ascii="宋体" w:hAnsi="宋体" w:eastAsia="宋体" w:cs="宋体"/>
                <w:color w:val="auto"/>
                <w:kern w:val="0"/>
                <w:sz w:val="21"/>
                <w:szCs w:val="21"/>
                <w:highlight w:val="none"/>
                <w:lang w:val="en-US" w:eastAsia="zh-CN" w:bidi="ar"/>
              </w:rPr>
              <w:t>联系方式：</w:t>
            </w:r>
            <w:r>
              <w:rPr>
                <w:rFonts w:hint="eastAsia" w:ascii="宋体" w:hAnsi="宋体" w:eastAsia="宋体" w:cs="宋体"/>
                <w:color w:val="auto"/>
                <w:szCs w:val="21"/>
                <w:highlight w:val="none"/>
                <w:lang w:eastAsia="zh-CN"/>
              </w:rPr>
              <w:t>0550-3018358</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18155087750</w:t>
            </w:r>
          </w:p>
          <w:p w14:paraId="40B46DB6">
            <w:pPr>
              <w:keepNext w:val="0"/>
              <w:keepLines w:val="0"/>
              <w:widowControl/>
              <w:suppressLineNumbers w:val="0"/>
              <w:autoSpaceDE w:val="0"/>
              <w:autoSpaceDN/>
              <w:spacing w:before="0" w:beforeAutospacing="0" w:after="0" w:afterAutospacing="0" w:line="440" w:lineRule="exact"/>
              <w:ind w:left="0" w:right="0"/>
              <w:jc w:val="left"/>
              <w:rPr>
                <w:rFonts w:hint="default" w:ascii="宋体" w:hAnsi="宋体" w:cs="宋体"/>
                <w:color w:val="auto"/>
                <w:szCs w:val="21"/>
                <w:highlight w:val="none"/>
                <w:lang w:val="en-US" w:eastAsia="zh-CN"/>
              </w:rPr>
            </w:pPr>
            <w:r>
              <w:rPr>
                <w:rFonts w:hint="default" w:ascii="宋体" w:hAnsi="宋体" w:cs="宋体"/>
                <w:color w:val="auto"/>
                <w:szCs w:val="21"/>
                <w:highlight w:val="none"/>
                <w:lang w:val="en-US" w:eastAsia="zh-CN"/>
              </w:rPr>
              <w:t>监督电话：0550-3017855</w:t>
            </w:r>
          </w:p>
        </w:tc>
        <w:tc>
          <w:tcPr>
            <w:tcW w:w="5057" w:type="dxa"/>
            <w:gridSpan w:val="2"/>
            <w:tcBorders>
              <w:top w:val="single" w:color="auto" w:sz="12" w:space="0"/>
              <w:left w:val="single" w:color="auto" w:sz="12" w:space="0"/>
              <w:bottom w:val="single" w:color="auto" w:sz="12" w:space="0"/>
              <w:right w:val="single" w:color="auto" w:sz="12" w:space="0"/>
            </w:tcBorders>
            <w:shd w:val="clear" w:color="auto" w:fill="auto"/>
            <w:vAlign w:val="center"/>
          </w:tcPr>
          <w:p w14:paraId="4740A3D1">
            <w:pPr>
              <w:keepNext w:val="0"/>
              <w:keepLines w:val="0"/>
              <w:widowControl/>
              <w:suppressLineNumbers w:val="0"/>
              <w:autoSpaceDE w:val="0"/>
              <w:autoSpaceDN/>
              <w:spacing w:before="0" w:beforeAutospacing="0" w:after="0" w:afterAutospacing="0" w:line="440" w:lineRule="exact"/>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招标代理机构名称：滁州市城投工程咨询管理有限公司</w:t>
            </w:r>
          </w:p>
          <w:p w14:paraId="50FC84BA">
            <w:pPr>
              <w:keepNext w:val="0"/>
              <w:keepLines w:val="0"/>
              <w:widowControl/>
              <w:suppressLineNumbers w:val="0"/>
              <w:autoSpaceDE w:val="0"/>
              <w:autoSpaceDN/>
              <w:spacing w:before="0" w:beforeAutospacing="0" w:after="0" w:afterAutospacing="0" w:line="440" w:lineRule="exact"/>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地址：滁州市龙蟠大道109号房产商务大厦6楼</w:t>
            </w:r>
          </w:p>
          <w:p w14:paraId="27E9FD13">
            <w:pPr>
              <w:keepNext w:val="0"/>
              <w:keepLines w:val="0"/>
              <w:widowControl/>
              <w:suppressLineNumbers w:val="0"/>
              <w:autoSpaceDE w:val="0"/>
              <w:autoSpaceDN/>
              <w:spacing w:before="0" w:beforeAutospacing="0" w:after="0" w:afterAutospacing="0" w:line="440" w:lineRule="exact"/>
              <w:ind w:left="0" w:right="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联系人：</w:t>
            </w:r>
            <w:r>
              <w:rPr>
                <w:rFonts w:hint="eastAsia" w:ascii="宋体" w:hAnsi="宋体" w:cs="宋体"/>
                <w:color w:val="auto"/>
                <w:kern w:val="0"/>
                <w:sz w:val="21"/>
                <w:szCs w:val="21"/>
                <w:highlight w:val="none"/>
                <w:lang w:val="en-US" w:eastAsia="zh-CN" w:bidi="ar"/>
              </w:rPr>
              <w:t>王芳</w:t>
            </w:r>
          </w:p>
          <w:p w14:paraId="754C14F8">
            <w:pPr>
              <w:keepNext w:val="0"/>
              <w:keepLines w:val="0"/>
              <w:widowControl/>
              <w:suppressLineNumbers w:val="0"/>
              <w:autoSpaceDE w:val="0"/>
              <w:autoSpaceDN/>
              <w:spacing w:before="0" w:beforeAutospacing="0" w:after="0" w:afterAutospacing="0" w:line="440" w:lineRule="exact"/>
              <w:ind w:left="0" w:right="0"/>
              <w:jc w:val="left"/>
              <w:rPr>
                <w:rFonts w:hint="default" w:ascii="宋体" w:hAnsi="宋体" w:eastAsia="宋体" w:cs="宋体"/>
                <w:color w:val="auto"/>
                <w:kern w:val="0"/>
                <w:sz w:val="21"/>
                <w:szCs w:val="21"/>
                <w:highlight w:val="none"/>
                <w:u w:val="single"/>
                <w:lang w:val="en-US"/>
              </w:rPr>
            </w:pPr>
            <w:r>
              <w:rPr>
                <w:rFonts w:hint="eastAsia" w:ascii="宋体" w:hAnsi="宋体" w:eastAsia="宋体" w:cs="宋体"/>
                <w:color w:val="auto"/>
                <w:kern w:val="0"/>
                <w:sz w:val="21"/>
                <w:szCs w:val="21"/>
                <w:highlight w:val="none"/>
                <w:lang w:val="en-US" w:eastAsia="zh-CN" w:bidi="ar"/>
              </w:rPr>
              <w:t>联系方式：0550-35195</w:t>
            </w:r>
            <w:r>
              <w:rPr>
                <w:rFonts w:hint="eastAsia" w:ascii="宋体" w:hAnsi="宋体" w:cs="宋体"/>
                <w:color w:val="auto"/>
                <w:kern w:val="0"/>
                <w:sz w:val="21"/>
                <w:szCs w:val="21"/>
                <w:highlight w:val="none"/>
                <w:lang w:val="en-US" w:eastAsia="zh-CN" w:bidi="ar"/>
              </w:rPr>
              <w:t>19、18955055067</w:t>
            </w:r>
          </w:p>
        </w:tc>
      </w:tr>
      <w:tr w14:paraId="3738E34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clear" w:color="auto" w:fill="auto"/>
          <w:tblCellMar>
            <w:top w:w="0" w:type="dxa"/>
            <w:left w:w="108" w:type="dxa"/>
            <w:bottom w:w="0" w:type="dxa"/>
            <w:right w:w="108" w:type="dxa"/>
          </w:tblCellMar>
        </w:tblPrEx>
        <w:trPr>
          <w:trHeight w:val="1302" w:hRule="atLeast"/>
          <w:jc w:val="center"/>
        </w:trPr>
        <w:tc>
          <w:tcPr>
            <w:tcW w:w="9696" w:type="dxa"/>
            <w:gridSpan w:val="6"/>
            <w:tcBorders>
              <w:top w:val="single" w:color="auto" w:sz="12" w:space="0"/>
              <w:left w:val="single" w:color="auto" w:sz="12" w:space="0"/>
              <w:bottom w:val="single" w:color="auto" w:sz="12" w:space="0"/>
              <w:right w:val="single" w:color="auto" w:sz="12" w:space="0"/>
            </w:tcBorders>
            <w:shd w:val="clear" w:color="auto" w:fill="auto"/>
            <w:vAlign w:val="center"/>
          </w:tcPr>
          <w:p w14:paraId="128DE919">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exact"/>
              <w:ind w:right="0"/>
              <w:jc w:val="left"/>
              <w:textAlignment w:val="auto"/>
              <w:outlineLvl w:val="9"/>
              <w:rPr>
                <w:rFonts w:hint="default" w:ascii="宋体" w:hAnsi="宋体" w:eastAsia="宋体" w:cs="宋体"/>
                <w:b/>
                <w:color w:val="auto"/>
                <w:szCs w:val="21"/>
                <w:highlight w:val="none"/>
                <w:lang w:val="en-US" w:eastAsia="zh-CN" w:bidi="ar"/>
              </w:rPr>
            </w:pPr>
            <w:r>
              <w:rPr>
                <w:rFonts w:hint="eastAsia" w:ascii="宋体" w:hAnsi="宋体" w:eastAsia="宋体" w:cs="宋体"/>
                <w:b/>
                <w:color w:val="auto"/>
                <w:szCs w:val="21"/>
                <w:highlight w:val="none"/>
                <w:lang w:val="en-US" w:eastAsia="zh-CN" w:bidi="ar"/>
              </w:rPr>
              <w:t>其他补充事宜：</w:t>
            </w:r>
          </w:p>
          <w:p w14:paraId="616DFDEB">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exact"/>
              <w:ind w:left="0" w:leftChars="0" w:right="0" w:firstLine="420" w:firstLineChars="200"/>
              <w:jc w:val="left"/>
              <w:textAlignment w:val="auto"/>
              <w:outlineLvl w:val="9"/>
              <w:rPr>
                <w:rFonts w:hint="eastAsia" w:ascii="宋体" w:hAnsi="宋体" w:eastAsia="宋体" w:cs="宋体"/>
                <w:color w:val="auto"/>
                <w:szCs w:val="21"/>
                <w:highlight w:val="none"/>
              </w:rPr>
            </w:pPr>
            <w:bookmarkStart w:id="880" w:name="_GoBack"/>
            <w:r>
              <w:rPr>
                <w:rFonts w:hint="eastAsia" w:ascii="宋体" w:hAnsi="宋体" w:eastAsia="宋体" w:cs="宋体"/>
                <w:color w:val="auto"/>
                <w:szCs w:val="21"/>
                <w:highlight w:val="none"/>
              </w:rPr>
              <w:t>1.投标人从滁州市城投工程咨询管理有限公司（https://www.czctgczx.com/）</w:t>
            </w:r>
            <w:r>
              <w:rPr>
                <w:rFonts w:hint="eastAsia" w:ascii="宋体" w:hAnsi="宋体" w:eastAsia="宋体" w:cs="宋体"/>
                <w:color w:val="auto"/>
                <w:szCs w:val="21"/>
                <w:highlight w:val="none"/>
                <w:lang w:eastAsia="zh-CN"/>
              </w:rPr>
              <w:t>、</w:t>
            </w:r>
            <w:r>
              <w:rPr>
                <w:rFonts w:hint="eastAsia" w:ascii="宋体" w:hAnsi="宋体" w:cs="宋体"/>
                <w:color w:val="auto"/>
                <w:sz w:val="21"/>
                <w:szCs w:val="21"/>
                <w:highlight w:val="none"/>
                <w:lang w:val="en-US" w:eastAsia="zh-CN"/>
              </w:rPr>
              <w:t>滁州扬子工业集团有限公司官网（https://czyzgtjt.com/）、</w:t>
            </w:r>
            <w:r>
              <w:rPr>
                <w:rFonts w:hint="eastAsia" w:ascii="宋体" w:hAnsi="宋体" w:eastAsia="宋体" w:cs="宋体"/>
                <w:i w:val="0"/>
                <w:iCs w:val="0"/>
                <w:caps w:val="0"/>
                <w:color w:val="auto"/>
                <w:spacing w:val="0"/>
                <w:sz w:val="21"/>
                <w:szCs w:val="21"/>
                <w:highlight w:val="none"/>
                <w:shd w:val="clear"/>
              </w:rPr>
              <w:t>中国扬子集团官网（http://www.yangzigroup.cn）</w:t>
            </w:r>
            <w:r>
              <w:rPr>
                <w:rFonts w:hint="eastAsia" w:ascii="宋体" w:hAnsi="宋体" w:eastAsia="宋体" w:cs="宋体"/>
                <w:color w:val="auto"/>
                <w:szCs w:val="21"/>
                <w:highlight w:val="none"/>
              </w:rPr>
              <w:t>下载。</w:t>
            </w:r>
          </w:p>
          <w:p w14:paraId="3AD2BDC1">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exact"/>
              <w:ind w:left="0" w:leftChars="0" w:right="0" w:firstLine="420" w:firstLineChars="200"/>
              <w:jc w:val="left"/>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投标人自行承担因未按要求获取招标文件导致无法上传电子投标文件的风险。</w:t>
            </w:r>
          </w:p>
          <w:p w14:paraId="17462E7B">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exact"/>
              <w:ind w:left="0" w:leftChars="0" w:right="0" w:firstLine="420" w:firstLineChars="200"/>
              <w:jc w:val="left"/>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方式：（1）投标人须登录新点电子交易平台【滁州专区】查询、获取采购文件。首次登录办理入库手续，办理入库不收取任何费用。新点电子招投标统一认证平台使用相关问题（如系统登录、信息登记、录入及提交、数字证书关联等）请拨打服务电话：4009280095-5（工作日）。  </w:t>
            </w:r>
          </w:p>
          <w:p w14:paraId="3C19FED1">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exact"/>
              <w:ind w:left="0" w:leftChars="0" w:right="0" w:firstLine="420" w:firstLineChars="200"/>
              <w:jc w:val="left"/>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（2）投标人登录新点电子交易平台【滁州专区】获取招标文件及其它资料（含澄清和补充说明等）。如在招标文件获取过程中遇到系统问题，请拨打技术支持服务热线 4009280095或者网站首页在线客服。</w:t>
            </w:r>
          </w:p>
          <w:p w14:paraId="3407E0C3">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exact"/>
              <w:ind w:left="0" w:leftChars="0" w:right="0" w:firstLine="420" w:firstLineChars="200"/>
              <w:jc w:val="left"/>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2、招标文件及相关资料售价：人民币0元/套（含清单控制价、图纸及澄清答疑文件）</w:t>
            </w:r>
          </w:p>
          <w:p w14:paraId="130D93E7">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exact"/>
              <w:ind w:left="0" w:leftChars="0" w:right="0" w:firstLine="420" w:firstLineChars="200"/>
              <w:jc w:val="left"/>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3、本项目开评标实行全流程电子化，开标活动在线完成。开标时投标人无需到达开标现场，不接受现场解密，实行远程解密和在线询标。各投标人认真学习《新点电子交易平台投标人操作手册》，务必掌握远程解密方法和在线回复询标方法。</w:t>
            </w:r>
          </w:p>
          <w:p w14:paraId="04CCBD6F">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exact"/>
              <w:ind w:left="0" w:leftChars="0" w:right="0" w:firstLine="420" w:firstLineChars="200"/>
              <w:jc w:val="left"/>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4、本项目采用不见面开标，投标人登录滁州市城投工程咨询有限公司不见面开标系统参与网上开标（网址：http://js.etrading.cn/EpointBidOpening/bidopeninghallaction/hall/login）。</w:t>
            </w:r>
          </w:p>
          <w:p w14:paraId="622DF817">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exact"/>
              <w:ind w:left="0" w:leftChars="0" w:right="0" w:firstLine="420" w:firstLineChars="200"/>
              <w:jc w:val="left"/>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投标人应在投标截止时间之前，登陆新点电子交易平台【滁州专区】上传投标文件</w:t>
            </w:r>
          </w:p>
          <w:p w14:paraId="628180BC">
            <w:pPr>
              <w:keepNext w:val="0"/>
              <w:keepLines w:val="0"/>
              <w:pageBreakBefore w:val="0"/>
              <w:widowControl/>
              <w:numPr>
                <w:ilvl w:val="-1"/>
                <w:numId w:val="0"/>
              </w:numPr>
              <w:suppressLineNumbers w:val="0"/>
              <w:kinsoku/>
              <w:wordWrap w:val="0"/>
              <w:overflowPunct/>
              <w:topLinePunct w:val="0"/>
              <w:autoSpaceDE/>
              <w:autoSpaceDN/>
              <w:bidi w:val="0"/>
              <w:adjustRightInd/>
              <w:snapToGrid/>
              <w:spacing w:before="0" w:beforeAutospacing="0" w:after="0" w:afterAutospacing="0" w:line="360" w:lineRule="exact"/>
              <w:ind w:left="0" w:leftChars="0" w:right="0" w:firstLine="420" w:firstLineChars="200"/>
              <w:jc w:val="left"/>
              <w:textAlignment w:val="auto"/>
              <w:outlineLvl w:val="9"/>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rPr>
              <w:t>本项目仅接受加密电子投标文件投标人在投标截止时间前通过新点电子交易平台后在【滁州专区】（https://www.etrading.cn/BREpointSSO/login/oauth2login?regioncode=DQ_ChuZhou）交易系统递交电子投标文件。</w:t>
            </w:r>
          </w:p>
          <w:p w14:paraId="2B7BDFEC">
            <w:pPr>
              <w:keepNext w:val="0"/>
              <w:keepLines w:val="0"/>
              <w:numPr>
                <w:ilvl w:val="-1"/>
                <w:numId w:val="0"/>
              </w:numPr>
              <w:suppressLineNumbers w:val="0"/>
              <w:kinsoku/>
              <w:wordWrap w:val="0"/>
              <w:overflowPunct/>
              <w:bidi w:val="0"/>
              <w:adjustRightInd/>
              <w:snapToGrid/>
              <w:spacing w:before="0" w:beforeAutospacing="0" w:after="0" w:afterAutospacing="0" w:line="360" w:lineRule="exact"/>
              <w:ind w:left="0" w:leftChars="0" w:right="0" w:firstLine="420" w:firstLineChars="200"/>
              <w:jc w:val="left"/>
              <w:outlineLvl w:val="9"/>
              <w:rPr>
                <w:rFonts w:hint="default" w:ascii="宋体" w:hAnsi="宋体" w:eastAsia="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6、</w:t>
            </w:r>
            <w:r>
              <w:rPr>
                <w:rFonts w:hint="eastAsia" w:ascii="宋体" w:hAnsi="宋体" w:eastAsia="宋体" w:cs="宋体"/>
                <w:b w:val="0"/>
                <w:bCs w:val="0"/>
                <w:color w:val="auto"/>
                <w:sz w:val="21"/>
                <w:szCs w:val="21"/>
                <w:highlight w:val="none"/>
                <w:lang w:val="en-US" w:eastAsia="zh-CN"/>
              </w:rPr>
              <w:t>投标文件制作软件下载：</w:t>
            </w:r>
          </w:p>
          <w:p w14:paraId="71153CD2">
            <w:pPr>
              <w:keepNext w:val="0"/>
              <w:keepLines w:val="0"/>
              <w:widowControl/>
              <w:numPr>
                <w:ilvl w:val="0"/>
                <w:numId w:val="0"/>
              </w:numPr>
              <w:suppressLineNumbers w:val="0"/>
              <w:wordWrap w:val="0"/>
              <w:autoSpaceDE/>
              <w:autoSpaceDN/>
              <w:spacing w:before="0" w:beforeAutospacing="0" w:after="0" w:afterAutospacing="0" w:line="360" w:lineRule="exact"/>
              <w:ind w:left="0" w:leftChars="0" w:right="0" w:firstLine="420" w:firstLineChars="200"/>
              <w:jc w:val="left"/>
              <w:outlineLvl w:val="9"/>
              <w:rPr>
                <w:rFonts w:hint="eastAsia" w:ascii="宋体" w:hAnsi="宋体" w:eastAsia="宋体" w:cs="宋体"/>
                <w:b/>
                <w:bCs w:val="0"/>
                <w:color w:val="auto"/>
                <w:kern w:val="2"/>
                <w:sz w:val="21"/>
                <w:szCs w:val="21"/>
                <w:highlight w:val="none"/>
                <w:lang w:val="en-US" w:eastAsia="zh-CN" w:bidi="ar"/>
              </w:rPr>
            </w:pPr>
            <w:r>
              <w:rPr>
                <w:rFonts w:hint="eastAsia" w:ascii="宋体" w:hAnsi="宋体" w:eastAsia="宋体" w:cs="宋体"/>
                <w:b w:val="0"/>
                <w:bCs w:val="0"/>
                <w:color w:val="auto"/>
                <w:sz w:val="21"/>
                <w:szCs w:val="21"/>
                <w:highlight w:val="none"/>
              </w:rPr>
              <w:t>https://download.bqpoint.com/download/downloaddetail.html?SourceFrom=Ztb&amp;ZtbSoftXiaQuCode=0128&amp;ZtbSoftType=tballinclusive</w:t>
            </w:r>
            <w:bookmarkEnd w:id="880"/>
          </w:p>
        </w:tc>
      </w:tr>
    </w:tbl>
    <w:p w14:paraId="20ED5DF6">
      <w:pPr>
        <w:pStyle w:val="43"/>
        <w:spacing w:beforeLines="50" w:afterLines="50" w:line="440" w:lineRule="exact"/>
        <w:rPr>
          <w:bCs/>
          <w:color w:val="auto"/>
          <w:szCs w:val="32"/>
          <w:highlight w:val="none"/>
        </w:rPr>
      </w:pPr>
      <w:r>
        <w:rPr>
          <w:rFonts w:hint="eastAsia"/>
          <w:bCs/>
          <w:color w:val="auto"/>
          <w:szCs w:val="32"/>
          <w:highlight w:val="none"/>
        </w:rPr>
        <w:br w:type="page"/>
      </w:r>
      <w:bookmarkStart w:id="37" w:name="_Toc8980"/>
      <w:bookmarkStart w:id="38" w:name="_Toc18989"/>
      <w:bookmarkStart w:id="39" w:name="_Toc22947"/>
      <w:r>
        <w:rPr>
          <w:rFonts w:hint="eastAsia"/>
          <w:bCs/>
          <w:color w:val="auto"/>
          <w:szCs w:val="32"/>
          <w:highlight w:val="none"/>
        </w:rPr>
        <w:t>第一章  投标人须知</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4945A819">
      <w:pPr>
        <w:spacing w:beforeLines="50" w:afterLines="50" w:line="440" w:lineRule="exact"/>
        <w:jc w:val="center"/>
        <w:rPr>
          <w:b/>
          <w:bCs/>
          <w:color w:val="auto"/>
          <w:sz w:val="28"/>
          <w:szCs w:val="28"/>
          <w:highlight w:val="none"/>
        </w:rPr>
      </w:pPr>
      <w:bookmarkStart w:id="40" w:name="_Toc152042304"/>
      <w:bookmarkStart w:id="41" w:name="_Toc247085688"/>
      <w:bookmarkStart w:id="42" w:name="_Toc179632545"/>
      <w:bookmarkStart w:id="43" w:name="_Toc35424884"/>
      <w:bookmarkStart w:id="44" w:name="_Toc246996917"/>
      <w:bookmarkStart w:id="45" w:name="_Toc35425051"/>
      <w:bookmarkStart w:id="46" w:name="_Toc15058845"/>
      <w:bookmarkStart w:id="47" w:name="_Toc144974496"/>
      <w:bookmarkStart w:id="48" w:name="_Toc324404814"/>
      <w:bookmarkStart w:id="49" w:name="_Toc246996174"/>
      <w:bookmarkStart w:id="50" w:name="_Toc152045528"/>
      <w:bookmarkStart w:id="51" w:name="_Toc506107268"/>
      <w:r>
        <w:rPr>
          <w:rFonts w:hint="eastAsia"/>
          <w:b/>
          <w:bCs/>
          <w:color w:val="auto"/>
          <w:sz w:val="28"/>
          <w:szCs w:val="28"/>
          <w:highlight w:val="none"/>
        </w:rPr>
        <w:t>投标人须知前附表</w:t>
      </w:r>
      <w:bookmarkEnd w:id="40"/>
      <w:bookmarkEnd w:id="41"/>
      <w:bookmarkEnd w:id="42"/>
      <w:bookmarkEnd w:id="43"/>
      <w:bookmarkEnd w:id="44"/>
      <w:bookmarkEnd w:id="45"/>
      <w:bookmarkEnd w:id="46"/>
      <w:bookmarkEnd w:id="47"/>
      <w:bookmarkEnd w:id="48"/>
      <w:bookmarkEnd w:id="49"/>
      <w:bookmarkEnd w:id="50"/>
      <w:bookmarkEnd w:id="51"/>
    </w:p>
    <w:tbl>
      <w:tblPr>
        <w:tblStyle w:val="46"/>
        <w:tblW w:w="9914" w:type="dxa"/>
        <w:jc w:val="center"/>
        <w:tblLayout w:type="fixed"/>
        <w:tblCellMar>
          <w:top w:w="0" w:type="dxa"/>
          <w:left w:w="108" w:type="dxa"/>
          <w:bottom w:w="0" w:type="dxa"/>
          <w:right w:w="108" w:type="dxa"/>
        </w:tblCellMar>
      </w:tblPr>
      <w:tblGrid>
        <w:gridCol w:w="868"/>
        <w:gridCol w:w="910"/>
        <w:gridCol w:w="1299"/>
        <w:gridCol w:w="6837"/>
      </w:tblGrid>
      <w:tr w14:paraId="00ABEB92">
        <w:tblPrEx>
          <w:tblCellMar>
            <w:top w:w="0" w:type="dxa"/>
            <w:left w:w="108" w:type="dxa"/>
            <w:bottom w:w="0" w:type="dxa"/>
            <w:right w:w="108" w:type="dxa"/>
          </w:tblCellMar>
        </w:tblPrEx>
        <w:trPr>
          <w:trHeight w:val="520" w:hRule="atLeast"/>
          <w:jc w:val="center"/>
        </w:trPr>
        <w:tc>
          <w:tcPr>
            <w:tcW w:w="868" w:type="dxa"/>
            <w:tcBorders>
              <w:top w:val="single" w:color="auto" w:sz="4" w:space="0"/>
              <w:left w:val="single" w:color="auto" w:sz="4" w:space="0"/>
              <w:bottom w:val="single" w:color="auto" w:sz="4" w:space="0"/>
              <w:right w:val="single" w:color="auto" w:sz="4" w:space="0"/>
            </w:tcBorders>
            <w:noWrap/>
            <w:vAlign w:val="center"/>
          </w:tcPr>
          <w:p w14:paraId="4FCCBA1D">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b/>
                <w:color w:val="auto"/>
                <w:szCs w:val="21"/>
                <w:highlight w:val="none"/>
              </w:rPr>
            </w:pPr>
            <w:bookmarkStart w:id="52" w:name="_Toc246996918"/>
            <w:bookmarkStart w:id="53" w:name="_Toc506107269"/>
            <w:bookmarkStart w:id="54" w:name="_Toc247085689"/>
            <w:bookmarkStart w:id="55" w:name="_Toc246996175"/>
            <w:bookmarkStart w:id="56" w:name="_Toc324404815"/>
            <w:bookmarkStart w:id="57" w:name="_Toc152045529"/>
            <w:bookmarkStart w:id="58" w:name="_Toc144974497"/>
            <w:bookmarkStart w:id="59" w:name="_Toc152042305"/>
            <w:bookmarkStart w:id="60" w:name="_Toc179632546"/>
            <w:r>
              <w:rPr>
                <w:rFonts w:hint="eastAsia" w:ascii="宋体" w:hAnsi="宋体" w:cs="宋体"/>
                <w:b/>
                <w:color w:val="auto"/>
                <w:szCs w:val="21"/>
                <w:highlight w:val="none"/>
              </w:rPr>
              <w:t>序号</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5F4CC990">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b/>
                <w:color w:val="auto"/>
                <w:szCs w:val="21"/>
                <w:highlight w:val="none"/>
              </w:rPr>
            </w:pPr>
            <w:r>
              <w:rPr>
                <w:rFonts w:hint="eastAsia" w:ascii="宋体" w:hAnsi="宋体" w:cs="宋体"/>
                <w:b/>
                <w:color w:val="auto"/>
                <w:szCs w:val="21"/>
                <w:highlight w:val="none"/>
              </w:rPr>
              <w:t>条  款  名  称</w:t>
            </w:r>
          </w:p>
        </w:tc>
        <w:tc>
          <w:tcPr>
            <w:tcW w:w="6837" w:type="dxa"/>
            <w:tcBorders>
              <w:top w:val="single" w:color="auto" w:sz="4" w:space="0"/>
              <w:left w:val="single" w:color="auto" w:sz="4" w:space="0"/>
              <w:bottom w:val="single" w:color="auto" w:sz="4" w:space="0"/>
              <w:right w:val="single" w:color="auto" w:sz="4" w:space="0"/>
            </w:tcBorders>
            <w:noWrap/>
            <w:vAlign w:val="center"/>
          </w:tcPr>
          <w:p w14:paraId="0F7CCADB">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b/>
                <w:color w:val="auto"/>
                <w:szCs w:val="21"/>
                <w:highlight w:val="none"/>
              </w:rPr>
            </w:pPr>
            <w:r>
              <w:rPr>
                <w:rFonts w:hint="eastAsia" w:ascii="宋体" w:hAnsi="宋体" w:cs="宋体"/>
                <w:b/>
                <w:color w:val="auto"/>
                <w:szCs w:val="21"/>
                <w:highlight w:val="none"/>
              </w:rPr>
              <w:t>编  列  内  容</w:t>
            </w:r>
          </w:p>
        </w:tc>
      </w:tr>
      <w:tr w14:paraId="45485E28">
        <w:tblPrEx>
          <w:tblCellMar>
            <w:top w:w="0" w:type="dxa"/>
            <w:left w:w="108" w:type="dxa"/>
            <w:bottom w:w="0" w:type="dxa"/>
            <w:right w:w="108" w:type="dxa"/>
          </w:tblCellMar>
        </w:tblPrEx>
        <w:trPr>
          <w:jc w:val="center"/>
        </w:trPr>
        <w:tc>
          <w:tcPr>
            <w:tcW w:w="868" w:type="dxa"/>
            <w:tcBorders>
              <w:top w:val="single" w:color="auto" w:sz="4" w:space="0"/>
              <w:left w:val="single" w:color="auto" w:sz="4" w:space="0"/>
              <w:bottom w:val="single" w:color="auto" w:sz="4" w:space="0"/>
              <w:right w:val="single" w:color="auto" w:sz="4" w:space="0"/>
            </w:tcBorders>
            <w:noWrap/>
            <w:vAlign w:val="center"/>
          </w:tcPr>
          <w:p w14:paraId="7E343002">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1</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7BCA8682">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招标人</w:t>
            </w:r>
          </w:p>
        </w:tc>
        <w:tc>
          <w:tcPr>
            <w:tcW w:w="6837" w:type="dxa"/>
            <w:tcBorders>
              <w:top w:val="single" w:color="auto" w:sz="4" w:space="0"/>
              <w:left w:val="single" w:color="auto" w:sz="4" w:space="0"/>
              <w:bottom w:val="single" w:color="auto" w:sz="4" w:space="0"/>
              <w:right w:val="single" w:color="auto" w:sz="4" w:space="0"/>
            </w:tcBorders>
            <w:noWrap/>
            <w:vAlign w:val="center"/>
          </w:tcPr>
          <w:p w14:paraId="5F2E7314">
            <w:pPr>
              <w:keepNext w:val="0"/>
              <w:keepLines w:val="0"/>
              <w:pageBreakBefore w:val="0"/>
              <w:suppressLineNumbers w:val="0"/>
              <w:kinsoku/>
              <w:wordWrap/>
              <w:overflowPunct/>
              <w:autoSpaceDN/>
              <w:bidi w:val="0"/>
              <w:adjustRightInd w:val="0"/>
              <w:snapToGrid w:val="0"/>
              <w:spacing w:before="0" w:beforeAutospacing="0" w:after="0" w:afterAutospacing="0" w:line="440" w:lineRule="exact"/>
              <w:ind w:left="0" w:right="0"/>
              <w:jc w:val="left"/>
              <w:textAlignment w:val="auto"/>
              <w:rPr>
                <w:rFonts w:hint="eastAsia" w:eastAsia="宋体"/>
                <w:color w:val="auto"/>
                <w:kern w:val="2"/>
                <w:sz w:val="21"/>
                <w:szCs w:val="21"/>
                <w:highlight w:val="none"/>
                <w:lang w:eastAsia="zh-CN"/>
              </w:rPr>
            </w:pPr>
            <w:r>
              <w:rPr>
                <w:rFonts w:hint="eastAsia" w:ascii="宋体" w:hAnsi="宋体" w:eastAsia="宋体" w:cs="宋体"/>
                <w:color w:val="auto"/>
                <w:kern w:val="0"/>
                <w:szCs w:val="21"/>
                <w:highlight w:val="none"/>
              </w:rPr>
              <w:t>详见招标公告</w:t>
            </w:r>
          </w:p>
        </w:tc>
      </w:tr>
      <w:tr w14:paraId="285827A1">
        <w:tblPrEx>
          <w:tblCellMar>
            <w:top w:w="0" w:type="dxa"/>
            <w:left w:w="108" w:type="dxa"/>
            <w:bottom w:w="0" w:type="dxa"/>
            <w:right w:w="108" w:type="dxa"/>
          </w:tblCellMar>
        </w:tblPrEx>
        <w:trPr>
          <w:jc w:val="center"/>
        </w:trPr>
        <w:tc>
          <w:tcPr>
            <w:tcW w:w="868" w:type="dxa"/>
            <w:tcBorders>
              <w:top w:val="single" w:color="auto" w:sz="4" w:space="0"/>
              <w:left w:val="single" w:color="auto" w:sz="4" w:space="0"/>
              <w:bottom w:val="single" w:color="auto" w:sz="4" w:space="0"/>
              <w:right w:val="single" w:color="auto" w:sz="4" w:space="0"/>
            </w:tcBorders>
            <w:noWrap/>
            <w:vAlign w:val="center"/>
          </w:tcPr>
          <w:p w14:paraId="4B3C6BE2">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2</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36F2E5C9">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招标代理机构</w:t>
            </w:r>
          </w:p>
        </w:tc>
        <w:tc>
          <w:tcPr>
            <w:tcW w:w="6837" w:type="dxa"/>
            <w:tcBorders>
              <w:top w:val="single" w:color="auto" w:sz="4" w:space="0"/>
              <w:left w:val="single" w:color="auto" w:sz="4" w:space="0"/>
              <w:bottom w:val="single" w:color="auto" w:sz="4" w:space="0"/>
              <w:right w:val="single" w:color="auto" w:sz="4" w:space="0"/>
            </w:tcBorders>
            <w:noWrap/>
            <w:vAlign w:val="center"/>
          </w:tcPr>
          <w:p w14:paraId="3F9D4C35">
            <w:pPr>
              <w:keepNext w:val="0"/>
              <w:keepLines w:val="0"/>
              <w:pageBreakBefore w:val="0"/>
              <w:suppressLineNumbers w:val="0"/>
              <w:kinsoku/>
              <w:wordWrap/>
              <w:overflowPunct/>
              <w:autoSpaceDN/>
              <w:bidi w:val="0"/>
              <w:adjustRightInd w:val="0"/>
              <w:snapToGrid w:val="0"/>
              <w:spacing w:before="0" w:beforeAutospacing="0" w:after="0" w:afterAutospacing="0" w:line="440" w:lineRule="exact"/>
              <w:ind w:left="0" w:right="0"/>
              <w:textAlignment w:val="auto"/>
              <w:rPr>
                <w:rFonts w:hint="default" w:ascii="宋体" w:hAnsi="宋体" w:eastAsia="宋体" w:cs="宋体"/>
                <w:color w:val="auto"/>
                <w:szCs w:val="21"/>
                <w:highlight w:val="none"/>
                <w:lang w:val="en-US" w:eastAsia="zh-CN"/>
              </w:rPr>
            </w:pPr>
            <w:r>
              <w:rPr>
                <w:rFonts w:hint="eastAsia" w:ascii="宋体" w:hAnsi="宋体" w:eastAsia="宋体" w:cs="宋体"/>
                <w:color w:val="auto"/>
                <w:kern w:val="0"/>
                <w:szCs w:val="21"/>
                <w:highlight w:val="none"/>
              </w:rPr>
              <w:t>详见招标公告</w:t>
            </w:r>
          </w:p>
        </w:tc>
      </w:tr>
      <w:tr w14:paraId="6A1AAD41">
        <w:tblPrEx>
          <w:tblCellMar>
            <w:top w:w="0" w:type="dxa"/>
            <w:left w:w="108" w:type="dxa"/>
            <w:bottom w:w="0" w:type="dxa"/>
            <w:right w:w="108" w:type="dxa"/>
          </w:tblCellMar>
        </w:tblPrEx>
        <w:trPr>
          <w:trHeight w:val="520" w:hRule="atLeast"/>
          <w:jc w:val="center"/>
        </w:trPr>
        <w:tc>
          <w:tcPr>
            <w:tcW w:w="868" w:type="dxa"/>
            <w:tcBorders>
              <w:top w:val="single" w:color="auto" w:sz="4" w:space="0"/>
              <w:left w:val="single" w:color="auto" w:sz="4" w:space="0"/>
              <w:bottom w:val="single" w:color="auto" w:sz="4" w:space="0"/>
              <w:right w:val="single" w:color="auto" w:sz="4" w:space="0"/>
            </w:tcBorders>
            <w:noWrap/>
            <w:vAlign w:val="center"/>
          </w:tcPr>
          <w:p w14:paraId="68FAD99F">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3</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75473A31">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项目名称</w:t>
            </w:r>
          </w:p>
        </w:tc>
        <w:tc>
          <w:tcPr>
            <w:tcW w:w="6837" w:type="dxa"/>
            <w:tcBorders>
              <w:top w:val="single" w:color="auto" w:sz="4" w:space="0"/>
              <w:left w:val="single" w:color="auto" w:sz="4" w:space="0"/>
              <w:bottom w:val="single" w:color="auto" w:sz="4" w:space="0"/>
              <w:right w:val="single" w:color="auto" w:sz="4" w:space="0"/>
            </w:tcBorders>
            <w:noWrap/>
            <w:vAlign w:val="center"/>
          </w:tcPr>
          <w:p w14:paraId="69065D60">
            <w:pPr>
              <w:keepNext w:val="0"/>
              <w:keepLines w:val="0"/>
              <w:pageBreakBefore w:val="0"/>
              <w:suppressLineNumbers w:val="0"/>
              <w:kinsoku/>
              <w:wordWrap/>
              <w:overflowPunct/>
              <w:autoSpaceDN/>
              <w:bidi w:val="0"/>
              <w:adjustRightInd w:val="0"/>
              <w:snapToGrid w:val="0"/>
              <w:spacing w:before="0" w:beforeAutospacing="0" w:after="0" w:afterAutospacing="0" w:line="440" w:lineRule="exact"/>
              <w:ind w:left="0" w:right="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kern w:val="0"/>
                <w:szCs w:val="21"/>
                <w:highlight w:val="none"/>
              </w:rPr>
              <w:t>详见招标公告</w:t>
            </w:r>
          </w:p>
        </w:tc>
      </w:tr>
      <w:tr w14:paraId="20404D6B">
        <w:tblPrEx>
          <w:tblCellMar>
            <w:top w:w="0" w:type="dxa"/>
            <w:left w:w="108" w:type="dxa"/>
            <w:bottom w:w="0" w:type="dxa"/>
            <w:right w:w="108" w:type="dxa"/>
          </w:tblCellMar>
        </w:tblPrEx>
        <w:trPr>
          <w:trHeight w:val="500" w:hRule="atLeast"/>
          <w:jc w:val="center"/>
        </w:trPr>
        <w:tc>
          <w:tcPr>
            <w:tcW w:w="868" w:type="dxa"/>
            <w:tcBorders>
              <w:top w:val="single" w:color="auto" w:sz="4" w:space="0"/>
              <w:left w:val="single" w:color="auto" w:sz="4" w:space="0"/>
              <w:bottom w:val="single" w:color="auto" w:sz="4" w:space="0"/>
              <w:right w:val="single" w:color="auto" w:sz="4" w:space="0"/>
            </w:tcBorders>
            <w:noWrap/>
            <w:vAlign w:val="center"/>
          </w:tcPr>
          <w:p w14:paraId="3F828D85">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4</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438CA858">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建设地点</w:t>
            </w:r>
          </w:p>
        </w:tc>
        <w:tc>
          <w:tcPr>
            <w:tcW w:w="6837" w:type="dxa"/>
            <w:tcBorders>
              <w:top w:val="single" w:color="auto" w:sz="4" w:space="0"/>
              <w:left w:val="single" w:color="auto" w:sz="4" w:space="0"/>
              <w:bottom w:val="single" w:color="auto" w:sz="4" w:space="0"/>
              <w:right w:val="single" w:color="auto" w:sz="4" w:space="0"/>
            </w:tcBorders>
            <w:noWrap/>
            <w:vAlign w:val="center"/>
          </w:tcPr>
          <w:p w14:paraId="1308BD81">
            <w:pPr>
              <w:keepNext w:val="0"/>
              <w:keepLines w:val="0"/>
              <w:pageBreakBefore w:val="0"/>
              <w:suppressLineNumbers w:val="0"/>
              <w:kinsoku/>
              <w:wordWrap/>
              <w:overflowPunct/>
              <w:autoSpaceDN/>
              <w:bidi w:val="0"/>
              <w:adjustRightInd w:val="0"/>
              <w:snapToGrid w:val="0"/>
              <w:spacing w:before="0" w:beforeAutospacing="0" w:after="0" w:afterAutospacing="0" w:line="440" w:lineRule="exact"/>
              <w:ind w:left="0" w:right="0"/>
              <w:textAlignment w:val="auto"/>
              <w:rPr>
                <w:rFonts w:hint="default" w:ascii="宋体" w:hAnsi="宋体" w:cs="宋体"/>
                <w:color w:val="auto"/>
                <w:szCs w:val="21"/>
                <w:highlight w:val="none"/>
              </w:rPr>
            </w:pPr>
            <w:r>
              <w:rPr>
                <w:rFonts w:hint="eastAsia" w:ascii="宋体" w:hAnsi="宋体" w:eastAsia="宋体" w:cs="宋体"/>
                <w:color w:val="auto"/>
                <w:kern w:val="0"/>
                <w:szCs w:val="21"/>
                <w:highlight w:val="none"/>
              </w:rPr>
              <w:t>详见招标公告</w:t>
            </w:r>
          </w:p>
        </w:tc>
      </w:tr>
      <w:tr w14:paraId="48E4C410">
        <w:tblPrEx>
          <w:tblCellMar>
            <w:top w:w="0" w:type="dxa"/>
            <w:left w:w="108" w:type="dxa"/>
            <w:bottom w:w="0" w:type="dxa"/>
            <w:right w:w="108" w:type="dxa"/>
          </w:tblCellMar>
        </w:tblPrEx>
        <w:trPr>
          <w:trHeight w:val="555" w:hRule="atLeast"/>
          <w:jc w:val="center"/>
        </w:trPr>
        <w:tc>
          <w:tcPr>
            <w:tcW w:w="868" w:type="dxa"/>
            <w:tcBorders>
              <w:top w:val="single" w:color="auto" w:sz="4" w:space="0"/>
              <w:left w:val="single" w:color="auto" w:sz="4" w:space="0"/>
              <w:bottom w:val="single" w:color="auto" w:sz="4" w:space="0"/>
              <w:right w:val="single" w:color="auto" w:sz="4" w:space="0"/>
            </w:tcBorders>
            <w:noWrap/>
            <w:vAlign w:val="center"/>
          </w:tcPr>
          <w:p w14:paraId="208E5DB8">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5</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0C5379D2">
            <w:pPr>
              <w:keepNext w:val="0"/>
              <w:keepLines w:val="0"/>
              <w:pageBreakBefore w:val="0"/>
              <w:suppressLineNumbers w:val="0"/>
              <w:kinsoku/>
              <w:wordWrap/>
              <w:overflowPunct/>
              <w:autoSpaceDN/>
              <w:bidi w:val="0"/>
              <w:adjustRightInd w:val="0"/>
              <w:snapToGrid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 w:val="21"/>
                <w:szCs w:val="21"/>
                <w:highlight w:val="none"/>
              </w:rPr>
              <w:t>资金落实情况</w:t>
            </w:r>
          </w:p>
        </w:tc>
        <w:tc>
          <w:tcPr>
            <w:tcW w:w="6837" w:type="dxa"/>
            <w:tcBorders>
              <w:top w:val="single" w:color="auto" w:sz="4" w:space="0"/>
              <w:left w:val="single" w:color="auto" w:sz="4" w:space="0"/>
              <w:bottom w:val="single" w:color="auto" w:sz="4" w:space="0"/>
              <w:right w:val="single" w:color="auto" w:sz="4" w:space="0"/>
            </w:tcBorders>
            <w:noWrap/>
            <w:vAlign w:val="center"/>
          </w:tcPr>
          <w:p w14:paraId="59D58975">
            <w:pPr>
              <w:keepNext w:val="0"/>
              <w:keepLines w:val="0"/>
              <w:pageBreakBefore w:val="0"/>
              <w:suppressLineNumbers w:val="0"/>
              <w:kinsoku/>
              <w:wordWrap/>
              <w:overflowPunct/>
              <w:autoSpaceDN/>
              <w:bidi w:val="0"/>
              <w:adjustRightInd w:val="0"/>
              <w:snapToGrid w:val="0"/>
              <w:spacing w:before="0" w:beforeAutospacing="0" w:after="0" w:afterAutospacing="0" w:line="440" w:lineRule="exact"/>
              <w:ind w:left="0" w:right="0"/>
              <w:textAlignment w:val="auto"/>
              <w:rPr>
                <w:rFonts w:hint="default" w:ascii="宋体" w:hAnsi="宋体" w:cs="宋体"/>
                <w:color w:val="auto"/>
                <w:szCs w:val="21"/>
                <w:highlight w:val="none"/>
              </w:rPr>
            </w:pPr>
            <w:r>
              <w:rPr>
                <w:rFonts w:hint="eastAsia" w:ascii="宋体" w:hAnsi="宋体" w:cs="宋体"/>
                <w:color w:val="auto"/>
                <w:sz w:val="21"/>
                <w:szCs w:val="21"/>
                <w:highlight w:val="none"/>
                <w:lang w:val="en-US" w:eastAsia="zh-CN"/>
              </w:rPr>
              <w:t>已落实</w:t>
            </w:r>
          </w:p>
        </w:tc>
      </w:tr>
      <w:tr w14:paraId="5F0876DF">
        <w:tblPrEx>
          <w:tblCellMar>
            <w:top w:w="0" w:type="dxa"/>
            <w:left w:w="108" w:type="dxa"/>
            <w:bottom w:w="0" w:type="dxa"/>
            <w:right w:w="108" w:type="dxa"/>
          </w:tblCellMar>
        </w:tblPrEx>
        <w:trPr>
          <w:jc w:val="center"/>
        </w:trPr>
        <w:tc>
          <w:tcPr>
            <w:tcW w:w="868" w:type="dxa"/>
            <w:tcBorders>
              <w:top w:val="single" w:color="auto" w:sz="4" w:space="0"/>
              <w:left w:val="single" w:color="auto" w:sz="4" w:space="0"/>
              <w:bottom w:val="single" w:color="auto" w:sz="4" w:space="0"/>
              <w:right w:val="single" w:color="auto" w:sz="4" w:space="0"/>
            </w:tcBorders>
            <w:noWrap/>
            <w:vAlign w:val="center"/>
          </w:tcPr>
          <w:p w14:paraId="2AFF82D3">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6</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12A4591A">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招标范围</w:t>
            </w:r>
          </w:p>
        </w:tc>
        <w:tc>
          <w:tcPr>
            <w:tcW w:w="6837" w:type="dxa"/>
            <w:tcBorders>
              <w:top w:val="single" w:color="auto" w:sz="4" w:space="0"/>
              <w:left w:val="single" w:color="auto" w:sz="4" w:space="0"/>
              <w:bottom w:val="single" w:color="auto" w:sz="4" w:space="0"/>
              <w:right w:val="single" w:color="auto" w:sz="4" w:space="0"/>
            </w:tcBorders>
            <w:noWrap/>
            <w:vAlign w:val="center"/>
          </w:tcPr>
          <w:p w14:paraId="0B90C949">
            <w:pPr>
              <w:keepNext w:val="0"/>
              <w:keepLines w:val="0"/>
              <w:pageBreakBefore w:val="0"/>
              <w:suppressLineNumbers w:val="0"/>
              <w:kinsoku/>
              <w:wordWrap/>
              <w:overflowPunct/>
              <w:autoSpaceDN/>
              <w:bidi w:val="0"/>
              <w:spacing w:before="0" w:beforeAutospacing="0" w:after="0" w:afterAutospacing="0" w:line="440" w:lineRule="exact"/>
              <w:ind w:left="0" w:right="0"/>
              <w:textAlignment w:val="auto"/>
              <w:rPr>
                <w:rFonts w:hint="default" w:ascii="宋体" w:hAnsi="宋体" w:cs="宋体"/>
                <w:color w:val="auto"/>
                <w:szCs w:val="21"/>
                <w:highlight w:val="none"/>
              </w:rPr>
            </w:pPr>
            <w:r>
              <w:rPr>
                <w:rFonts w:hint="eastAsia"/>
                <w:color w:val="auto"/>
                <w:szCs w:val="21"/>
                <w:highlight w:val="none"/>
              </w:rPr>
              <w:t>详见招标公告</w:t>
            </w:r>
          </w:p>
        </w:tc>
      </w:tr>
      <w:tr w14:paraId="28DD096A">
        <w:tblPrEx>
          <w:tblCellMar>
            <w:top w:w="0" w:type="dxa"/>
            <w:left w:w="108" w:type="dxa"/>
            <w:bottom w:w="0" w:type="dxa"/>
            <w:right w:w="108" w:type="dxa"/>
          </w:tblCellMar>
        </w:tblPrEx>
        <w:trPr>
          <w:trHeight w:val="496" w:hRule="atLeast"/>
          <w:jc w:val="center"/>
        </w:trPr>
        <w:tc>
          <w:tcPr>
            <w:tcW w:w="868" w:type="dxa"/>
            <w:tcBorders>
              <w:top w:val="single" w:color="auto" w:sz="4" w:space="0"/>
              <w:left w:val="single" w:color="auto" w:sz="4" w:space="0"/>
              <w:bottom w:val="single" w:color="auto" w:sz="4" w:space="0"/>
              <w:right w:val="single" w:color="auto" w:sz="4" w:space="0"/>
            </w:tcBorders>
            <w:noWrap/>
            <w:vAlign w:val="center"/>
          </w:tcPr>
          <w:p w14:paraId="06BEDAB8">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7</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61046F13">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评标办法</w:t>
            </w:r>
          </w:p>
        </w:tc>
        <w:tc>
          <w:tcPr>
            <w:tcW w:w="6837" w:type="dxa"/>
            <w:tcBorders>
              <w:top w:val="single" w:color="auto" w:sz="4" w:space="0"/>
              <w:left w:val="single" w:color="auto" w:sz="4" w:space="0"/>
              <w:bottom w:val="single" w:color="auto" w:sz="4" w:space="0"/>
              <w:right w:val="single" w:color="auto" w:sz="4" w:space="0"/>
            </w:tcBorders>
            <w:noWrap/>
            <w:vAlign w:val="center"/>
          </w:tcPr>
          <w:p w14:paraId="01D594D4">
            <w:pPr>
              <w:pStyle w:val="96"/>
              <w:keepNext w:val="0"/>
              <w:keepLines w:val="0"/>
              <w:pageBreakBefore w:val="0"/>
              <w:suppressLineNumbers w:val="0"/>
              <w:kinsoku/>
              <w:wordWrap/>
              <w:overflowPunct/>
              <w:autoSpaceDN/>
              <w:bidi w:val="0"/>
              <w:spacing w:before="0" w:beforeAutospacing="0" w:after="0" w:afterAutospacing="0" w:line="440" w:lineRule="exact"/>
              <w:ind w:left="0" w:right="0"/>
              <w:textAlignment w:val="auto"/>
              <w:rPr>
                <w:rFonts w:hint="eastAsia" w:ascii="宋体" w:hAnsi="宋体" w:eastAsia="宋体" w:cs="宋体"/>
                <w:color w:val="auto"/>
                <w:highlight w:val="none"/>
                <w:lang w:eastAsia="zh-CN"/>
              </w:rPr>
            </w:pPr>
            <w:r>
              <w:rPr>
                <w:rFonts w:hint="eastAsia" w:ascii="宋体" w:hAnsi="宋体" w:cs="宋体"/>
                <w:color w:val="auto"/>
                <w:highlight w:val="none"/>
                <w:lang w:eastAsia="zh-CN"/>
              </w:rPr>
              <w:t>合理低价法</w:t>
            </w:r>
          </w:p>
        </w:tc>
      </w:tr>
      <w:tr w14:paraId="117FC037">
        <w:tblPrEx>
          <w:tblCellMar>
            <w:top w:w="0" w:type="dxa"/>
            <w:left w:w="108" w:type="dxa"/>
            <w:bottom w:w="0" w:type="dxa"/>
            <w:right w:w="108" w:type="dxa"/>
          </w:tblCellMar>
        </w:tblPrEx>
        <w:trPr>
          <w:jc w:val="center"/>
        </w:trPr>
        <w:tc>
          <w:tcPr>
            <w:tcW w:w="868" w:type="dxa"/>
            <w:tcBorders>
              <w:top w:val="single" w:color="auto" w:sz="4" w:space="0"/>
              <w:left w:val="single" w:color="auto" w:sz="4" w:space="0"/>
              <w:bottom w:val="single" w:color="auto" w:sz="4" w:space="0"/>
              <w:right w:val="single" w:color="auto" w:sz="4" w:space="0"/>
            </w:tcBorders>
            <w:noWrap/>
            <w:vAlign w:val="center"/>
          </w:tcPr>
          <w:p w14:paraId="1A945EC3">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8</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6FACE6F4">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工期</w:t>
            </w:r>
          </w:p>
        </w:tc>
        <w:tc>
          <w:tcPr>
            <w:tcW w:w="6837" w:type="dxa"/>
            <w:tcBorders>
              <w:top w:val="single" w:color="auto" w:sz="4" w:space="0"/>
              <w:left w:val="single" w:color="auto" w:sz="4" w:space="0"/>
              <w:bottom w:val="single" w:color="auto" w:sz="4" w:space="0"/>
              <w:right w:val="single" w:color="auto" w:sz="4" w:space="0"/>
            </w:tcBorders>
            <w:noWrap/>
            <w:vAlign w:val="center"/>
          </w:tcPr>
          <w:p w14:paraId="38D61A35">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textAlignment w:val="auto"/>
              <w:rPr>
                <w:rFonts w:hint="default" w:ascii="宋体" w:hAnsi="宋体" w:cs="宋体"/>
                <w:color w:val="auto"/>
                <w:szCs w:val="21"/>
                <w:highlight w:val="none"/>
              </w:rPr>
            </w:pPr>
            <w:r>
              <w:rPr>
                <w:rFonts w:hint="eastAsia" w:ascii="宋体" w:hAnsi="宋体" w:cs="宋体"/>
                <w:b/>
                <w:color w:val="auto"/>
                <w:sz w:val="21"/>
                <w:szCs w:val="21"/>
                <w:highlight w:val="none"/>
                <w:lang w:val="en-US" w:eastAsia="zh-CN"/>
              </w:rPr>
              <w:t>不高于</w:t>
            </w:r>
            <w:r>
              <w:rPr>
                <w:rFonts w:hint="eastAsia" w:ascii="宋体" w:hAnsi="宋体" w:cs="宋体"/>
                <w:b/>
                <w:color w:val="auto"/>
                <w:sz w:val="21"/>
                <w:szCs w:val="21"/>
                <w:highlight w:val="none"/>
                <w:u w:val="single"/>
                <w:lang w:val="en-US" w:eastAsia="zh-CN"/>
              </w:rPr>
              <w:t xml:space="preserve"> 40 </w:t>
            </w:r>
            <w:r>
              <w:rPr>
                <w:rFonts w:hint="eastAsia" w:ascii="宋体" w:hAnsi="宋体" w:cs="宋体"/>
                <w:b/>
                <w:color w:val="auto"/>
                <w:sz w:val="21"/>
                <w:szCs w:val="21"/>
                <w:highlight w:val="none"/>
                <w:u w:val="none"/>
                <w:lang w:val="en-US" w:eastAsia="zh-CN"/>
              </w:rPr>
              <w:t>个</w:t>
            </w:r>
            <w:r>
              <w:rPr>
                <w:rFonts w:hint="eastAsia" w:ascii="宋体" w:hAnsi="宋体" w:cs="宋体"/>
                <w:b/>
                <w:color w:val="auto"/>
                <w:sz w:val="21"/>
                <w:szCs w:val="21"/>
                <w:highlight w:val="none"/>
                <w:lang w:val="en-US" w:eastAsia="zh-CN"/>
              </w:rPr>
              <w:t>日历天（以中标公示期结束后的第一天起计算工期）。</w:t>
            </w:r>
            <w:r>
              <w:rPr>
                <w:rFonts w:hint="eastAsia" w:ascii="宋体" w:hAnsi="宋体" w:cs="宋体"/>
                <w:color w:val="auto"/>
                <w:sz w:val="21"/>
                <w:szCs w:val="21"/>
                <w:highlight w:val="none"/>
              </w:rPr>
              <w:t xml:space="preserve"> </w:t>
            </w:r>
            <w:r>
              <w:rPr>
                <w:rFonts w:hint="eastAsia" w:ascii="宋体" w:hAnsi="宋体" w:cs="宋体"/>
                <w:color w:val="auto"/>
                <w:szCs w:val="21"/>
                <w:highlight w:val="none"/>
              </w:rPr>
              <w:t>投标人自报的承诺工期为考核标准，每推迟一天，</w:t>
            </w:r>
            <w:r>
              <w:rPr>
                <w:rFonts w:hint="eastAsia" w:ascii="宋体" w:hAnsi="宋体" w:cs="宋体"/>
                <w:color w:val="FF0000"/>
                <w:szCs w:val="21"/>
                <w:highlight w:val="none"/>
              </w:rPr>
              <w:t>按1000</w:t>
            </w:r>
            <w:r>
              <w:rPr>
                <w:rFonts w:hint="eastAsia" w:ascii="宋体" w:hAnsi="宋体" w:cs="宋体"/>
                <w:color w:val="FF0000"/>
                <w:szCs w:val="21"/>
                <w:highlight w:val="none"/>
                <w:lang w:val="en-US" w:eastAsia="zh-CN"/>
              </w:rPr>
              <w:t>0</w:t>
            </w:r>
            <w:r>
              <w:rPr>
                <w:rFonts w:hint="eastAsia" w:ascii="宋体" w:hAnsi="宋体" w:cs="宋体"/>
                <w:color w:val="auto"/>
                <w:szCs w:val="21"/>
                <w:highlight w:val="none"/>
              </w:rPr>
              <w:t>元/天处以违约金。</w:t>
            </w:r>
          </w:p>
        </w:tc>
      </w:tr>
      <w:tr w14:paraId="5216F8E5">
        <w:tblPrEx>
          <w:tblCellMar>
            <w:top w:w="0" w:type="dxa"/>
            <w:left w:w="108" w:type="dxa"/>
            <w:bottom w:w="0" w:type="dxa"/>
            <w:right w:w="108" w:type="dxa"/>
          </w:tblCellMar>
        </w:tblPrEx>
        <w:trPr>
          <w:jc w:val="center"/>
        </w:trPr>
        <w:tc>
          <w:tcPr>
            <w:tcW w:w="868" w:type="dxa"/>
            <w:tcBorders>
              <w:top w:val="single" w:color="auto" w:sz="4" w:space="0"/>
              <w:left w:val="single" w:color="auto" w:sz="4" w:space="0"/>
              <w:bottom w:val="single" w:color="auto" w:sz="4" w:space="0"/>
              <w:right w:val="single" w:color="auto" w:sz="4" w:space="0"/>
            </w:tcBorders>
            <w:noWrap/>
            <w:vAlign w:val="center"/>
          </w:tcPr>
          <w:p w14:paraId="0BAC7420">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9</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125B5D99">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质量要求</w:t>
            </w:r>
          </w:p>
        </w:tc>
        <w:tc>
          <w:tcPr>
            <w:tcW w:w="6837" w:type="dxa"/>
            <w:tcBorders>
              <w:top w:val="single" w:color="auto" w:sz="4" w:space="0"/>
              <w:left w:val="single" w:color="auto" w:sz="4" w:space="0"/>
              <w:bottom w:val="single" w:color="auto" w:sz="4" w:space="0"/>
              <w:right w:val="single" w:color="auto" w:sz="4" w:space="0"/>
            </w:tcBorders>
            <w:noWrap/>
            <w:vAlign w:val="center"/>
          </w:tcPr>
          <w:p w14:paraId="5E4267D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1、施工及设备材料：合格，质量符合GB/T 50796-2012《光伏发电工程验收规范》等相关国家、省、市相关法律、法规、规范要求，确保通过国网公司验收、并网。</w:t>
            </w:r>
          </w:p>
          <w:p w14:paraId="1573F23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eastAsia="宋体" w:cs="宋体"/>
                <w:color w:val="auto"/>
                <w:sz w:val="24"/>
                <w:highlight w:val="none"/>
              </w:rPr>
            </w:pPr>
            <w:r>
              <w:rPr>
                <w:rFonts w:hint="eastAsia" w:ascii="宋体" w:hAnsi="宋体" w:eastAsia="宋体" w:cs="宋体"/>
                <w:color w:val="auto"/>
                <w:sz w:val="21"/>
                <w:szCs w:val="21"/>
                <w:highlight w:val="none"/>
                <w:lang w:val="en-US" w:eastAsia="zh-CN"/>
              </w:rPr>
              <w:t>2、设计：合格。满足招标人需求，符合现行相应行业最新的设计规范，初步设计及概算、优化、施工图及预算通过业主和相关部门审查，施工图达到施工深度要求。</w:t>
            </w:r>
          </w:p>
          <w:p w14:paraId="71E88BE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4"/>
                <w:highlight w:val="none"/>
                <w:lang w:val="en-US" w:eastAsia="zh-CN"/>
              </w:rPr>
              <w:t>3、</w:t>
            </w:r>
            <w:r>
              <w:rPr>
                <w:rFonts w:hint="eastAsia" w:ascii="宋体" w:hAnsi="宋体" w:eastAsia="宋体" w:cs="宋体"/>
                <w:color w:val="auto"/>
                <w:sz w:val="21"/>
                <w:szCs w:val="21"/>
                <w:highlight w:val="none"/>
                <w:lang w:val="en-US" w:eastAsia="zh-CN"/>
              </w:rPr>
              <w:t>质量保证期及缺陷责任期：严格按照本项目招标文件相关规定（招标文件未提到的，执行国家、省、市相关标准）。</w:t>
            </w:r>
          </w:p>
          <w:p w14:paraId="4E318FE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lang w:val="en-US" w:eastAsia="zh-CN"/>
              </w:rPr>
              <w:t>、相关规范、标准以及《建设标准强制性条文》要求的相关强制性标准。</w:t>
            </w:r>
          </w:p>
          <w:p w14:paraId="33085562">
            <w:pPr>
              <w:keepNext w:val="0"/>
              <w:keepLines w:val="0"/>
              <w:pageBreakBefore w:val="0"/>
              <w:suppressLineNumbers w:val="0"/>
              <w:kinsoku/>
              <w:wordWrap/>
              <w:overflowPunct/>
              <w:autoSpaceDN/>
              <w:bidi w:val="0"/>
              <w:spacing w:before="0" w:beforeAutospacing="0" w:after="0" w:afterAutospacing="0" w:line="440" w:lineRule="exact"/>
              <w:ind w:left="0" w:right="0"/>
              <w:textAlignment w:val="auto"/>
              <w:rPr>
                <w:rFonts w:hint="default" w:ascii="宋体" w:hAnsi="宋体" w:cs="宋体"/>
                <w:color w:val="auto"/>
                <w:szCs w:val="21"/>
                <w:highlight w:val="none"/>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、运维质量要求：合格，符合招标人的日常考核，并达到每年度的保底发电量。</w:t>
            </w:r>
          </w:p>
        </w:tc>
      </w:tr>
      <w:tr w14:paraId="1DA8159D">
        <w:tblPrEx>
          <w:tblCellMar>
            <w:top w:w="0" w:type="dxa"/>
            <w:left w:w="108" w:type="dxa"/>
            <w:bottom w:w="0" w:type="dxa"/>
            <w:right w:w="108" w:type="dxa"/>
          </w:tblCellMar>
        </w:tblPrEx>
        <w:trPr>
          <w:trHeight w:val="90" w:hRule="atLeast"/>
          <w:jc w:val="center"/>
        </w:trPr>
        <w:tc>
          <w:tcPr>
            <w:tcW w:w="868" w:type="dxa"/>
            <w:vMerge w:val="restart"/>
            <w:tcBorders>
              <w:top w:val="single" w:color="auto" w:sz="4" w:space="0"/>
              <w:left w:val="single" w:color="auto" w:sz="4" w:space="0"/>
              <w:bottom w:val="single" w:color="auto" w:sz="4" w:space="0"/>
              <w:right w:val="single" w:color="auto" w:sz="4" w:space="0"/>
            </w:tcBorders>
            <w:noWrap/>
            <w:vAlign w:val="center"/>
          </w:tcPr>
          <w:p w14:paraId="56310B17">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10</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68EE8556">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投标人资质条件、能力和信誉</w:t>
            </w:r>
          </w:p>
        </w:tc>
        <w:tc>
          <w:tcPr>
            <w:tcW w:w="6837" w:type="dxa"/>
            <w:tcBorders>
              <w:top w:val="single" w:color="auto" w:sz="4" w:space="0"/>
              <w:left w:val="single" w:color="auto" w:sz="4" w:space="0"/>
              <w:bottom w:val="single" w:color="auto" w:sz="4" w:space="0"/>
              <w:right w:val="single" w:color="auto" w:sz="4" w:space="0"/>
            </w:tcBorders>
            <w:noWrap/>
            <w:vAlign w:val="center"/>
          </w:tcPr>
          <w:p w14:paraId="7A2D84EF">
            <w:pPr>
              <w:keepNext w:val="0"/>
              <w:keepLines w:val="0"/>
              <w:pageBreakBefore w:val="0"/>
              <w:suppressLineNumbers w:val="0"/>
              <w:kinsoku/>
              <w:wordWrap/>
              <w:overflowPunct/>
              <w:autoSpaceDN/>
              <w:bidi w:val="0"/>
              <w:spacing w:before="0" w:beforeAutospacing="0" w:after="0" w:afterAutospacing="0" w:line="440" w:lineRule="exact"/>
              <w:ind w:left="0" w:right="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详见招标公告</w:t>
            </w:r>
          </w:p>
        </w:tc>
      </w:tr>
      <w:tr w14:paraId="45D05B06">
        <w:tblPrEx>
          <w:tblCellMar>
            <w:top w:w="0" w:type="dxa"/>
            <w:left w:w="108" w:type="dxa"/>
            <w:bottom w:w="0" w:type="dxa"/>
            <w:right w:w="108" w:type="dxa"/>
          </w:tblCellMar>
        </w:tblPrEx>
        <w:trPr>
          <w:trHeight w:val="575" w:hRule="atLeast"/>
          <w:jc w:val="center"/>
        </w:trPr>
        <w:tc>
          <w:tcPr>
            <w:tcW w:w="868" w:type="dxa"/>
            <w:vMerge w:val="continue"/>
            <w:tcBorders>
              <w:top w:val="single" w:color="auto" w:sz="4" w:space="0"/>
              <w:left w:val="single" w:color="auto" w:sz="4" w:space="0"/>
              <w:bottom w:val="single" w:color="auto" w:sz="4" w:space="0"/>
              <w:right w:val="single" w:color="auto" w:sz="4" w:space="0"/>
            </w:tcBorders>
            <w:noWrap/>
            <w:vAlign w:val="center"/>
          </w:tcPr>
          <w:p w14:paraId="61523DF7">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1D874625">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招标文件发布时间</w:t>
            </w:r>
          </w:p>
        </w:tc>
        <w:tc>
          <w:tcPr>
            <w:tcW w:w="6837" w:type="dxa"/>
            <w:tcBorders>
              <w:top w:val="single" w:color="auto" w:sz="4" w:space="0"/>
              <w:left w:val="single" w:color="auto" w:sz="4" w:space="0"/>
              <w:bottom w:val="single" w:color="auto" w:sz="4" w:space="0"/>
              <w:right w:val="single" w:color="auto" w:sz="4" w:space="0"/>
            </w:tcBorders>
            <w:noWrap/>
            <w:vAlign w:val="center"/>
          </w:tcPr>
          <w:p w14:paraId="5CD45573">
            <w:pPr>
              <w:keepNext w:val="0"/>
              <w:keepLines w:val="0"/>
              <w:pageBreakBefore w:val="0"/>
              <w:suppressLineNumbers w:val="0"/>
              <w:kinsoku/>
              <w:wordWrap/>
              <w:overflowPunct/>
              <w:autoSpaceDN/>
              <w:bidi w:val="0"/>
              <w:spacing w:before="0" w:beforeAutospacing="0" w:after="0" w:afterAutospacing="0" w:line="440" w:lineRule="exact"/>
              <w:ind w:left="0" w:right="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详见招标公告</w:t>
            </w:r>
          </w:p>
        </w:tc>
      </w:tr>
      <w:tr w14:paraId="00561061">
        <w:tblPrEx>
          <w:tblCellMar>
            <w:top w:w="0" w:type="dxa"/>
            <w:left w:w="108" w:type="dxa"/>
            <w:bottom w:w="0" w:type="dxa"/>
            <w:right w:w="108" w:type="dxa"/>
          </w:tblCellMar>
        </w:tblPrEx>
        <w:trPr>
          <w:jc w:val="center"/>
        </w:trPr>
        <w:tc>
          <w:tcPr>
            <w:tcW w:w="868" w:type="dxa"/>
            <w:tcBorders>
              <w:top w:val="single" w:color="auto" w:sz="4" w:space="0"/>
              <w:left w:val="single" w:color="auto" w:sz="4" w:space="0"/>
              <w:bottom w:val="single" w:color="auto" w:sz="4" w:space="0"/>
              <w:right w:val="single" w:color="auto" w:sz="4" w:space="0"/>
            </w:tcBorders>
            <w:noWrap/>
            <w:vAlign w:val="center"/>
          </w:tcPr>
          <w:p w14:paraId="2FE04B3C">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11</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2E268739">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pacing w:val="-4"/>
                <w:kern w:val="0"/>
                <w:szCs w:val="21"/>
                <w:highlight w:val="none"/>
              </w:rPr>
            </w:pPr>
            <w:r>
              <w:rPr>
                <w:rFonts w:hint="eastAsia" w:ascii="宋体" w:hAnsi="宋体" w:cs="宋体"/>
                <w:color w:val="auto"/>
                <w:spacing w:val="-4"/>
                <w:kern w:val="0"/>
                <w:szCs w:val="21"/>
                <w:highlight w:val="none"/>
              </w:rPr>
              <w:t>踏勘现场</w:t>
            </w:r>
          </w:p>
        </w:tc>
        <w:tc>
          <w:tcPr>
            <w:tcW w:w="6837" w:type="dxa"/>
            <w:tcBorders>
              <w:top w:val="single" w:color="auto" w:sz="4" w:space="0"/>
              <w:left w:val="single" w:color="auto" w:sz="4" w:space="0"/>
              <w:bottom w:val="single" w:color="auto" w:sz="4" w:space="0"/>
              <w:right w:val="single" w:color="auto" w:sz="4" w:space="0"/>
            </w:tcBorders>
            <w:noWrap/>
            <w:vAlign w:val="center"/>
          </w:tcPr>
          <w:p w14:paraId="2B31BAD7">
            <w:pPr>
              <w:pStyle w:val="19"/>
              <w:keepNext w:val="0"/>
              <w:keepLines w:val="0"/>
              <w:pageBreakBefore w:val="0"/>
              <w:suppressLineNumbers w:val="0"/>
              <w:kinsoku/>
              <w:wordWrap/>
              <w:overflowPunct/>
              <w:topLinePunct/>
              <w:autoSpaceDN/>
              <w:bidi w:val="0"/>
              <w:spacing w:before="0" w:beforeAutospacing="0" w:after="0" w:afterAutospacing="0" w:line="440" w:lineRule="exact"/>
              <w:ind w:left="0" w:right="0"/>
              <w:textAlignment w:val="auto"/>
              <w:rPr>
                <w:rFonts w:hint="default" w:hAnsi="宋体" w:cs="宋体"/>
                <w:color w:val="auto"/>
                <w:spacing w:val="-4"/>
                <w:kern w:val="0"/>
                <w:sz w:val="21"/>
                <w:szCs w:val="21"/>
                <w:highlight w:val="none"/>
              </w:rPr>
            </w:pPr>
            <w:r>
              <w:rPr>
                <w:rFonts w:hint="eastAsia" w:hAnsi="宋体" w:cs="宋体"/>
                <w:color w:val="auto"/>
                <w:sz w:val="21"/>
                <w:szCs w:val="21"/>
                <w:highlight w:val="none"/>
              </w:rPr>
              <w:t>☑</w:t>
            </w:r>
            <w:r>
              <w:rPr>
                <w:rFonts w:hint="eastAsia" w:hAnsi="宋体" w:cs="宋体"/>
                <w:color w:val="auto"/>
                <w:spacing w:val="-4"/>
                <w:kern w:val="0"/>
                <w:sz w:val="21"/>
                <w:szCs w:val="21"/>
                <w:highlight w:val="none"/>
              </w:rPr>
              <w:t>不组织，投标人自行组织踏勘现场</w:t>
            </w:r>
            <w:r>
              <w:rPr>
                <w:rFonts w:hint="eastAsia" w:hAnsi="宋体" w:cs="宋体"/>
                <w:color w:val="auto"/>
                <w:sz w:val="21"/>
                <w:szCs w:val="21"/>
                <w:highlight w:val="none"/>
              </w:rPr>
              <w:t>；□组织</w:t>
            </w:r>
          </w:p>
        </w:tc>
      </w:tr>
      <w:tr w14:paraId="548B4839">
        <w:tblPrEx>
          <w:tblCellMar>
            <w:top w:w="0" w:type="dxa"/>
            <w:left w:w="108" w:type="dxa"/>
            <w:bottom w:w="0" w:type="dxa"/>
            <w:right w:w="108" w:type="dxa"/>
          </w:tblCellMar>
        </w:tblPrEx>
        <w:trPr>
          <w:jc w:val="center"/>
        </w:trPr>
        <w:tc>
          <w:tcPr>
            <w:tcW w:w="868" w:type="dxa"/>
            <w:tcBorders>
              <w:top w:val="single" w:color="auto" w:sz="4" w:space="0"/>
              <w:left w:val="single" w:color="auto" w:sz="4" w:space="0"/>
              <w:bottom w:val="single" w:color="auto" w:sz="4" w:space="0"/>
              <w:right w:val="single" w:color="auto" w:sz="4" w:space="0"/>
            </w:tcBorders>
            <w:noWrap/>
            <w:vAlign w:val="center"/>
          </w:tcPr>
          <w:p w14:paraId="5AF8D214">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12</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55DABB5F">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pacing w:val="-4"/>
                <w:kern w:val="0"/>
                <w:szCs w:val="21"/>
                <w:highlight w:val="none"/>
              </w:rPr>
            </w:pPr>
            <w:r>
              <w:rPr>
                <w:rFonts w:hint="eastAsia" w:ascii="宋体" w:hAnsi="宋体" w:cs="宋体"/>
                <w:color w:val="auto"/>
                <w:spacing w:val="-4"/>
                <w:kern w:val="0"/>
                <w:szCs w:val="21"/>
                <w:highlight w:val="none"/>
              </w:rPr>
              <w:t>投标预备会</w:t>
            </w:r>
          </w:p>
        </w:tc>
        <w:tc>
          <w:tcPr>
            <w:tcW w:w="6837" w:type="dxa"/>
            <w:tcBorders>
              <w:top w:val="single" w:color="auto" w:sz="4" w:space="0"/>
              <w:left w:val="single" w:color="auto" w:sz="4" w:space="0"/>
              <w:bottom w:val="single" w:color="auto" w:sz="4" w:space="0"/>
              <w:right w:val="single" w:color="auto" w:sz="4" w:space="0"/>
            </w:tcBorders>
            <w:noWrap/>
            <w:vAlign w:val="center"/>
          </w:tcPr>
          <w:p w14:paraId="6F60BF49">
            <w:pPr>
              <w:pStyle w:val="19"/>
              <w:keepNext w:val="0"/>
              <w:keepLines w:val="0"/>
              <w:pageBreakBefore w:val="0"/>
              <w:suppressLineNumbers w:val="0"/>
              <w:kinsoku/>
              <w:wordWrap/>
              <w:overflowPunct/>
              <w:topLinePunct/>
              <w:autoSpaceDN/>
              <w:bidi w:val="0"/>
              <w:spacing w:before="0" w:beforeAutospacing="0" w:after="0" w:afterAutospacing="0" w:line="440" w:lineRule="exact"/>
              <w:ind w:left="0" w:right="0"/>
              <w:textAlignment w:val="auto"/>
              <w:rPr>
                <w:rFonts w:hint="default" w:hAnsi="宋体" w:cs="宋体"/>
                <w:color w:val="auto"/>
                <w:spacing w:val="-4"/>
                <w:kern w:val="0"/>
                <w:sz w:val="21"/>
                <w:szCs w:val="21"/>
                <w:highlight w:val="none"/>
              </w:rPr>
            </w:pPr>
            <w:r>
              <w:rPr>
                <w:rFonts w:hint="eastAsia" w:hAnsi="宋体" w:cs="宋体"/>
                <w:color w:val="auto"/>
                <w:sz w:val="21"/>
                <w:szCs w:val="21"/>
                <w:highlight w:val="none"/>
                <w:lang w:eastAsia="zh-CN"/>
              </w:rPr>
              <w:t>☑</w:t>
            </w:r>
            <w:r>
              <w:rPr>
                <w:rFonts w:hint="eastAsia" w:hAnsi="宋体" w:cs="宋体"/>
                <w:color w:val="auto"/>
                <w:spacing w:val="-4"/>
                <w:kern w:val="0"/>
                <w:sz w:val="21"/>
                <w:szCs w:val="21"/>
                <w:highlight w:val="none"/>
              </w:rPr>
              <w:t>不召开</w:t>
            </w:r>
            <w:r>
              <w:rPr>
                <w:rFonts w:hint="eastAsia" w:hAnsi="宋体" w:cs="宋体"/>
                <w:color w:val="auto"/>
                <w:sz w:val="21"/>
                <w:szCs w:val="21"/>
                <w:highlight w:val="none"/>
              </w:rPr>
              <w:t>；</w:t>
            </w:r>
            <w:r>
              <w:rPr>
                <w:rFonts w:hint="eastAsia" w:hAnsi="宋体" w:cs="宋体"/>
                <w:color w:val="auto"/>
                <w:sz w:val="21"/>
                <w:szCs w:val="21"/>
                <w:highlight w:val="none"/>
                <w:lang w:eastAsia="zh-CN"/>
              </w:rPr>
              <w:t>□</w:t>
            </w:r>
            <w:r>
              <w:rPr>
                <w:rFonts w:hint="eastAsia" w:hAnsi="宋体" w:cs="宋体"/>
                <w:color w:val="auto"/>
                <w:sz w:val="21"/>
                <w:szCs w:val="21"/>
                <w:highlight w:val="none"/>
              </w:rPr>
              <w:t>召开</w:t>
            </w:r>
          </w:p>
        </w:tc>
      </w:tr>
      <w:tr w14:paraId="6662CC6A">
        <w:tblPrEx>
          <w:tblCellMar>
            <w:top w:w="0" w:type="dxa"/>
            <w:left w:w="108" w:type="dxa"/>
            <w:bottom w:w="0" w:type="dxa"/>
            <w:right w:w="108" w:type="dxa"/>
          </w:tblCellMar>
        </w:tblPrEx>
        <w:trPr>
          <w:jc w:val="center"/>
        </w:trPr>
        <w:tc>
          <w:tcPr>
            <w:tcW w:w="868" w:type="dxa"/>
            <w:tcBorders>
              <w:top w:val="single" w:color="auto" w:sz="4" w:space="0"/>
              <w:left w:val="single" w:color="auto" w:sz="4" w:space="0"/>
              <w:bottom w:val="single" w:color="auto" w:sz="4" w:space="0"/>
              <w:right w:val="single" w:color="auto" w:sz="4" w:space="0"/>
            </w:tcBorders>
            <w:noWrap/>
            <w:vAlign w:val="center"/>
          </w:tcPr>
          <w:p w14:paraId="1B5F77F5">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13</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243E7BD5">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投标人提出问题的截止时间及方式</w:t>
            </w:r>
          </w:p>
        </w:tc>
        <w:tc>
          <w:tcPr>
            <w:tcW w:w="6837" w:type="dxa"/>
            <w:tcBorders>
              <w:top w:val="single" w:color="auto" w:sz="4" w:space="0"/>
              <w:left w:val="single" w:color="auto" w:sz="4" w:space="0"/>
              <w:bottom w:val="single" w:color="auto" w:sz="4" w:space="0"/>
              <w:right w:val="single" w:color="auto" w:sz="4" w:space="0"/>
            </w:tcBorders>
            <w:noWrap/>
            <w:vAlign w:val="center"/>
          </w:tcPr>
          <w:p w14:paraId="0676BA1E">
            <w:pPr>
              <w:pStyle w:val="25"/>
              <w:keepNext w:val="0"/>
              <w:keepLines w:val="0"/>
              <w:pageBreakBefore w:val="0"/>
              <w:suppressLineNumbers w:val="0"/>
              <w:kinsoku/>
              <w:wordWrap/>
              <w:overflowPunct/>
              <w:autoSpaceDN/>
              <w:bidi w:val="0"/>
              <w:spacing w:before="0" w:beforeAutospacing="0" w:after="0" w:afterAutospacing="0" w:line="440" w:lineRule="exact"/>
              <w:ind w:left="0" w:right="0"/>
              <w:textAlignment w:val="auto"/>
              <w:rPr>
                <w:rFonts w:hint="eastAsia" w:hAnsi="宋体" w:eastAsia="宋体" w:cs="宋体"/>
                <w:color w:val="auto"/>
                <w:szCs w:val="21"/>
                <w:highlight w:val="none"/>
                <w:lang w:eastAsia="zh-CN"/>
              </w:rPr>
            </w:pPr>
            <w:r>
              <w:rPr>
                <w:rFonts w:hint="eastAsia" w:ascii="宋体" w:hAnsi="宋体" w:cs="宋体"/>
                <w:color w:val="auto"/>
                <w:kern w:val="0"/>
                <w:szCs w:val="21"/>
                <w:highlight w:val="none"/>
              </w:rPr>
              <w:t>如投标人对招标文件有疑问，请于</w:t>
            </w:r>
            <w:r>
              <w:rPr>
                <w:rFonts w:hint="eastAsia" w:ascii="宋体" w:hAnsi="宋体" w:cs="宋体"/>
                <w:b w:val="0"/>
                <w:bCs/>
                <w:color w:val="auto"/>
                <w:szCs w:val="21"/>
                <w:highlight w:val="none"/>
              </w:rPr>
              <w:t>202</w:t>
            </w:r>
            <w:r>
              <w:rPr>
                <w:rFonts w:hint="eastAsia" w:ascii="宋体" w:hAnsi="宋体" w:cs="宋体"/>
                <w:b w:val="0"/>
                <w:bCs/>
                <w:color w:val="auto"/>
                <w:szCs w:val="21"/>
                <w:highlight w:val="none"/>
                <w:lang w:val="en-US" w:eastAsia="zh-CN"/>
              </w:rPr>
              <w:t>5</w:t>
            </w:r>
            <w:r>
              <w:rPr>
                <w:rFonts w:hint="eastAsia" w:ascii="宋体" w:hAnsi="宋体" w:cs="宋体"/>
                <w:b w:val="0"/>
                <w:bCs/>
                <w:color w:val="auto"/>
                <w:szCs w:val="21"/>
                <w:highlight w:val="none"/>
              </w:rPr>
              <w:t>年</w:t>
            </w:r>
            <w:r>
              <w:rPr>
                <w:rFonts w:hint="eastAsia" w:ascii="宋体" w:hAnsi="宋体" w:cs="宋体"/>
                <w:b w:val="0"/>
                <w:bCs/>
                <w:color w:val="auto"/>
                <w:szCs w:val="21"/>
                <w:highlight w:val="none"/>
                <w:lang w:val="en-US" w:eastAsia="zh-CN"/>
              </w:rPr>
              <w:t>3</w:t>
            </w:r>
            <w:r>
              <w:rPr>
                <w:rFonts w:hint="eastAsia" w:ascii="宋体" w:hAnsi="宋体" w:cs="宋体"/>
                <w:b w:val="0"/>
                <w:bCs/>
                <w:color w:val="auto"/>
                <w:szCs w:val="21"/>
                <w:highlight w:val="none"/>
              </w:rPr>
              <w:t>月</w:t>
            </w:r>
            <w:r>
              <w:rPr>
                <w:rFonts w:hint="eastAsia" w:ascii="宋体" w:hAnsi="宋体" w:cs="宋体"/>
                <w:b w:val="0"/>
                <w:bCs/>
                <w:color w:val="auto"/>
                <w:szCs w:val="21"/>
                <w:highlight w:val="none"/>
                <w:lang w:val="en-US" w:eastAsia="zh-CN"/>
              </w:rPr>
              <w:t>21</w:t>
            </w:r>
            <w:r>
              <w:rPr>
                <w:rFonts w:hint="eastAsia" w:ascii="宋体" w:hAnsi="宋体" w:cs="宋体"/>
                <w:b w:val="0"/>
                <w:bCs/>
                <w:color w:val="auto"/>
                <w:szCs w:val="21"/>
                <w:highlight w:val="none"/>
              </w:rPr>
              <w:t>日1</w:t>
            </w:r>
            <w:r>
              <w:rPr>
                <w:rFonts w:hint="eastAsia" w:ascii="宋体" w:hAnsi="宋体" w:cs="宋体"/>
                <w:b w:val="0"/>
                <w:bCs/>
                <w:color w:val="auto"/>
                <w:szCs w:val="21"/>
                <w:highlight w:val="none"/>
                <w:lang w:val="en-US" w:eastAsia="zh-CN"/>
              </w:rPr>
              <w:t>1</w:t>
            </w:r>
            <w:r>
              <w:rPr>
                <w:rFonts w:hint="eastAsia" w:ascii="宋体" w:hAnsi="宋体" w:cs="宋体"/>
                <w:b w:val="0"/>
                <w:bCs/>
                <w:color w:val="auto"/>
                <w:szCs w:val="21"/>
                <w:highlight w:val="none"/>
              </w:rPr>
              <w:t>时</w:t>
            </w:r>
            <w:r>
              <w:rPr>
                <w:rFonts w:hint="eastAsia" w:ascii="宋体" w:hAnsi="宋体" w:cs="宋体"/>
                <w:color w:val="auto"/>
                <w:kern w:val="0"/>
                <w:szCs w:val="21"/>
                <w:highlight w:val="none"/>
              </w:rPr>
              <w:t>前</w:t>
            </w:r>
            <w:r>
              <w:rPr>
                <w:rFonts w:hint="eastAsia" w:ascii="宋体" w:hAnsi="宋体" w:eastAsia="宋体" w:cs="宋体"/>
                <w:color w:val="auto"/>
                <w:szCs w:val="21"/>
                <w:highlight w:val="none"/>
              </w:rPr>
              <w:t>将疑问内容</w:t>
            </w:r>
            <w:r>
              <w:rPr>
                <w:rFonts w:hint="eastAsia" w:ascii="宋体" w:hAnsi="宋体" w:eastAsia="宋体" w:cs="宋体"/>
                <w:color w:val="auto"/>
                <w:szCs w:val="21"/>
                <w:highlight w:val="none"/>
                <w:lang w:val="en-US" w:eastAsia="zh-CN"/>
              </w:rPr>
              <w:t>通过登录新点电子交易平台【滁州专区】线上提出异议</w:t>
            </w:r>
            <w:r>
              <w:rPr>
                <w:rFonts w:hint="default" w:ascii="宋体" w:hAnsi="宋体" w:eastAsia="宋体" w:cs="宋体"/>
                <w:color w:val="auto"/>
                <w:highlight w:val="none"/>
              </w:rPr>
              <w:t>。</w:t>
            </w:r>
          </w:p>
        </w:tc>
      </w:tr>
      <w:tr w14:paraId="4D284206">
        <w:tblPrEx>
          <w:tblCellMar>
            <w:top w:w="0" w:type="dxa"/>
            <w:left w:w="108" w:type="dxa"/>
            <w:bottom w:w="0" w:type="dxa"/>
            <w:right w:w="108" w:type="dxa"/>
          </w:tblCellMar>
        </w:tblPrEx>
        <w:trPr>
          <w:jc w:val="center"/>
        </w:trPr>
        <w:tc>
          <w:tcPr>
            <w:tcW w:w="868" w:type="dxa"/>
            <w:tcBorders>
              <w:top w:val="single" w:color="auto" w:sz="4" w:space="0"/>
              <w:left w:val="single" w:color="auto" w:sz="4" w:space="0"/>
              <w:bottom w:val="single" w:color="auto" w:sz="4" w:space="0"/>
              <w:right w:val="single" w:color="auto" w:sz="4" w:space="0"/>
            </w:tcBorders>
            <w:noWrap/>
            <w:vAlign w:val="center"/>
          </w:tcPr>
          <w:p w14:paraId="7BFFA56E">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14</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54475C41">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招标人澄清的时间及方式</w:t>
            </w:r>
          </w:p>
        </w:tc>
        <w:tc>
          <w:tcPr>
            <w:tcW w:w="6837" w:type="dxa"/>
            <w:tcBorders>
              <w:top w:val="single" w:color="auto" w:sz="4" w:space="0"/>
              <w:left w:val="single" w:color="auto" w:sz="4" w:space="0"/>
              <w:bottom w:val="single" w:color="auto" w:sz="4" w:space="0"/>
              <w:right w:val="single" w:color="auto" w:sz="4" w:space="0"/>
            </w:tcBorders>
            <w:noWrap/>
            <w:vAlign w:val="center"/>
          </w:tcPr>
          <w:p w14:paraId="0D52D2F4">
            <w:pPr>
              <w:keepNext w:val="0"/>
              <w:keepLines w:val="0"/>
              <w:pageBreakBefore w:val="0"/>
              <w:suppressLineNumbers w:val="0"/>
              <w:kinsoku/>
              <w:wordWrap/>
              <w:overflowPunct/>
              <w:autoSpaceDN/>
              <w:bidi w:val="0"/>
              <w:spacing w:before="0" w:beforeAutospacing="0" w:after="0" w:afterAutospacing="0" w:line="440" w:lineRule="exact"/>
              <w:ind w:left="0" w:right="0"/>
              <w:textAlignment w:val="auto"/>
              <w:rPr>
                <w:rFonts w:hint="default" w:ascii="宋体" w:hAnsi="宋体" w:cs="宋体"/>
                <w:color w:val="auto"/>
                <w:szCs w:val="21"/>
                <w:highlight w:val="none"/>
              </w:rPr>
            </w:pPr>
            <w:r>
              <w:rPr>
                <w:rFonts w:hint="eastAsia" w:ascii="宋体" w:hAnsi="宋体" w:cs="宋体"/>
                <w:color w:val="auto"/>
                <w:szCs w:val="21"/>
                <w:highlight w:val="none"/>
              </w:rPr>
              <w:fldChar w:fldCharType="begin"/>
            </w:r>
            <w:r>
              <w:rPr>
                <w:rFonts w:hint="eastAsia" w:ascii="宋体" w:hAnsi="宋体" w:cs="宋体"/>
                <w:color w:val="auto"/>
                <w:szCs w:val="21"/>
                <w:highlight w:val="none"/>
              </w:rPr>
              <w:instrText xml:space="preserve"> HYPERLINK "mailto:日11时前将疑问内容以电子邮件形式发送至66267656@qq.com（安徽佳宝信项目管理有限公司邮箱），招标人将在2020年6月" </w:instrText>
            </w:r>
            <w:r>
              <w:rPr>
                <w:rFonts w:hint="eastAsia" w:ascii="宋体" w:hAnsi="宋体" w:cs="宋体"/>
                <w:color w:val="auto"/>
                <w:szCs w:val="21"/>
                <w:highlight w:val="none"/>
              </w:rPr>
              <w:fldChar w:fldCharType="separate"/>
            </w:r>
            <w:r>
              <w:rPr>
                <w:rFonts w:hint="eastAsia" w:ascii="宋体" w:hAnsi="宋体" w:cs="宋体"/>
                <w:color w:val="auto"/>
                <w:szCs w:val="21"/>
                <w:highlight w:val="none"/>
              </w:rPr>
              <w:t>招标人将在</w:t>
            </w:r>
            <w:r>
              <w:rPr>
                <w:rFonts w:hint="eastAsia" w:ascii="宋体" w:hAnsi="宋体" w:cs="宋体"/>
                <w:b w:val="0"/>
                <w:bCs/>
                <w:color w:val="auto"/>
                <w:szCs w:val="21"/>
                <w:highlight w:val="none"/>
              </w:rPr>
              <w:t>202</w:t>
            </w:r>
            <w:r>
              <w:rPr>
                <w:rFonts w:hint="eastAsia" w:ascii="宋体" w:hAnsi="宋体" w:cs="宋体"/>
                <w:b w:val="0"/>
                <w:bCs/>
                <w:color w:val="auto"/>
                <w:szCs w:val="21"/>
                <w:highlight w:val="none"/>
                <w:lang w:val="en-US" w:eastAsia="zh-CN"/>
              </w:rPr>
              <w:t>5</w:t>
            </w:r>
            <w:r>
              <w:rPr>
                <w:rFonts w:hint="eastAsia" w:ascii="宋体" w:hAnsi="宋体" w:cs="宋体"/>
                <w:b w:val="0"/>
                <w:bCs/>
                <w:color w:val="auto"/>
                <w:szCs w:val="21"/>
                <w:highlight w:val="none"/>
              </w:rPr>
              <w:t>年</w:t>
            </w:r>
            <w:r>
              <w:rPr>
                <w:rFonts w:hint="eastAsia" w:ascii="宋体" w:hAnsi="宋体" w:cs="宋体"/>
                <w:b w:val="0"/>
                <w:bCs/>
                <w:color w:val="auto"/>
                <w:szCs w:val="21"/>
                <w:highlight w:val="none"/>
                <w:lang w:val="en-US" w:eastAsia="zh-CN"/>
              </w:rPr>
              <w:t>3</w:t>
            </w:r>
            <w:r>
              <w:rPr>
                <w:rFonts w:hint="eastAsia" w:ascii="宋体" w:hAnsi="宋体" w:cs="宋体"/>
                <w:b w:val="0"/>
                <w:bCs/>
                <w:color w:val="auto"/>
                <w:szCs w:val="21"/>
                <w:highlight w:val="none"/>
              </w:rPr>
              <w:t>月</w:t>
            </w:r>
            <w:r>
              <w:rPr>
                <w:rFonts w:hint="eastAsia" w:ascii="宋体" w:hAnsi="宋体" w:cs="宋体"/>
                <w:b w:val="0"/>
                <w:bCs/>
                <w:color w:val="auto"/>
                <w:szCs w:val="21"/>
                <w:highlight w:val="none"/>
                <w:lang w:val="en-US" w:eastAsia="zh-CN"/>
              </w:rPr>
              <w:t>21</w:t>
            </w:r>
            <w:r>
              <w:rPr>
                <w:rFonts w:hint="eastAsia" w:ascii="宋体" w:hAnsi="宋体" w:cs="宋体"/>
                <w:b w:val="0"/>
                <w:bCs/>
                <w:color w:val="auto"/>
                <w:szCs w:val="21"/>
                <w:highlight w:val="none"/>
              </w:rPr>
              <w:t>日</w:t>
            </w:r>
            <w:r>
              <w:rPr>
                <w:rFonts w:hint="eastAsia" w:ascii="宋体" w:hAnsi="宋体" w:cs="宋体"/>
                <w:color w:val="auto"/>
                <w:szCs w:val="21"/>
                <w:highlight w:val="none"/>
              </w:rPr>
              <w:fldChar w:fldCharType="end"/>
            </w:r>
            <w:r>
              <w:rPr>
                <w:rFonts w:hint="eastAsia" w:ascii="宋体" w:hAnsi="宋体" w:cs="宋体"/>
                <w:color w:val="auto"/>
                <w:szCs w:val="21"/>
                <w:highlight w:val="none"/>
                <w:lang w:val="en-US" w:eastAsia="zh-CN"/>
              </w:rPr>
              <w:t>17</w:t>
            </w:r>
            <w:r>
              <w:rPr>
                <w:rFonts w:hint="eastAsia" w:ascii="宋体" w:hAnsi="宋体" w:cs="宋体"/>
                <w:color w:val="auto"/>
                <w:szCs w:val="21"/>
                <w:highlight w:val="none"/>
              </w:rPr>
              <w:t>时</w:t>
            </w:r>
            <w:r>
              <w:rPr>
                <w:rFonts w:hint="eastAsia" w:ascii="宋体" w:hAnsi="宋体" w:cs="宋体"/>
                <w:color w:val="auto"/>
                <w:szCs w:val="21"/>
                <w:highlight w:val="none"/>
                <w:lang w:val="en-US" w:eastAsia="zh-CN"/>
              </w:rPr>
              <w:t>前在</w:t>
            </w:r>
            <w:r>
              <w:rPr>
                <w:rFonts w:hint="eastAsia" w:ascii="宋体" w:hAnsi="宋体" w:cs="宋体"/>
                <w:color w:val="auto"/>
                <w:sz w:val="21"/>
                <w:szCs w:val="21"/>
                <w:highlight w:val="none"/>
                <w:lang w:val="en-US" w:eastAsia="zh-CN"/>
              </w:rPr>
              <w:t>滁州扬子工业集团有限公司官网（https://czyzgtjt.com/）、</w:t>
            </w:r>
            <w:r>
              <w:rPr>
                <w:rFonts w:hint="eastAsia" w:ascii="宋体" w:hAnsi="宋体" w:eastAsia="宋体" w:cs="宋体"/>
                <w:i w:val="0"/>
                <w:iCs w:val="0"/>
                <w:caps w:val="0"/>
                <w:color w:val="auto"/>
                <w:spacing w:val="0"/>
                <w:sz w:val="21"/>
                <w:szCs w:val="21"/>
                <w:highlight w:val="none"/>
                <w:shd w:val="clear"/>
              </w:rPr>
              <w:t>中国扬子集团官网（http://www.yangzigroup.cn）</w:t>
            </w:r>
            <w:r>
              <w:rPr>
                <w:rFonts w:hint="eastAsia" w:ascii="宋体" w:hAnsi="宋体" w:eastAsia="宋体" w:cs="宋体"/>
                <w:i w:val="0"/>
                <w:iCs w:val="0"/>
                <w:caps w:val="0"/>
                <w:color w:val="auto"/>
                <w:spacing w:val="0"/>
                <w:sz w:val="21"/>
                <w:szCs w:val="21"/>
                <w:highlight w:val="none"/>
                <w:shd w:val="clear"/>
                <w:lang w:eastAsia="zh-CN"/>
              </w:rPr>
              <w:t>、</w:t>
            </w:r>
            <w:r>
              <w:rPr>
                <w:rFonts w:hint="eastAsia" w:ascii="宋体" w:hAnsi="宋体" w:cs="宋体"/>
                <w:color w:val="auto"/>
                <w:sz w:val="21"/>
                <w:szCs w:val="21"/>
                <w:highlight w:val="none"/>
                <w:lang w:val="en-US" w:eastAsia="zh-CN"/>
              </w:rPr>
              <w:t>滁州市城投工程咨询管理有限公司官网（https://www.czctgczx.com/）</w:t>
            </w:r>
            <w:r>
              <w:rPr>
                <w:rFonts w:hint="eastAsia" w:ascii="宋体" w:hAnsi="宋体" w:cs="宋体"/>
                <w:color w:val="auto"/>
                <w:szCs w:val="21"/>
                <w:highlight w:val="none"/>
              </w:rPr>
              <w:t>发布 ，请各位投标人注意查看有关澄清内容，如不及时查看造成后果由投标人自负。</w:t>
            </w:r>
          </w:p>
        </w:tc>
      </w:tr>
      <w:tr w14:paraId="52E1C4F5">
        <w:tblPrEx>
          <w:tblCellMar>
            <w:top w:w="0" w:type="dxa"/>
            <w:left w:w="108" w:type="dxa"/>
            <w:bottom w:w="0" w:type="dxa"/>
            <w:right w:w="108" w:type="dxa"/>
          </w:tblCellMar>
        </w:tblPrEx>
        <w:trPr>
          <w:jc w:val="center"/>
        </w:trPr>
        <w:tc>
          <w:tcPr>
            <w:tcW w:w="868" w:type="dxa"/>
            <w:tcBorders>
              <w:top w:val="single" w:color="auto" w:sz="4" w:space="0"/>
              <w:left w:val="single" w:color="auto" w:sz="4" w:space="0"/>
              <w:bottom w:val="single" w:color="auto" w:sz="4" w:space="0"/>
              <w:right w:val="single" w:color="auto" w:sz="4" w:space="0"/>
            </w:tcBorders>
            <w:noWrap/>
            <w:vAlign w:val="center"/>
          </w:tcPr>
          <w:p w14:paraId="69C72C61">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15</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3DB4338C">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eastAsia" w:ascii="宋体" w:hAnsi="宋体" w:cs="宋体"/>
                <w:color w:val="auto"/>
                <w:szCs w:val="21"/>
                <w:highlight w:val="none"/>
              </w:rPr>
            </w:pPr>
            <w:r>
              <w:rPr>
                <w:rFonts w:hint="eastAsia" w:ascii="宋体" w:hAnsi="宋体" w:cs="宋体"/>
                <w:color w:val="auto"/>
                <w:szCs w:val="21"/>
                <w:highlight w:val="none"/>
              </w:rPr>
              <w:t>分包</w:t>
            </w:r>
          </w:p>
        </w:tc>
        <w:tc>
          <w:tcPr>
            <w:tcW w:w="6837" w:type="dxa"/>
            <w:tcBorders>
              <w:top w:val="single" w:color="auto" w:sz="4" w:space="0"/>
              <w:left w:val="single" w:color="auto" w:sz="4" w:space="0"/>
              <w:bottom w:val="single" w:color="auto" w:sz="4" w:space="0"/>
              <w:right w:val="single" w:color="auto" w:sz="4" w:space="0"/>
            </w:tcBorders>
            <w:noWrap/>
            <w:vAlign w:val="center"/>
          </w:tcPr>
          <w:p w14:paraId="7D36B0B8">
            <w:pPr>
              <w:pStyle w:val="19"/>
              <w:keepNext w:val="0"/>
              <w:keepLines w:val="0"/>
              <w:pageBreakBefore w:val="0"/>
              <w:suppressLineNumbers w:val="0"/>
              <w:kinsoku/>
              <w:wordWrap/>
              <w:overflowPunct/>
              <w:autoSpaceDN/>
              <w:bidi w:val="0"/>
              <w:spacing w:before="0" w:beforeAutospacing="0" w:after="0" w:afterAutospacing="0" w:line="440" w:lineRule="exact"/>
              <w:ind w:left="0" w:right="0"/>
              <w:jc w:val="left"/>
              <w:textAlignment w:val="auto"/>
              <w:rPr>
                <w:rFonts w:hint="eastAsia" w:hAnsi="宋体" w:cs="宋体"/>
                <w:color w:val="auto"/>
                <w:sz w:val="21"/>
                <w:szCs w:val="21"/>
                <w:highlight w:val="none"/>
              </w:rPr>
            </w:pPr>
            <w:r>
              <w:rPr>
                <w:rFonts w:hint="eastAsia" w:hAnsi="宋体" w:cs="宋体"/>
                <w:color w:val="auto"/>
                <w:sz w:val="21"/>
                <w:szCs w:val="21"/>
                <w:highlight w:val="none"/>
                <w:lang w:eastAsia="zh-CN"/>
              </w:rPr>
              <w:t>☑</w:t>
            </w:r>
            <w:r>
              <w:rPr>
                <w:rFonts w:hint="eastAsia" w:hAnsi="宋体" w:cs="宋体"/>
                <w:color w:val="auto"/>
                <w:sz w:val="21"/>
                <w:szCs w:val="21"/>
                <w:highlight w:val="none"/>
              </w:rPr>
              <w:t>不允许</w:t>
            </w:r>
          </w:p>
          <w:p w14:paraId="73ECC7A6">
            <w:pPr>
              <w:keepNext w:val="0"/>
              <w:keepLines w:val="0"/>
              <w:pageBreakBefore w:val="0"/>
              <w:suppressLineNumbers w:val="0"/>
              <w:kinsoku/>
              <w:wordWrap/>
              <w:overflowPunct/>
              <w:autoSpaceDN/>
              <w:bidi w:val="0"/>
              <w:spacing w:before="0" w:beforeAutospacing="0" w:after="0" w:afterAutospacing="0" w:line="440" w:lineRule="exact"/>
              <w:ind w:left="0" w:right="0"/>
              <w:jc w:val="left"/>
              <w:textAlignment w:val="auto"/>
              <w:rPr>
                <w:rFonts w:hint="eastAsia"/>
                <w:color w:val="auto"/>
                <w:szCs w:val="21"/>
                <w:highlight w:val="none"/>
              </w:rPr>
            </w:pPr>
            <w:r>
              <w:rPr>
                <w:rFonts w:hint="eastAsia" w:hAnsi="宋体" w:cs="宋体"/>
                <w:color w:val="auto"/>
                <w:sz w:val="21"/>
                <w:szCs w:val="21"/>
                <w:highlight w:val="none"/>
                <w:lang w:eastAsia="zh-CN"/>
              </w:rPr>
              <w:t>□</w:t>
            </w:r>
            <w:r>
              <w:rPr>
                <w:rFonts w:hint="eastAsia" w:ascii="宋体" w:hAnsi="宋体" w:cs="宋体"/>
                <w:color w:val="auto"/>
                <w:szCs w:val="21"/>
                <w:highlight w:val="none"/>
              </w:rPr>
              <w:t>允许，分包内容要求：/</w:t>
            </w:r>
          </w:p>
          <w:p w14:paraId="4B95446A">
            <w:pPr>
              <w:keepNext w:val="0"/>
              <w:keepLines w:val="0"/>
              <w:pageBreakBefore w:val="0"/>
              <w:suppressLineNumbers w:val="0"/>
              <w:kinsoku/>
              <w:wordWrap/>
              <w:overflowPunct/>
              <w:autoSpaceDN/>
              <w:bidi w:val="0"/>
              <w:spacing w:before="0" w:beforeAutospacing="0" w:after="0" w:afterAutospacing="0" w:line="440" w:lineRule="exact"/>
              <w:ind w:left="0" w:right="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分包金额要求：/</w:t>
            </w:r>
          </w:p>
          <w:p w14:paraId="0994BF99">
            <w:pPr>
              <w:pStyle w:val="19"/>
              <w:keepNext w:val="0"/>
              <w:keepLines w:val="0"/>
              <w:pageBreakBefore w:val="0"/>
              <w:suppressLineNumbers w:val="0"/>
              <w:kinsoku/>
              <w:wordWrap/>
              <w:overflowPunct/>
              <w:autoSpaceDN/>
              <w:bidi w:val="0"/>
              <w:spacing w:before="0" w:beforeAutospacing="0" w:after="0" w:afterAutospacing="0" w:line="440" w:lineRule="exact"/>
              <w:ind w:left="0" w:right="0"/>
              <w:jc w:val="left"/>
              <w:textAlignment w:val="auto"/>
              <w:rPr>
                <w:rFonts w:hint="eastAsia"/>
                <w:color w:val="auto"/>
                <w:highlight w:val="none"/>
              </w:rPr>
            </w:pPr>
            <w:r>
              <w:rPr>
                <w:rFonts w:hint="eastAsia" w:hAnsi="宋体" w:cs="宋体"/>
                <w:color w:val="auto"/>
                <w:sz w:val="21"/>
                <w:szCs w:val="21"/>
                <w:highlight w:val="none"/>
              </w:rPr>
              <w:t>接受分包的第三人资质要求：/</w:t>
            </w:r>
          </w:p>
        </w:tc>
      </w:tr>
      <w:tr w14:paraId="03DAF777">
        <w:tblPrEx>
          <w:tblCellMar>
            <w:top w:w="0" w:type="dxa"/>
            <w:left w:w="108" w:type="dxa"/>
            <w:bottom w:w="0" w:type="dxa"/>
            <w:right w:w="108" w:type="dxa"/>
          </w:tblCellMar>
        </w:tblPrEx>
        <w:trPr>
          <w:jc w:val="center"/>
        </w:trPr>
        <w:tc>
          <w:tcPr>
            <w:tcW w:w="868" w:type="dxa"/>
            <w:tcBorders>
              <w:top w:val="single" w:color="auto" w:sz="4" w:space="0"/>
              <w:left w:val="single" w:color="auto" w:sz="4" w:space="0"/>
              <w:bottom w:val="single" w:color="auto" w:sz="4" w:space="0"/>
              <w:right w:val="single" w:color="auto" w:sz="4" w:space="0"/>
            </w:tcBorders>
            <w:noWrap/>
            <w:vAlign w:val="center"/>
          </w:tcPr>
          <w:p w14:paraId="04F44035">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6</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73586636">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偏离</w:t>
            </w:r>
          </w:p>
        </w:tc>
        <w:tc>
          <w:tcPr>
            <w:tcW w:w="6837" w:type="dxa"/>
            <w:tcBorders>
              <w:top w:val="single" w:color="auto" w:sz="4" w:space="0"/>
              <w:left w:val="single" w:color="auto" w:sz="4" w:space="0"/>
              <w:bottom w:val="single" w:color="auto" w:sz="4" w:space="0"/>
              <w:right w:val="single" w:color="auto" w:sz="4" w:space="0"/>
            </w:tcBorders>
            <w:noWrap/>
            <w:vAlign w:val="center"/>
          </w:tcPr>
          <w:p w14:paraId="58E85EB3">
            <w:pPr>
              <w:pStyle w:val="19"/>
              <w:keepNext w:val="0"/>
              <w:keepLines w:val="0"/>
              <w:pageBreakBefore w:val="0"/>
              <w:suppressLineNumbers w:val="0"/>
              <w:kinsoku/>
              <w:wordWrap/>
              <w:overflowPunct/>
              <w:topLinePunct/>
              <w:autoSpaceDN/>
              <w:bidi w:val="0"/>
              <w:spacing w:before="0" w:beforeAutospacing="0" w:after="0" w:afterAutospacing="0" w:line="440" w:lineRule="exact"/>
              <w:ind w:left="0" w:right="0"/>
              <w:textAlignment w:val="auto"/>
              <w:rPr>
                <w:rFonts w:hint="default" w:hAnsi="宋体" w:cs="宋体"/>
                <w:color w:val="auto"/>
                <w:sz w:val="21"/>
                <w:szCs w:val="21"/>
                <w:highlight w:val="none"/>
              </w:rPr>
            </w:pPr>
            <w:r>
              <w:rPr>
                <w:rFonts w:hint="eastAsia"/>
                <w:color w:val="auto"/>
                <w:highlight w:val="none"/>
              </w:rPr>
              <w:t>☑</w:t>
            </w:r>
            <w:r>
              <w:rPr>
                <w:rFonts w:hint="eastAsia" w:hAnsi="宋体" w:cs="宋体"/>
                <w:color w:val="auto"/>
                <w:sz w:val="21"/>
                <w:szCs w:val="21"/>
                <w:highlight w:val="none"/>
              </w:rPr>
              <w:t>不允许；□允许</w:t>
            </w:r>
          </w:p>
        </w:tc>
      </w:tr>
      <w:tr w14:paraId="07C72761">
        <w:tblPrEx>
          <w:tblCellMar>
            <w:top w:w="0" w:type="dxa"/>
            <w:left w:w="108" w:type="dxa"/>
            <w:bottom w:w="0" w:type="dxa"/>
            <w:right w:w="108" w:type="dxa"/>
          </w:tblCellMar>
        </w:tblPrEx>
        <w:trPr>
          <w:jc w:val="center"/>
        </w:trPr>
        <w:tc>
          <w:tcPr>
            <w:tcW w:w="868" w:type="dxa"/>
            <w:tcBorders>
              <w:top w:val="single" w:color="auto" w:sz="4" w:space="0"/>
              <w:left w:val="single" w:color="auto" w:sz="4" w:space="0"/>
              <w:bottom w:val="single" w:color="auto" w:sz="4" w:space="0"/>
              <w:right w:val="single" w:color="auto" w:sz="4" w:space="0"/>
            </w:tcBorders>
            <w:noWrap/>
            <w:vAlign w:val="center"/>
          </w:tcPr>
          <w:p w14:paraId="6F3BD26D">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17</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05C5C577">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构成招标文件的其他材料</w:t>
            </w:r>
          </w:p>
        </w:tc>
        <w:tc>
          <w:tcPr>
            <w:tcW w:w="6837" w:type="dxa"/>
            <w:tcBorders>
              <w:top w:val="single" w:color="auto" w:sz="4" w:space="0"/>
              <w:left w:val="single" w:color="auto" w:sz="4" w:space="0"/>
              <w:bottom w:val="single" w:color="auto" w:sz="4" w:space="0"/>
              <w:right w:val="single" w:color="auto" w:sz="4" w:space="0"/>
            </w:tcBorders>
            <w:noWrap/>
            <w:vAlign w:val="center"/>
          </w:tcPr>
          <w:p w14:paraId="38BA4691">
            <w:pPr>
              <w:keepNext w:val="0"/>
              <w:keepLines w:val="0"/>
              <w:pageBreakBefore w:val="0"/>
              <w:suppressLineNumbers w:val="0"/>
              <w:kinsoku/>
              <w:wordWrap/>
              <w:overflowPunct/>
              <w:autoSpaceDN/>
              <w:bidi w:val="0"/>
              <w:spacing w:before="0" w:beforeAutospacing="0" w:after="0" w:afterAutospacing="0" w:line="440" w:lineRule="exact"/>
              <w:ind w:left="0" w:right="0"/>
              <w:textAlignment w:val="auto"/>
              <w:rPr>
                <w:rFonts w:hint="default" w:ascii="宋体" w:hAnsi="宋体" w:cs="宋体"/>
                <w:color w:val="auto"/>
                <w:szCs w:val="21"/>
                <w:highlight w:val="none"/>
              </w:rPr>
            </w:pPr>
            <w:r>
              <w:rPr>
                <w:rFonts w:hint="eastAsia" w:ascii="宋体" w:hAnsi="宋体" w:cs="宋体"/>
                <w:color w:val="auto"/>
                <w:szCs w:val="21"/>
                <w:highlight w:val="none"/>
              </w:rPr>
              <w:t>招标人提供的其他材料及招标澄清答疑文件</w:t>
            </w:r>
            <w:r>
              <w:rPr>
                <w:rFonts w:hint="eastAsia" w:ascii="宋体" w:hAnsi="宋体" w:cs="宋体"/>
                <w:color w:val="auto"/>
                <w:szCs w:val="21"/>
                <w:highlight w:val="none"/>
                <w:lang w:val="en-US" w:eastAsia="zh-CN"/>
              </w:rPr>
              <w:t>等</w:t>
            </w:r>
            <w:r>
              <w:rPr>
                <w:rFonts w:hint="eastAsia" w:ascii="宋体" w:hAnsi="宋体" w:cs="宋体"/>
                <w:color w:val="auto"/>
                <w:szCs w:val="21"/>
                <w:highlight w:val="none"/>
              </w:rPr>
              <w:t>。</w:t>
            </w:r>
          </w:p>
        </w:tc>
      </w:tr>
      <w:tr w14:paraId="7F6DD9FF">
        <w:tblPrEx>
          <w:tblCellMar>
            <w:top w:w="0" w:type="dxa"/>
            <w:left w:w="108" w:type="dxa"/>
            <w:bottom w:w="0" w:type="dxa"/>
            <w:right w:w="108" w:type="dxa"/>
          </w:tblCellMar>
        </w:tblPrEx>
        <w:trPr>
          <w:trHeight w:val="404" w:hRule="atLeast"/>
          <w:jc w:val="center"/>
        </w:trPr>
        <w:tc>
          <w:tcPr>
            <w:tcW w:w="868" w:type="dxa"/>
            <w:tcBorders>
              <w:top w:val="single" w:color="auto" w:sz="4" w:space="0"/>
              <w:left w:val="single" w:color="auto" w:sz="4" w:space="0"/>
              <w:bottom w:val="single" w:color="auto" w:sz="4" w:space="0"/>
              <w:right w:val="single" w:color="auto" w:sz="4" w:space="0"/>
            </w:tcBorders>
            <w:noWrap/>
            <w:vAlign w:val="center"/>
          </w:tcPr>
          <w:p w14:paraId="42A2EFAF">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18</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3D9F2F54">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投标人要求澄清招标文件的截止时间及方式</w:t>
            </w:r>
          </w:p>
        </w:tc>
        <w:tc>
          <w:tcPr>
            <w:tcW w:w="6837" w:type="dxa"/>
            <w:tcBorders>
              <w:top w:val="single" w:color="auto" w:sz="4" w:space="0"/>
              <w:left w:val="single" w:color="auto" w:sz="4" w:space="0"/>
              <w:bottom w:val="single" w:color="auto" w:sz="4" w:space="0"/>
              <w:right w:val="single" w:color="auto" w:sz="4" w:space="0"/>
            </w:tcBorders>
            <w:noWrap/>
            <w:vAlign w:val="center"/>
          </w:tcPr>
          <w:p w14:paraId="7750DC1D">
            <w:pPr>
              <w:keepNext w:val="0"/>
              <w:keepLines w:val="0"/>
              <w:pageBreakBefore w:val="0"/>
              <w:suppressLineNumbers w:val="0"/>
              <w:kinsoku/>
              <w:wordWrap/>
              <w:overflowPunct/>
              <w:autoSpaceDN/>
              <w:bidi w:val="0"/>
              <w:spacing w:before="0" w:beforeAutospacing="0" w:after="0" w:afterAutospacing="0" w:line="440" w:lineRule="exact"/>
              <w:ind w:left="0" w:right="0"/>
              <w:textAlignment w:val="auto"/>
              <w:rPr>
                <w:rFonts w:hint="default" w:ascii="宋体" w:hAnsi="宋体" w:cs="宋体"/>
                <w:color w:val="auto"/>
                <w:szCs w:val="21"/>
                <w:highlight w:val="none"/>
              </w:rPr>
            </w:pPr>
            <w:r>
              <w:rPr>
                <w:rFonts w:hint="eastAsia" w:ascii="宋体" w:hAnsi="宋体" w:cs="宋体"/>
                <w:color w:val="auto"/>
                <w:szCs w:val="21"/>
                <w:highlight w:val="none"/>
              </w:rPr>
              <w:t>同本表第13条</w:t>
            </w:r>
          </w:p>
        </w:tc>
      </w:tr>
      <w:tr w14:paraId="3E5AD5EC">
        <w:tblPrEx>
          <w:tblCellMar>
            <w:top w:w="0" w:type="dxa"/>
            <w:left w:w="108" w:type="dxa"/>
            <w:bottom w:w="0" w:type="dxa"/>
            <w:right w:w="108" w:type="dxa"/>
          </w:tblCellMar>
        </w:tblPrEx>
        <w:trPr>
          <w:trHeight w:val="404" w:hRule="atLeast"/>
          <w:jc w:val="center"/>
        </w:trPr>
        <w:tc>
          <w:tcPr>
            <w:tcW w:w="868" w:type="dxa"/>
            <w:tcBorders>
              <w:top w:val="single" w:color="auto" w:sz="4" w:space="0"/>
              <w:left w:val="single" w:color="auto" w:sz="4" w:space="0"/>
              <w:bottom w:val="single" w:color="auto" w:sz="4" w:space="0"/>
              <w:right w:val="single" w:color="auto" w:sz="4" w:space="0"/>
            </w:tcBorders>
            <w:noWrap/>
            <w:vAlign w:val="center"/>
          </w:tcPr>
          <w:p w14:paraId="29DDA6BD">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19</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637EEB0B">
            <w:pPr>
              <w:keepNext w:val="0"/>
              <w:keepLines w:val="0"/>
              <w:pageBreakBefore w:val="0"/>
              <w:suppressLineNumbers w:val="0"/>
              <w:kinsoku/>
              <w:wordWrap/>
              <w:overflowPunct/>
              <w:autoSpaceDN/>
              <w:bidi w:val="0"/>
              <w:adjustRightInd w:val="0"/>
              <w:snapToGrid w:val="0"/>
              <w:spacing w:before="0" w:beforeAutospacing="0" w:after="0" w:afterAutospacing="0" w:line="440" w:lineRule="exact"/>
              <w:ind w:left="0" w:right="0"/>
              <w:jc w:val="center"/>
              <w:textAlignment w:val="auto"/>
              <w:rPr>
                <w:rFonts w:hint="eastAsia" w:ascii="宋体" w:hAnsi="宋体" w:cs="宋体"/>
                <w:color w:val="auto"/>
                <w:szCs w:val="21"/>
                <w:highlight w:val="none"/>
              </w:rPr>
            </w:pPr>
            <w:r>
              <w:rPr>
                <w:rFonts w:hint="eastAsia" w:ascii="宋体" w:hAnsi="宋体" w:eastAsia="宋体" w:cs="宋体"/>
                <w:color w:val="auto"/>
                <w:sz w:val="21"/>
                <w:szCs w:val="21"/>
                <w:highlight w:val="none"/>
              </w:rPr>
              <w:t>增值税税金</w:t>
            </w:r>
          </w:p>
        </w:tc>
        <w:tc>
          <w:tcPr>
            <w:tcW w:w="6837" w:type="dxa"/>
            <w:tcBorders>
              <w:top w:val="single" w:color="auto" w:sz="4" w:space="0"/>
              <w:left w:val="single" w:color="auto" w:sz="4" w:space="0"/>
              <w:bottom w:val="single" w:color="auto" w:sz="4" w:space="0"/>
              <w:right w:val="single" w:color="auto" w:sz="4" w:space="0"/>
            </w:tcBorders>
            <w:noWrap/>
            <w:vAlign w:val="top"/>
          </w:tcPr>
          <w:p w14:paraId="2743E787">
            <w:pPr>
              <w:keepNext w:val="0"/>
              <w:keepLines w:val="0"/>
              <w:pageBreakBefore w:val="0"/>
              <w:suppressLineNumbers w:val="0"/>
              <w:kinsoku/>
              <w:wordWrap/>
              <w:overflowPunct/>
              <w:autoSpaceDN/>
              <w:bidi w:val="0"/>
              <w:adjustRightInd w:val="0"/>
              <w:snapToGrid w:val="0"/>
              <w:spacing w:before="0" w:beforeAutospacing="0" w:after="0" w:afterAutospacing="0" w:line="440" w:lineRule="exact"/>
              <w:ind w:left="0" w:right="0"/>
              <w:textAlignment w:val="auto"/>
              <w:rPr>
                <w:rFonts w:hint="eastAsia" w:ascii="宋体" w:hAnsi="宋体" w:eastAsia="宋体" w:cs="宋体"/>
                <w:bCs/>
                <w:snapToGrid w:val="0"/>
                <w:color w:val="auto"/>
                <w:kern w:val="0"/>
                <w:sz w:val="21"/>
                <w:szCs w:val="21"/>
                <w:highlight w:val="none"/>
              </w:rPr>
            </w:pPr>
            <w:r>
              <w:rPr>
                <w:rFonts w:hint="eastAsia" w:ascii="宋体" w:hAnsi="宋体" w:eastAsia="宋体" w:cs="宋体"/>
                <w:bCs/>
                <w:snapToGrid w:val="0"/>
                <w:color w:val="auto"/>
                <w:kern w:val="0"/>
                <w:sz w:val="21"/>
                <w:szCs w:val="21"/>
                <w:highlight w:val="none"/>
              </w:rPr>
              <w:t>（1）计税方法：</w:t>
            </w:r>
          </w:p>
          <w:p w14:paraId="326C794A">
            <w:pPr>
              <w:keepNext w:val="0"/>
              <w:keepLines w:val="0"/>
              <w:pageBreakBefore w:val="0"/>
              <w:suppressLineNumbers w:val="0"/>
              <w:kinsoku/>
              <w:wordWrap/>
              <w:overflowPunct/>
              <w:autoSpaceDN/>
              <w:bidi w:val="0"/>
              <w:adjustRightInd w:val="0"/>
              <w:snapToGrid w:val="0"/>
              <w:spacing w:before="0" w:beforeAutospacing="0" w:after="0" w:afterAutospacing="0" w:line="440" w:lineRule="exact"/>
              <w:ind w:left="0" w:right="0" w:firstLine="420" w:firstLineChars="200"/>
              <w:textAlignment w:val="auto"/>
              <w:rPr>
                <w:rFonts w:hint="eastAsia" w:ascii="宋体" w:hAnsi="宋体" w:eastAsia="宋体" w:cs="宋体"/>
                <w:bCs/>
                <w:snapToGrid w:val="0"/>
                <w:color w:val="auto"/>
                <w:kern w:val="0"/>
                <w:sz w:val="21"/>
                <w:szCs w:val="21"/>
                <w:highlight w:val="none"/>
              </w:rPr>
            </w:pPr>
            <w:r>
              <w:rPr>
                <w:rFonts w:hint="eastAsia" w:ascii="宋体" w:hAnsi="宋体" w:eastAsia="宋体" w:cs="宋体"/>
                <w:bCs/>
                <w:snapToGrid w:val="0"/>
                <w:color w:val="auto"/>
                <w:kern w:val="0"/>
                <w:sz w:val="21"/>
                <w:szCs w:val="21"/>
                <w:highlight w:val="none"/>
                <w:lang w:eastAsia="zh-CN"/>
              </w:rPr>
              <w:t>☑</w:t>
            </w:r>
            <w:r>
              <w:rPr>
                <w:rFonts w:hint="eastAsia" w:ascii="宋体" w:hAnsi="宋体" w:eastAsia="宋体" w:cs="宋体"/>
                <w:bCs/>
                <w:snapToGrid w:val="0"/>
                <w:color w:val="auto"/>
                <w:kern w:val="0"/>
                <w:sz w:val="21"/>
                <w:szCs w:val="21"/>
                <w:highlight w:val="none"/>
              </w:rPr>
              <w:t>一般计税方法</w:t>
            </w:r>
          </w:p>
          <w:p w14:paraId="192A427E">
            <w:pPr>
              <w:keepNext w:val="0"/>
              <w:keepLines w:val="0"/>
              <w:pageBreakBefore w:val="0"/>
              <w:suppressLineNumbers w:val="0"/>
              <w:kinsoku/>
              <w:wordWrap/>
              <w:overflowPunct/>
              <w:autoSpaceDN/>
              <w:bidi w:val="0"/>
              <w:adjustRightInd w:val="0"/>
              <w:snapToGrid w:val="0"/>
              <w:spacing w:before="0" w:beforeAutospacing="0" w:after="0" w:afterAutospacing="0" w:line="440" w:lineRule="exact"/>
              <w:ind w:left="0" w:right="0" w:firstLine="420" w:firstLineChars="200"/>
              <w:textAlignment w:val="auto"/>
              <w:rPr>
                <w:rFonts w:hint="eastAsia" w:ascii="宋体" w:hAnsi="宋体" w:eastAsia="宋体" w:cs="宋体"/>
                <w:bCs/>
                <w:snapToGrid w:val="0"/>
                <w:color w:val="auto"/>
                <w:kern w:val="0"/>
                <w:sz w:val="21"/>
                <w:szCs w:val="21"/>
                <w:highlight w:val="none"/>
              </w:rPr>
            </w:pPr>
            <w:r>
              <w:rPr>
                <w:rFonts w:hint="eastAsia" w:ascii="宋体" w:hAnsi="宋体" w:eastAsia="宋体" w:cs="宋体"/>
                <w:bCs/>
                <w:snapToGrid w:val="0"/>
                <w:color w:val="auto"/>
                <w:kern w:val="0"/>
                <w:sz w:val="21"/>
                <w:szCs w:val="21"/>
                <w:highlight w:val="none"/>
              </w:rPr>
              <w:t xml:space="preserve">□简易计算方法 </w:t>
            </w:r>
          </w:p>
          <w:p w14:paraId="6ADC5354">
            <w:pPr>
              <w:keepNext w:val="0"/>
              <w:keepLines w:val="0"/>
              <w:pageBreakBefore w:val="0"/>
              <w:suppressLineNumbers w:val="0"/>
              <w:kinsoku/>
              <w:wordWrap/>
              <w:overflowPunct/>
              <w:autoSpaceDN/>
              <w:bidi w:val="0"/>
              <w:adjustRightInd w:val="0"/>
              <w:snapToGrid w:val="0"/>
              <w:spacing w:before="0" w:beforeAutospacing="0" w:after="0" w:afterAutospacing="0" w:line="440" w:lineRule="exact"/>
              <w:ind w:left="0" w:right="0"/>
              <w:textAlignment w:val="auto"/>
              <w:rPr>
                <w:rFonts w:hint="eastAsia" w:ascii="宋体" w:hAnsi="宋体" w:eastAsia="宋体" w:cs="宋体"/>
                <w:bCs/>
                <w:snapToGrid w:val="0"/>
                <w:color w:val="auto"/>
                <w:kern w:val="0"/>
                <w:sz w:val="21"/>
                <w:szCs w:val="21"/>
                <w:highlight w:val="none"/>
              </w:rPr>
            </w:pPr>
            <w:r>
              <w:rPr>
                <w:rFonts w:hint="eastAsia" w:ascii="宋体" w:hAnsi="宋体" w:eastAsia="宋体" w:cs="宋体"/>
                <w:bCs/>
                <w:snapToGrid w:val="0"/>
                <w:color w:val="auto"/>
                <w:kern w:val="0"/>
                <w:sz w:val="21"/>
                <w:szCs w:val="21"/>
                <w:highlight w:val="none"/>
              </w:rPr>
              <w:t>（2）发票类型：</w:t>
            </w:r>
          </w:p>
          <w:p w14:paraId="391BE110">
            <w:pPr>
              <w:keepNext w:val="0"/>
              <w:keepLines w:val="0"/>
              <w:pageBreakBefore w:val="0"/>
              <w:suppressLineNumbers w:val="0"/>
              <w:kinsoku/>
              <w:wordWrap/>
              <w:overflowPunct/>
              <w:autoSpaceDN/>
              <w:bidi w:val="0"/>
              <w:adjustRightInd w:val="0"/>
              <w:snapToGrid w:val="0"/>
              <w:spacing w:before="0" w:beforeAutospacing="0" w:after="0" w:afterAutospacing="0" w:line="440" w:lineRule="exact"/>
              <w:ind w:left="0" w:right="0" w:firstLine="420" w:firstLineChars="200"/>
              <w:textAlignment w:val="auto"/>
              <w:rPr>
                <w:rFonts w:hint="eastAsia" w:ascii="宋体" w:hAnsi="宋体" w:eastAsia="宋体" w:cs="宋体"/>
                <w:bCs/>
                <w:snapToGrid w:val="0"/>
                <w:color w:val="auto"/>
                <w:kern w:val="0"/>
                <w:sz w:val="21"/>
                <w:szCs w:val="21"/>
                <w:highlight w:val="none"/>
              </w:rPr>
            </w:pPr>
            <w:r>
              <w:rPr>
                <w:rFonts w:hint="eastAsia" w:ascii="宋体" w:hAnsi="宋体" w:eastAsia="宋体" w:cs="宋体"/>
                <w:bCs/>
                <w:snapToGrid w:val="0"/>
                <w:color w:val="auto"/>
                <w:kern w:val="0"/>
                <w:sz w:val="21"/>
                <w:szCs w:val="21"/>
                <w:highlight w:val="none"/>
                <w:lang w:eastAsia="zh-CN"/>
              </w:rPr>
              <w:t>☑</w:t>
            </w:r>
            <w:r>
              <w:rPr>
                <w:rFonts w:hint="eastAsia" w:ascii="宋体" w:hAnsi="宋体" w:eastAsia="宋体" w:cs="宋体"/>
                <w:bCs/>
                <w:snapToGrid w:val="0"/>
                <w:color w:val="auto"/>
                <w:kern w:val="0"/>
                <w:sz w:val="21"/>
                <w:szCs w:val="21"/>
                <w:highlight w:val="none"/>
              </w:rPr>
              <w:t>增值税专用发票</w:t>
            </w:r>
          </w:p>
          <w:p w14:paraId="547B1434">
            <w:pPr>
              <w:keepNext w:val="0"/>
              <w:keepLines w:val="0"/>
              <w:pageBreakBefore w:val="0"/>
              <w:suppressLineNumbers w:val="0"/>
              <w:kinsoku/>
              <w:wordWrap/>
              <w:overflowPunct/>
              <w:autoSpaceDN/>
              <w:bidi w:val="0"/>
              <w:adjustRightInd w:val="0"/>
              <w:snapToGrid w:val="0"/>
              <w:spacing w:before="0" w:beforeAutospacing="0" w:after="0" w:afterAutospacing="0" w:line="440" w:lineRule="exact"/>
              <w:ind w:left="0" w:right="0" w:firstLine="420" w:firstLineChars="200"/>
              <w:textAlignment w:val="auto"/>
              <w:rPr>
                <w:rFonts w:hint="eastAsia" w:ascii="宋体" w:hAnsi="宋体" w:eastAsia="宋体" w:cs="宋体"/>
                <w:bCs/>
                <w:snapToGrid w:val="0"/>
                <w:color w:val="auto"/>
                <w:kern w:val="0"/>
                <w:sz w:val="21"/>
                <w:szCs w:val="21"/>
                <w:highlight w:val="none"/>
              </w:rPr>
            </w:pPr>
            <w:r>
              <w:rPr>
                <w:rFonts w:hint="eastAsia" w:ascii="宋体" w:hAnsi="宋体" w:eastAsia="宋体" w:cs="宋体"/>
                <w:bCs/>
                <w:snapToGrid w:val="0"/>
                <w:color w:val="auto"/>
                <w:kern w:val="0"/>
                <w:sz w:val="21"/>
                <w:szCs w:val="21"/>
                <w:highlight w:val="none"/>
              </w:rPr>
              <w:t>□增值税普通发票</w:t>
            </w:r>
          </w:p>
          <w:p w14:paraId="155D8612">
            <w:pPr>
              <w:keepNext w:val="0"/>
              <w:keepLines w:val="0"/>
              <w:pageBreakBefore w:val="0"/>
              <w:numPr>
                <w:ilvl w:val="0"/>
                <w:numId w:val="2"/>
              </w:numPr>
              <w:suppressLineNumbers w:val="0"/>
              <w:kinsoku/>
              <w:wordWrap/>
              <w:overflowPunct/>
              <w:autoSpaceDN/>
              <w:bidi w:val="0"/>
              <w:adjustRightInd w:val="0"/>
              <w:snapToGrid w:val="0"/>
              <w:spacing w:before="0" w:beforeAutospacing="0" w:after="0" w:afterAutospacing="0" w:line="440" w:lineRule="exact"/>
              <w:ind w:left="0" w:right="0"/>
              <w:textAlignment w:val="auto"/>
              <w:rPr>
                <w:rFonts w:hint="eastAsia" w:ascii="宋体" w:hAnsi="宋体" w:eastAsia="宋体" w:cs="宋体"/>
                <w:bCs/>
                <w:snapToGrid w:val="0"/>
                <w:color w:val="auto"/>
                <w:kern w:val="0"/>
                <w:sz w:val="21"/>
                <w:szCs w:val="21"/>
                <w:highlight w:val="none"/>
              </w:rPr>
            </w:pPr>
            <w:r>
              <w:rPr>
                <w:rFonts w:hint="eastAsia" w:ascii="宋体" w:hAnsi="宋体" w:eastAsia="宋体" w:cs="宋体"/>
                <w:bCs/>
                <w:snapToGrid w:val="0"/>
                <w:color w:val="auto"/>
                <w:kern w:val="0"/>
                <w:sz w:val="21"/>
                <w:szCs w:val="21"/>
                <w:highlight w:val="none"/>
              </w:rPr>
              <w:t>增值税税率按照国家有关规定执行。</w:t>
            </w:r>
          </w:p>
          <w:p w14:paraId="21528713">
            <w:pPr>
              <w:pStyle w:val="19"/>
              <w:keepNext w:val="0"/>
              <w:keepLines w:val="0"/>
              <w:pageBreakBefore w:val="0"/>
              <w:suppressLineNumbers w:val="0"/>
              <w:kinsoku/>
              <w:wordWrap/>
              <w:overflowPunct/>
              <w:topLinePunct/>
              <w:autoSpaceDN/>
              <w:bidi w:val="0"/>
              <w:adjustRightInd w:val="0"/>
              <w:snapToGrid w:val="0"/>
              <w:spacing w:before="0" w:beforeAutospacing="0" w:after="0" w:afterAutospacing="0" w:line="440" w:lineRule="exact"/>
              <w:ind w:left="0" w:right="0" w:firstLine="525" w:firstLineChars="250"/>
              <w:textAlignment w:val="auto"/>
              <w:rPr>
                <w:rFonts w:hint="eastAsia" w:ascii="宋体" w:hAnsi="宋体" w:cs="宋体"/>
                <w:color w:val="auto"/>
                <w:szCs w:val="21"/>
                <w:highlight w:val="none"/>
              </w:rPr>
            </w:pPr>
            <w:r>
              <w:rPr>
                <w:rFonts w:hint="eastAsia" w:ascii="宋体" w:hAnsi="宋体" w:eastAsia="宋体" w:cs="宋体"/>
                <w:bCs/>
                <w:snapToGrid w:val="0"/>
                <w:color w:val="auto"/>
                <w:kern w:val="0"/>
                <w:sz w:val="21"/>
                <w:szCs w:val="21"/>
                <w:highlight w:val="none"/>
              </w:rPr>
              <w:t>其它：</w:t>
            </w:r>
            <w:r>
              <w:rPr>
                <w:rFonts w:hint="eastAsia" w:ascii="宋体" w:hAnsi="宋体" w:eastAsia="宋体" w:cs="宋体"/>
                <w:bCs/>
                <w:snapToGrid w:val="0"/>
                <w:color w:val="auto"/>
                <w:kern w:val="0"/>
                <w:sz w:val="21"/>
                <w:szCs w:val="21"/>
                <w:highlight w:val="none"/>
                <w:u w:val="single"/>
                <w:lang w:val="en-US" w:eastAsia="zh-CN"/>
              </w:rPr>
              <w:t>/</w:t>
            </w:r>
            <w:r>
              <w:rPr>
                <w:rFonts w:hint="eastAsia" w:ascii="宋体" w:hAnsi="宋体" w:eastAsia="宋体" w:cs="宋体"/>
                <w:bCs/>
                <w:snapToGrid w:val="0"/>
                <w:color w:val="auto"/>
                <w:kern w:val="0"/>
                <w:sz w:val="21"/>
                <w:szCs w:val="21"/>
                <w:highlight w:val="none"/>
              </w:rPr>
              <w:t xml:space="preserve"> 。</w:t>
            </w:r>
          </w:p>
        </w:tc>
      </w:tr>
      <w:tr w14:paraId="6D29DC34">
        <w:tblPrEx>
          <w:tblCellMar>
            <w:top w:w="0" w:type="dxa"/>
            <w:left w:w="108" w:type="dxa"/>
            <w:bottom w:w="0" w:type="dxa"/>
            <w:right w:w="108" w:type="dxa"/>
          </w:tblCellMar>
        </w:tblPrEx>
        <w:trPr>
          <w:jc w:val="center"/>
        </w:trPr>
        <w:tc>
          <w:tcPr>
            <w:tcW w:w="868" w:type="dxa"/>
            <w:tcBorders>
              <w:top w:val="single" w:color="auto" w:sz="4" w:space="0"/>
              <w:left w:val="single" w:color="auto" w:sz="4" w:space="0"/>
              <w:bottom w:val="single" w:color="auto" w:sz="4" w:space="0"/>
              <w:right w:val="single" w:color="auto" w:sz="4" w:space="0"/>
            </w:tcBorders>
            <w:noWrap/>
            <w:vAlign w:val="center"/>
          </w:tcPr>
          <w:p w14:paraId="0E14E6D0">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20</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33C5DD6A">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b/>
                <w:bCs/>
                <w:color w:val="auto"/>
                <w:sz w:val="21"/>
                <w:szCs w:val="21"/>
                <w:highlight w:val="none"/>
              </w:rPr>
              <w:t>最高投标限价</w:t>
            </w:r>
          </w:p>
        </w:tc>
        <w:tc>
          <w:tcPr>
            <w:tcW w:w="6837" w:type="dxa"/>
            <w:tcBorders>
              <w:top w:val="single" w:color="auto" w:sz="4" w:space="0"/>
              <w:left w:val="single" w:color="auto" w:sz="4" w:space="0"/>
              <w:bottom w:val="single" w:color="auto" w:sz="4" w:space="0"/>
              <w:right w:val="single" w:color="auto" w:sz="4" w:space="0"/>
            </w:tcBorders>
            <w:noWrap/>
            <w:vAlign w:val="center"/>
          </w:tcPr>
          <w:p w14:paraId="09EA8DBF">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含税单价3.50元/Wp，（报价以元为单位，精确到分,第三位四舍五入)，投标人超过最高限价的按无效标处理。</w:t>
            </w:r>
          </w:p>
          <w:p w14:paraId="278F93D7">
            <w:pPr>
              <w:pStyle w:val="19"/>
              <w:keepNext w:val="0"/>
              <w:keepLines w:val="0"/>
              <w:suppressLineNumbers w:val="0"/>
              <w:topLinePunct/>
              <w:adjustRightInd w:val="0"/>
              <w:snapToGrid w:val="0"/>
              <w:spacing w:before="0" w:beforeAutospacing="0" w:after="0" w:afterAutospacing="0" w:line="560" w:lineRule="exact"/>
              <w:ind w:left="0" w:right="0"/>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本项目采用综合报价，报价费用已包含项目</w:t>
            </w:r>
            <w:r>
              <w:rPr>
                <w:rFonts w:hint="eastAsia" w:hAnsi="宋体" w:cs="宋体"/>
                <w:color w:val="auto"/>
                <w:kern w:val="2"/>
                <w:sz w:val="21"/>
                <w:szCs w:val="21"/>
                <w:highlight w:val="none"/>
                <w:lang w:val="en-US" w:eastAsia="zh-CN" w:bidi="ar-SA"/>
              </w:rPr>
              <w:t>设计、施工</w:t>
            </w:r>
            <w:r>
              <w:rPr>
                <w:rFonts w:hint="eastAsia" w:ascii="宋体" w:hAnsi="宋体" w:eastAsia="宋体" w:cs="宋体"/>
                <w:color w:val="auto"/>
                <w:kern w:val="2"/>
                <w:sz w:val="21"/>
                <w:szCs w:val="21"/>
                <w:highlight w:val="none"/>
                <w:lang w:val="en-US" w:eastAsia="zh-CN" w:bidi="ar-SA"/>
              </w:rPr>
              <w:t>所需的所有费用（含现场踏勘、道路交通、水、电、通讯、绿化恢复、树木移植、管线迁改、道路破复及所有项目相关手续办理等），投标人自行考虑报价费用；</w:t>
            </w:r>
          </w:p>
          <w:p w14:paraId="08008148">
            <w:pPr>
              <w:pStyle w:val="19"/>
              <w:keepNext w:val="0"/>
              <w:keepLines w:val="0"/>
              <w:suppressLineNumbers w:val="0"/>
              <w:topLinePunct/>
              <w:adjustRightInd w:val="0"/>
              <w:snapToGrid w:val="0"/>
              <w:spacing w:before="0" w:beforeAutospacing="0" w:after="0" w:afterAutospacing="0" w:line="560" w:lineRule="exact"/>
              <w:ind w:left="0" w:right="0"/>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Cs w:val="21"/>
                <w:highlight w:val="none"/>
                <w:lang w:val="en-US" w:eastAsia="zh-CN"/>
              </w:rPr>
              <w:t>本项目的逆变器、数据采集器、远红、视频监控等设备，由中标单位设计和采购，并负责接入招标人已建或者后续要建设的能源管理平台（相关设备参数符合平台使用要求）便于后期统一运营管理。相关费用均在投标报价中。</w:t>
            </w:r>
            <w:r>
              <w:rPr>
                <w:rFonts w:hint="eastAsia" w:ascii="宋体" w:hAnsi="宋体" w:eastAsia="宋体" w:cs="宋体"/>
                <w:color w:val="auto"/>
                <w:kern w:val="2"/>
                <w:sz w:val="21"/>
                <w:szCs w:val="21"/>
                <w:highlight w:val="none"/>
                <w:lang w:val="en-US" w:eastAsia="zh-CN" w:bidi="ar-SA"/>
              </w:rPr>
              <w:t>移交前的运维管理，竣工验收交付后，光伏板产品质保10年、发电量质保25年、逆变器质保5年，其他电器设备2年质保，免费运维2年；具体以招标人实施需求为准。最终以实际完成装机容量为准。</w:t>
            </w:r>
          </w:p>
          <w:p w14:paraId="0AAF619F">
            <w:pPr>
              <w:pStyle w:val="19"/>
              <w:keepNext w:val="0"/>
              <w:keepLines w:val="0"/>
              <w:suppressLineNumbers w:val="0"/>
              <w:topLinePunct/>
              <w:adjustRightInd w:val="0"/>
              <w:snapToGrid w:val="0"/>
              <w:spacing w:before="0" w:beforeAutospacing="0" w:after="0" w:afterAutospacing="0" w:line="560" w:lineRule="exact"/>
              <w:ind w:left="0" w:right="0"/>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中标人结合项目实际情况编制运维方案，递交招标人审核确认。项目运维期间涉及的应由中标人购买的保险（财产综合险、公共责任险等，且不低于招标人在运营光伏项目保险相关参数）已包含在投标报价中，统一由中标人购买并支付相关费用，且保险期限应包含整个运维期。</w:t>
            </w:r>
          </w:p>
          <w:p w14:paraId="2C5756BD">
            <w:pPr>
              <w:pStyle w:val="19"/>
              <w:keepNext w:val="0"/>
              <w:keepLines w:val="0"/>
              <w:suppressLineNumbers w:val="0"/>
              <w:topLinePunct/>
              <w:adjustRightInd w:val="0"/>
              <w:snapToGrid w:val="0"/>
              <w:spacing w:before="0" w:beforeAutospacing="0" w:after="0" w:afterAutospacing="0" w:line="560" w:lineRule="exact"/>
              <w:ind w:left="0" w:right="0"/>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合同签订前，中标人须提供光伏组件产品的样册、线性质保书和检测报告等以及逆变器的样册、谐波测试报告、逆变器低电压零电压穿越测试报告、逆变器效率认证报告等材料，且满足相关要求，并接受招标人抽检。</w:t>
            </w:r>
          </w:p>
          <w:p w14:paraId="3C4F54F1">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440" w:lineRule="exact"/>
              <w:ind w:left="0" w:right="0"/>
              <w:textAlignment w:val="auto"/>
              <w:rPr>
                <w:rFonts w:hint="eastAsia" w:ascii="宋体" w:hAnsi="宋体" w:eastAsia="宋体" w:cs="宋体"/>
                <w:b/>
                <w:color w:val="auto"/>
                <w:szCs w:val="21"/>
                <w:highlight w:val="none"/>
                <w:u w:val="single"/>
                <w:lang w:eastAsia="zh-CN"/>
              </w:rPr>
            </w:pPr>
            <w:r>
              <w:rPr>
                <w:rFonts w:hint="eastAsia" w:ascii="宋体" w:hAnsi="宋体" w:eastAsia="宋体" w:cs="宋体"/>
                <w:color w:val="auto"/>
                <w:kern w:val="2"/>
                <w:sz w:val="21"/>
                <w:szCs w:val="21"/>
                <w:highlight w:val="none"/>
                <w:lang w:val="en-US" w:eastAsia="zh-CN" w:bidi="ar-SA"/>
              </w:rPr>
              <w:t xml:space="preserve">光伏系统设计及安装过程中需考虑光伏电能无功功率波动，本次招标项目中标单位所建设完成的光伏电站，不得对电网功率因数造成影响。质保期内，若因光伏电站功率因数波动造成罚款，由中标单位全额承担。 </w:t>
            </w:r>
          </w:p>
        </w:tc>
      </w:tr>
      <w:tr w14:paraId="06BC1319">
        <w:tblPrEx>
          <w:tblCellMar>
            <w:top w:w="0" w:type="dxa"/>
            <w:left w:w="108" w:type="dxa"/>
            <w:bottom w:w="0" w:type="dxa"/>
            <w:right w:w="108" w:type="dxa"/>
          </w:tblCellMar>
        </w:tblPrEx>
        <w:trPr>
          <w:jc w:val="center"/>
        </w:trPr>
        <w:tc>
          <w:tcPr>
            <w:tcW w:w="868" w:type="dxa"/>
            <w:tcBorders>
              <w:top w:val="single" w:color="auto" w:sz="4" w:space="0"/>
              <w:left w:val="single" w:color="auto" w:sz="4" w:space="0"/>
              <w:bottom w:val="single" w:color="auto" w:sz="4" w:space="0"/>
              <w:right w:val="single" w:color="auto" w:sz="4" w:space="0"/>
            </w:tcBorders>
            <w:noWrap/>
            <w:vAlign w:val="center"/>
          </w:tcPr>
          <w:p w14:paraId="73F60B48">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21</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34FD0855">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投标有效期</w:t>
            </w:r>
          </w:p>
        </w:tc>
        <w:tc>
          <w:tcPr>
            <w:tcW w:w="6837" w:type="dxa"/>
            <w:tcBorders>
              <w:top w:val="single" w:color="auto" w:sz="4" w:space="0"/>
              <w:left w:val="single" w:color="auto" w:sz="4" w:space="0"/>
              <w:bottom w:val="single" w:color="auto" w:sz="4" w:space="0"/>
              <w:right w:val="single" w:color="auto" w:sz="4" w:space="0"/>
            </w:tcBorders>
            <w:noWrap/>
            <w:vAlign w:val="center"/>
          </w:tcPr>
          <w:p w14:paraId="682E5483">
            <w:pPr>
              <w:keepNext w:val="0"/>
              <w:keepLines w:val="0"/>
              <w:pageBreakBefore w:val="0"/>
              <w:suppressLineNumbers w:val="0"/>
              <w:kinsoku/>
              <w:wordWrap/>
              <w:overflowPunct/>
              <w:autoSpaceDN/>
              <w:bidi w:val="0"/>
              <w:spacing w:before="0" w:beforeAutospacing="0" w:after="0" w:afterAutospacing="0" w:line="440" w:lineRule="exact"/>
              <w:ind w:left="0" w:right="0"/>
              <w:textAlignment w:val="auto"/>
              <w:rPr>
                <w:rFonts w:hint="default" w:ascii="宋体" w:hAnsi="宋体" w:cs="宋体"/>
                <w:color w:val="auto"/>
                <w:szCs w:val="21"/>
                <w:highlight w:val="none"/>
              </w:rPr>
            </w:pPr>
            <w:r>
              <w:rPr>
                <w:rFonts w:hint="eastAsia" w:ascii="宋体" w:hAnsi="宋体" w:eastAsia="宋体" w:cs="宋体"/>
                <w:color w:val="auto"/>
                <w:kern w:val="0"/>
                <w:sz w:val="21"/>
                <w:szCs w:val="21"/>
                <w:highlight w:val="none"/>
              </w:rPr>
              <w:t>自投标人递交投标文件截止之日起计算</w:t>
            </w:r>
            <w:r>
              <w:rPr>
                <w:rFonts w:hint="eastAsia" w:ascii="宋体" w:hAnsi="宋体" w:eastAsia="宋体" w:cs="宋体"/>
                <w:color w:val="auto"/>
                <w:kern w:val="0"/>
                <w:sz w:val="21"/>
                <w:szCs w:val="21"/>
                <w:highlight w:val="none"/>
                <w:lang w:val="en-US" w:eastAsia="zh-CN"/>
              </w:rPr>
              <w:t>90</w:t>
            </w:r>
            <w:r>
              <w:rPr>
                <w:rFonts w:hint="eastAsia" w:ascii="宋体" w:hAnsi="宋体" w:eastAsia="宋体" w:cs="宋体"/>
                <w:color w:val="auto"/>
                <w:kern w:val="0"/>
                <w:sz w:val="21"/>
                <w:szCs w:val="21"/>
                <w:highlight w:val="none"/>
              </w:rPr>
              <w:t>日历天。在此期限内，凡符合本招标文件要求的投标文件均保持有效。</w:t>
            </w:r>
          </w:p>
        </w:tc>
      </w:tr>
      <w:tr w14:paraId="00227216">
        <w:tblPrEx>
          <w:tblCellMar>
            <w:top w:w="0" w:type="dxa"/>
            <w:left w:w="108" w:type="dxa"/>
            <w:bottom w:w="0" w:type="dxa"/>
            <w:right w:w="108" w:type="dxa"/>
          </w:tblCellMar>
        </w:tblPrEx>
        <w:trPr>
          <w:trHeight w:val="520" w:hRule="atLeast"/>
          <w:jc w:val="center"/>
        </w:trPr>
        <w:tc>
          <w:tcPr>
            <w:tcW w:w="868" w:type="dxa"/>
            <w:tcBorders>
              <w:top w:val="single" w:color="auto" w:sz="4" w:space="0"/>
              <w:left w:val="single" w:color="auto" w:sz="4" w:space="0"/>
              <w:bottom w:val="single" w:color="auto" w:sz="4" w:space="0"/>
              <w:right w:val="single" w:color="auto" w:sz="4" w:space="0"/>
            </w:tcBorders>
            <w:noWrap/>
            <w:vAlign w:val="center"/>
          </w:tcPr>
          <w:p w14:paraId="58B4103C">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62D2D247">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投标保证金</w:t>
            </w:r>
          </w:p>
        </w:tc>
        <w:tc>
          <w:tcPr>
            <w:tcW w:w="6837" w:type="dxa"/>
            <w:tcBorders>
              <w:top w:val="single" w:color="auto" w:sz="4" w:space="0"/>
              <w:left w:val="single" w:color="auto" w:sz="4" w:space="0"/>
              <w:bottom w:val="single" w:color="auto" w:sz="4" w:space="0"/>
              <w:right w:val="single" w:color="auto" w:sz="4" w:space="0"/>
            </w:tcBorders>
            <w:noWrap/>
            <w:vAlign w:val="center"/>
          </w:tcPr>
          <w:p w14:paraId="77AAD509">
            <w:pPr>
              <w:keepNext w:val="0"/>
              <w:keepLines w:val="0"/>
              <w:pageBreakBefore w:val="0"/>
              <w:suppressLineNumbers w:val="0"/>
              <w:kinsoku/>
              <w:wordWrap/>
              <w:overflowPunct/>
              <w:autoSpaceDN/>
              <w:bidi w:val="0"/>
              <w:spacing w:before="0" w:beforeAutospacing="0" w:after="0" w:afterAutospacing="0" w:line="440" w:lineRule="exact"/>
              <w:ind w:left="0" w:right="0"/>
              <w:textAlignment w:val="auto"/>
              <w:rPr>
                <w:rFonts w:hint="default" w:ascii="宋体" w:hAnsi="宋体" w:cs="宋体"/>
                <w:color w:val="auto"/>
                <w:szCs w:val="21"/>
                <w:highlight w:val="none"/>
              </w:rPr>
            </w:pPr>
            <w:r>
              <w:rPr>
                <w:rFonts w:hint="eastAsia" w:ascii="宋体" w:hAnsi="宋体" w:cs="宋体"/>
                <w:color w:val="auto"/>
                <w:szCs w:val="21"/>
                <w:highlight w:val="none"/>
              </w:rPr>
              <w:t>详见招标公告</w:t>
            </w:r>
          </w:p>
        </w:tc>
      </w:tr>
      <w:tr w14:paraId="7AB54DE4">
        <w:tblPrEx>
          <w:tblCellMar>
            <w:top w:w="0" w:type="dxa"/>
            <w:left w:w="108" w:type="dxa"/>
            <w:bottom w:w="0" w:type="dxa"/>
            <w:right w:w="108" w:type="dxa"/>
          </w:tblCellMar>
        </w:tblPrEx>
        <w:trPr>
          <w:jc w:val="center"/>
        </w:trPr>
        <w:tc>
          <w:tcPr>
            <w:tcW w:w="868" w:type="dxa"/>
            <w:tcBorders>
              <w:top w:val="single" w:color="auto" w:sz="4" w:space="0"/>
              <w:left w:val="single" w:color="auto" w:sz="4" w:space="0"/>
              <w:bottom w:val="single" w:color="auto" w:sz="4" w:space="0"/>
              <w:right w:val="single" w:color="auto" w:sz="4" w:space="0"/>
            </w:tcBorders>
            <w:noWrap/>
            <w:vAlign w:val="center"/>
          </w:tcPr>
          <w:p w14:paraId="6E0D17BE">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3</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1EC7A824">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签字或盖章要求</w:t>
            </w:r>
          </w:p>
        </w:tc>
        <w:tc>
          <w:tcPr>
            <w:tcW w:w="6837" w:type="dxa"/>
            <w:tcBorders>
              <w:top w:val="single" w:color="auto" w:sz="4" w:space="0"/>
              <w:left w:val="single" w:color="auto" w:sz="4" w:space="0"/>
              <w:bottom w:val="single" w:color="auto" w:sz="4" w:space="0"/>
              <w:right w:val="single" w:color="auto" w:sz="4" w:space="0"/>
            </w:tcBorders>
            <w:noWrap/>
            <w:vAlign w:val="center"/>
          </w:tcPr>
          <w:p w14:paraId="55E54FAD">
            <w:pPr>
              <w:keepNext w:val="0"/>
              <w:keepLines w:val="0"/>
              <w:pageBreakBefore w:val="0"/>
              <w:widowControl/>
              <w:suppressLineNumbers w:val="0"/>
              <w:kinsoku/>
              <w:wordWrap/>
              <w:overflowPunct/>
              <w:autoSpaceDN/>
              <w:bidi w:val="0"/>
              <w:spacing w:before="0" w:beforeAutospacing="0" w:after="0" w:afterAutospacing="0" w:line="440" w:lineRule="exact"/>
              <w:ind w:left="0" w:right="0"/>
              <w:jc w:val="left"/>
              <w:textAlignment w:val="auto"/>
              <w:rPr>
                <w:rFonts w:hint="eastAsia" w:ascii="宋体" w:hAnsi="宋体" w:cs="宋体"/>
                <w:b/>
                <w:color w:val="auto"/>
                <w:kern w:val="0"/>
                <w:szCs w:val="21"/>
                <w:highlight w:val="none"/>
              </w:rPr>
            </w:pPr>
            <w:r>
              <w:rPr>
                <w:rFonts w:hint="eastAsia" w:ascii="宋体" w:hAnsi="宋体" w:cs="宋体"/>
                <w:b/>
                <w:color w:val="auto"/>
                <w:kern w:val="0"/>
                <w:szCs w:val="21"/>
                <w:highlight w:val="none"/>
              </w:rPr>
              <w:t>电子投标文件须按格式文件要求签字或盖章，招标文件格式中要求“签章”部位，指签字或盖章。</w:t>
            </w:r>
          </w:p>
          <w:p w14:paraId="790CE8C8">
            <w:pPr>
              <w:keepNext w:val="0"/>
              <w:keepLines w:val="0"/>
              <w:pageBreakBefore w:val="0"/>
              <w:suppressLineNumbers w:val="0"/>
              <w:kinsoku/>
              <w:wordWrap/>
              <w:overflowPunct/>
              <w:autoSpaceDN/>
              <w:bidi w:val="0"/>
              <w:spacing w:before="0" w:beforeAutospacing="0" w:after="0" w:afterAutospacing="0" w:line="440" w:lineRule="exact"/>
              <w:ind w:left="0" w:right="0"/>
              <w:textAlignment w:val="auto"/>
              <w:rPr>
                <w:rFonts w:hint="default" w:ascii="宋体" w:hAnsi="宋体" w:cs="宋体"/>
                <w:color w:val="auto"/>
                <w:szCs w:val="21"/>
                <w:highlight w:val="none"/>
              </w:rPr>
            </w:pPr>
            <w:r>
              <w:rPr>
                <w:rFonts w:hint="eastAsia" w:ascii="宋体" w:hAnsi="宋体" w:cs="宋体"/>
                <w:b/>
                <w:color w:val="auto"/>
                <w:kern w:val="0"/>
                <w:szCs w:val="21"/>
                <w:highlight w:val="none"/>
              </w:rPr>
              <w:t>否则经评委会一致认定按照无效投标处理。</w:t>
            </w:r>
          </w:p>
        </w:tc>
      </w:tr>
      <w:tr w14:paraId="283A4CEC">
        <w:tblPrEx>
          <w:tblCellMar>
            <w:top w:w="0" w:type="dxa"/>
            <w:left w:w="108" w:type="dxa"/>
            <w:bottom w:w="0" w:type="dxa"/>
            <w:right w:w="108" w:type="dxa"/>
          </w:tblCellMar>
        </w:tblPrEx>
        <w:trPr>
          <w:trHeight w:val="0" w:hRule="atLeast"/>
          <w:jc w:val="center"/>
        </w:trPr>
        <w:tc>
          <w:tcPr>
            <w:tcW w:w="868" w:type="dxa"/>
            <w:tcBorders>
              <w:top w:val="single" w:color="auto" w:sz="4" w:space="0"/>
              <w:left w:val="single" w:color="auto" w:sz="4" w:space="0"/>
              <w:bottom w:val="single" w:color="auto" w:sz="4" w:space="0"/>
              <w:right w:val="single" w:color="auto" w:sz="4" w:space="0"/>
            </w:tcBorders>
            <w:noWrap/>
            <w:vAlign w:val="center"/>
          </w:tcPr>
          <w:p w14:paraId="3BE171EE">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24</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2D938926">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投标文件份数</w:t>
            </w:r>
          </w:p>
        </w:tc>
        <w:tc>
          <w:tcPr>
            <w:tcW w:w="6837" w:type="dxa"/>
            <w:tcBorders>
              <w:top w:val="single" w:color="auto" w:sz="4" w:space="0"/>
              <w:left w:val="single" w:color="auto" w:sz="4" w:space="0"/>
              <w:bottom w:val="single" w:color="auto" w:sz="4" w:space="0"/>
              <w:right w:val="single" w:color="auto" w:sz="4" w:space="0"/>
            </w:tcBorders>
            <w:noWrap/>
            <w:vAlign w:val="center"/>
          </w:tcPr>
          <w:p w14:paraId="191450A0">
            <w:pPr>
              <w:keepNext w:val="0"/>
              <w:keepLines w:val="0"/>
              <w:suppressLineNumbers w:val="0"/>
              <w:adjustRightInd w:val="0"/>
              <w:snapToGrid w:val="0"/>
              <w:spacing w:before="0" w:beforeAutospacing="0" w:after="0" w:afterAutospacing="0" w:line="440" w:lineRule="exact"/>
              <w:ind w:left="0" w:right="0"/>
              <w:rPr>
                <w:rFonts w:hint="eastAsia" w:ascii="宋体" w:hAnsi="宋体" w:eastAsia="宋体" w:cs="宋体"/>
                <w:color w:val="auto"/>
                <w:szCs w:val="21"/>
                <w:highlight w:val="none"/>
              </w:rPr>
            </w:pPr>
            <w:r>
              <w:rPr>
                <w:rFonts w:hint="eastAsia" w:ascii="宋体" w:hAnsi="宋体" w:eastAsia="宋体" w:cs="宋体"/>
                <w:color w:val="auto"/>
                <w:szCs w:val="21"/>
                <w:highlight w:val="none"/>
              </w:rPr>
              <w:t>加密电子投标文件投标人应在投标截止时间前通过新点电子交易平台后在【滁州专区】</w:t>
            </w:r>
          </w:p>
          <w:p w14:paraId="560612A5">
            <w:pPr>
              <w:keepNext w:val="0"/>
              <w:keepLines w:val="0"/>
              <w:suppressLineNumbers w:val="0"/>
              <w:adjustRightInd w:val="0"/>
              <w:snapToGrid w:val="0"/>
              <w:spacing w:before="0" w:beforeAutospacing="0" w:after="0" w:afterAutospacing="0" w:line="440" w:lineRule="exact"/>
              <w:ind w:left="0" w:right="0"/>
              <w:rPr>
                <w:rFonts w:hint="eastAsia" w:ascii="宋体" w:hAnsi="宋体" w:eastAsia="宋体" w:cs="宋体"/>
                <w:color w:val="auto"/>
                <w:szCs w:val="21"/>
                <w:highlight w:val="none"/>
              </w:rPr>
            </w:pPr>
            <w:r>
              <w:rPr>
                <w:rFonts w:hint="eastAsia" w:ascii="宋体" w:hAnsi="宋体" w:eastAsia="宋体" w:cs="宋体"/>
                <w:color w:val="auto"/>
                <w:szCs w:val="21"/>
                <w:highlight w:val="none"/>
              </w:rPr>
              <w:t>（https://www.etrading.cn/BREpointSSO/login/oauth2login?regioncode=DQ_ChuZhou）交易系统递交电子投标文件。</w:t>
            </w:r>
          </w:p>
          <w:p w14:paraId="29B02B70">
            <w:pPr>
              <w:pStyle w:val="2"/>
              <w:keepNext w:val="0"/>
              <w:keepLines w:val="0"/>
              <w:pageBreakBefore w:val="0"/>
              <w:suppressLineNumbers w:val="0"/>
              <w:kinsoku/>
              <w:wordWrap/>
              <w:overflowPunct/>
              <w:autoSpaceDN/>
              <w:bidi w:val="0"/>
              <w:spacing w:before="0" w:beforeAutospacing="0" w:after="0" w:afterAutospacing="0" w:line="440" w:lineRule="exact"/>
              <w:ind w:left="0" w:leftChars="0" w:right="0" w:firstLine="0" w:firstLineChars="0"/>
              <w:textAlignment w:val="auto"/>
              <w:rPr>
                <w:rFonts w:hint="default"/>
                <w:color w:val="auto"/>
                <w:highlight w:val="none"/>
              </w:rPr>
            </w:pPr>
            <w:r>
              <w:rPr>
                <w:rFonts w:hint="eastAsia" w:ascii="宋体" w:hAnsi="宋体" w:eastAsia="宋体" w:cs="宋体"/>
                <w:color w:val="auto"/>
                <w:szCs w:val="21"/>
                <w:highlight w:val="none"/>
              </w:rPr>
              <w:t>（投标人中标后须递交与网上电子投标文件完全一致的纸质版投标文件，并按要求加盖单位章；份数：正本 1 份，副本</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份；中标人领取中标通知书时，一并递交给招标代理机构）</w:t>
            </w:r>
          </w:p>
        </w:tc>
      </w:tr>
      <w:tr w14:paraId="6ABBCF8B">
        <w:tblPrEx>
          <w:tblCellMar>
            <w:top w:w="0" w:type="dxa"/>
            <w:left w:w="108" w:type="dxa"/>
            <w:bottom w:w="0" w:type="dxa"/>
            <w:right w:w="108" w:type="dxa"/>
          </w:tblCellMar>
        </w:tblPrEx>
        <w:trPr>
          <w:trHeight w:val="674" w:hRule="atLeast"/>
          <w:jc w:val="center"/>
        </w:trPr>
        <w:tc>
          <w:tcPr>
            <w:tcW w:w="868" w:type="dxa"/>
            <w:tcBorders>
              <w:top w:val="single" w:color="auto" w:sz="4" w:space="0"/>
              <w:left w:val="single" w:color="auto" w:sz="4" w:space="0"/>
              <w:right w:val="single" w:color="auto" w:sz="4" w:space="0"/>
            </w:tcBorders>
            <w:noWrap/>
            <w:vAlign w:val="center"/>
          </w:tcPr>
          <w:p w14:paraId="039EDD0D">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40" w:lineRule="exact"/>
              <w:ind w:left="0" w:leftChars="0" w:right="0" w:rightChars="0"/>
              <w:jc w:val="center"/>
              <w:textAlignment w:val="auto"/>
              <w:rPr>
                <w:rFonts w:hint="default" w:ascii="宋体" w:hAnsi="宋体" w:cs="宋体"/>
                <w:color w:val="auto"/>
                <w:szCs w:val="21"/>
                <w:highlight w:val="none"/>
                <w:lang w:val="en-US"/>
              </w:rPr>
            </w:pPr>
            <w:r>
              <w:rPr>
                <w:rFonts w:hint="eastAsia" w:ascii="宋体" w:hAnsi="宋体" w:cs="宋体"/>
                <w:color w:val="auto"/>
                <w:kern w:val="2"/>
                <w:highlight w:val="none"/>
                <w:lang w:val="en-US" w:eastAsia="zh-CN"/>
              </w:rPr>
              <w:t>25</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4A372DE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leftChars="0" w:right="0" w:rightChars="0"/>
              <w:jc w:val="center"/>
              <w:textAlignment w:val="auto"/>
              <w:rPr>
                <w:rFonts w:hint="eastAsia" w:ascii="宋体"/>
                <w:color w:val="auto"/>
                <w:sz w:val="21"/>
                <w:szCs w:val="21"/>
                <w:highlight w:val="none"/>
              </w:rPr>
            </w:pPr>
            <w:r>
              <w:rPr>
                <w:rFonts w:hint="eastAsia" w:ascii="宋体" w:hAnsi="宋体" w:cs="宋体"/>
                <w:color w:val="auto"/>
                <w:szCs w:val="21"/>
                <w:highlight w:val="none"/>
                <w:lang w:val="en-US" w:eastAsia="zh-CN"/>
              </w:rPr>
              <w:t>投标截止时间</w:t>
            </w:r>
          </w:p>
        </w:tc>
        <w:tc>
          <w:tcPr>
            <w:tcW w:w="6837" w:type="dxa"/>
            <w:tcBorders>
              <w:top w:val="single" w:color="auto" w:sz="4" w:space="0"/>
              <w:left w:val="single" w:color="auto" w:sz="4" w:space="0"/>
              <w:right w:val="single" w:color="auto" w:sz="4" w:space="0"/>
            </w:tcBorders>
            <w:noWrap/>
            <w:vAlign w:val="center"/>
          </w:tcPr>
          <w:p w14:paraId="1B503CCD">
            <w:pPr>
              <w:keepNext w:val="0"/>
              <w:keepLines w:val="0"/>
              <w:pageBreakBefore w:val="0"/>
              <w:suppressLineNumbers w:val="0"/>
              <w:kinsoku/>
              <w:wordWrap/>
              <w:overflowPunct/>
              <w:autoSpaceDN/>
              <w:bidi w:val="0"/>
              <w:spacing w:before="0" w:beforeAutospacing="0" w:after="0" w:afterAutospacing="0" w:line="440" w:lineRule="exact"/>
              <w:ind w:left="0" w:right="0" w:firstLine="18" w:firstLineChars="9"/>
              <w:jc w:val="left"/>
              <w:textAlignment w:val="auto"/>
              <w:rPr>
                <w:rFonts w:hint="eastAsia" w:ascii="宋体" w:hAnsi="宋体" w:eastAsia="宋体" w:cs="宋体"/>
                <w:b/>
                <w:bCs/>
                <w:color w:val="auto"/>
                <w:szCs w:val="21"/>
                <w:highlight w:val="none"/>
                <w:u w:val="none"/>
              </w:rPr>
            </w:pPr>
            <w:r>
              <w:rPr>
                <w:rFonts w:hint="eastAsia" w:ascii="宋体" w:hAnsi="宋体" w:eastAsia="宋体" w:cs="宋体"/>
                <w:color w:val="auto"/>
                <w:sz w:val="21"/>
                <w:szCs w:val="21"/>
                <w:highlight w:val="none"/>
                <w:lang w:val="en-US" w:eastAsia="zh-CN"/>
              </w:rPr>
              <w:t>202</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年</w:t>
            </w: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lang w:val="en-US" w:eastAsia="zh-CN"/>
              </w:rPr>
              <w:t>月</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日</w:t>
            </w:r>
            <w:r>
              <w:rPr>
                <w:rFonts w:hint="eastAsia" w:ascii="宋体" w:hAnsi="宋体" w:cs="宋体"/>
                <w:color w:val="auto"/>
                <w:sz w:val="21"/>
                <w:szCs w:val="21"/>
                <w:highlight w:val="none"/>
                <w:lang w:val="en-US" w:eastAsia="zh-CN"/>
              </w:rPr>
              <w:t>15</w:t>
            </w:r>
            <w:r>
              <w:rPr>
                <w:rFonts w:hint="eastAsia" w:ascii="宋体" w:hAnsi="宋体" w:eastAsia="宋体" w:cs="宋体"/>
                <w:color w:val="auto"/>
                <w:sz w:val="21"/>
                <w:szCs w:val="21"/>
                <w:highlight w:val="none"/>
                <w:lang w:val="en-US" w:eastAsia="zh-CN"/>
              </w:rPr>
              <w:t>时00分（北京时间）</w:t>
            </w:r>
          </w:p>
        </w:tc>
      </w:tr>
      <w:tr w14:paraId="34233DED">
        <w:tblPrEx>
          <w:tblCellMar>
            <w:top w:w="0" w:type="dxa"/>
            <w:left w:w="108" w:type="dxa"/>
            <w:bottom w:w="0" w:type="dxa"/>
            <w:right w:w="108" w:type="dxa"/>
          </w:tblCellMar>
        </w:tblPrEx>
        <w:trPr>
          <w:trHeight w:val="0" w:hRule="atLeast"/>
          <w:jc w:val="center"/>
        </w:trPr>
        <w:tc>
          <w:tcPr>
            <w:tcW w:w="868" w:type="dxa"/>
            <w:tcBorders>
              <w:top w:val="single" w:color="auto" w:sz="4" w:space="0"/>
              <w:left w:val="single" w:color="auto" w:sz="4" w:space="0"/>
              <w:bottom w:val="single" w:color="auto" w:sz="4" w:space="0"/>
              <w:right w:val="single" w:color="auto" w:sz="4" w:space="0"/>
            </w:tcBorders>
            <w:noWrap/>
            <w:vAlign w:val="center"/>
          </w:tcPr>
          <w:p w14:paraId="104765EC">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40" w:lineRule="exact"/>
              <w:ind w:left="0" w:leftChars="0" w:right="0" w:rightChars="0"/>
              <w:jc w:val="center"/>
              <w:textAlignment w:val="auto"/>
              <w:rPr>
                <w:rFonts w:hint="default" w:ascii="宋体" w:hAnsi="宋体" w:eastAsia="宋体" w:cs="宋体"/>
                <w:color w:val="auto"/>
                <w:kern w:val="2"/>
                <w:highlight w:val="none"/>
                <w:lang w:val="en-US" w:eastAsia="zh-CN"/>
              </w:rPr>
            </w:pPr>
            <w:r>
              <w:rPr>
                <w:rFonts w:hint="eastAsia" w:ascii="宋体" w:hAnsi="宋体" w:cs="宋体"/>
                <w:color w:val="auto"/>
                <w:kern w:val="2"/>
                <w:highlight w:val="none"/>
                <w:lang w:val="en-US" w:eastAsia="zh-CN"/>
              </w:rPr>
              <w:t>26</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40693C7B">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40" w:lineRule="exact"/>
              <w:ind w:left="0" w:leftChars="0" w:right="0" w:rightChars="0"/>
              <w:jc w:val="center"/>
              <w:textAlignment w:val="auto"/>
              <w:rPr>
                <w:rFonts w:hint="eastAsia" w:ascii="宋体" w:hAnsi="宋体" w:eastAsia="宋体" w:cs="宋体"/>
                <w:color w:val="auto"/>
                <w:kern w:val="2"/>
                <w:sz w:val="21"/>
                <w:szCs w:val="21"/>
                <w:highlight w:val="none"/>
                <w:u w:color="000000"/>
                <w:lang w:val="en-US" w:eastAsia="zh-CN" w:bidi="ar"/>
              </w:rPr>
            </w:pPr>
            <w:r>
              <w:rPr>
                <w:rFonts w:hint="eastAsia" w:ascii="宋体" w:hAnsi="宋体" w:eastAsia="宋体" w:cs="宋体"/>
                <w:color w:val="auto"/>
                <w:kern w:val="2"/>
                <w:sz w:val="21"/>
                <w:szCs w:val="21"/>
                <w:highlight w:val="none"/>
                <w:u w:color="000000"/>
                <w:lang w:val="en-US" w:eastAsia="zh-CN" w:bidi="ar"/>
              </w:rPr>
              <w:t>是否允许递交备选投标方案</w:t>
            </w:r>
          </w:p>
        </w:tc>
        <w:tc>
          <w:tcPr>
            <w:tcW w:w="6837" w:type="dxa"/>
            <w:tcBorders>
              <w:top w:val="single" w:color="auto" w:sz="4" w:space="0"/>
              <w:left w:val="single" w:color="auto" w:sz="4" w:space="0"/>
              <w:bottom w:val="single" w:color="auto" w:sz="4" w:space="0"/>
              <w:right w:val="single" w:color="auto" w:sz="4" w:space="0"/>
            </w:tcBorders>
            <w:noWrap/>
            <w:vAlign w:val="center"/>
          </w:tcPr>
          <w:p w14:paraId="104C48F4">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40" w:lineRule="exact"/>
              <w:ind w:left="0" w:leftChars="0" w:right="0" w:rightChars="0"/>
              <w:jc w:val="left"/>
              <w:textAlignment w:val="auto"/>
              <w:rPr>
                <w:rFonts w:hint="eastAsia" w:ascii="宋体" w:hAnsi="宋体" w:eastAsia="宋体" w:cs="宋体"/>
                <w:color w:val="auto"/>
                <w:kern w:val="2"/>
                <w:sz w:val="21"/>
                <w:szCs w:val="21"/>
                <w:highlight w:val="none"/>
                <w:u w:color="000000"/>
                <w:lang w:val="en-US" w:eastAsia="zh-CN" w:bidi="ar"/>
              </w:rPr>
            </w:pPr>
            <w:r>
              <w:rPr>
                <w:rFonts w:hint="eastAsia" w:ascii="宋体" w:hAnsi="宋体" w:eastAsia="宋体" w:cs="宋体"/>
                <w:color w:val="auto"/>
                <w:kern w:val="2"/>
                <w:sz w:val="21"/>
                <w:szCs w:val="21"/>
                <w:highlight w:val="none"/>
                <w:u w:color="000000"/>
                <w:lang w:val="en-US" w:eastAsia="zh-CN" w:bidi="ar"/>
              </w:rPr>
              <w:t>☑不允许；</w:t>
            </w:r>
          </w:p>
          <w:p w14:paraId="25FBF3E1">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40" w:lineRule="exact"/>
              <w:ind w:left="0" w:leftChars="0" w:right="0" w:rightChars="0"/>
              <w:jc w:val="left"/>
              <w:textAlignment w:val="auto"/>
              <w:rPr>
                <w:rFonts w:hint="eastAsia" w:ascii="宋体" w:hAnsi="宋体" w:eastAsia="宋体" w:cs="宋体"/>
                <w:color w:val="auto"/>
                <w:kern w:val="2"/>
                <w:sz w:val="21"/>
                <w:szCs w:val="21"/>
                <w:highlight w:val="none"/>
                <w:u w:color="000000"/>
                <w:lang w:val="en-US" w:eastAsia="zh-CN" w:bidi="ar"/>
              </w:rPr>
            </w:pPr>
            <w:r>
              <w:rPr>
                <w:rFonts w:hint="eastAsia" w:ascii="宋体" w:hAnsi="宋体" w:cs="宋体"/>
                <w:color w:val="auto"/>
                <w:kern w:val="2"/>
                <w:sz w:val="21"/>
                <w:szCs w:val="21"/>
                <w:highlight w:val="none"/>
                <w:u w:color="000000"/>
                <w:lang w:val="en-US" w:eastAsia="zh-CN" w:bidi="ar"/>
              </w:rPr>
              <w:t>□</w:t>
            </w:r>
            <w:r>
              <w:rPr>
                <w:rFonts w:hint="eastAsia" w:ascii="宋体" w:hAnsi="宋体" w:eastAsia="宋体" w:cs="宋体"/>
                <w:color w:val="auto"/>
                <w:kern w:val="2"/>
                <w:sz w:val="21"/>
                <w:szCs w:val="21"/>
                <w:highlight w:val="none"/>
                <w:u w:color="000000"/>
                <w:lang w:val="en-US" w:eastAsia="zh-CN" w:bidi="ar"/>
              </w:rPr>
              <w:t>允许：/</w:t>
            </w:r>
          </w:p>
        </w:tc>
      </w:tr>
      <w:tr w14:paraId="24B4FC04">
        <w:tblPrEx>
          <w:tblCellMar>
            <w:top w:w="0" w:type="dxa"/>
            <w:left w:w="108" w:type="dxa"/>
            <w:bottom w:w="0" w:type="dxa"/>
            <w:right w:w="108" w:type="dxa"/>
          </w:tblCellMar>
        </w:tblPrEx>
        <w:trPr>
          <w:trHeight w:val="0" w:hRule="atLeast"/>
          <w:jc w:val="center"/>
        </w:trPr>
        <w:tc>
          <w:tcPr>
            <w:tcW w:w="868" w:type="dxa"/>
            <w:tcBorders>
              <w:top w:val="single" w:color="auto" w:sz="4" w:space="0"/>
              <w:left w:val="single" w:color="auto" w:sz="4" w:space="0"/>
              <w:bottom w:val="single" w:color="auto" w:sz="4" w:space="0"/>
              <w:right w:val="single" w:color="auto" w:sz="4" w:space="0"/>
            </w:tcBorders>
            <w:noWrap/>
            <w:vAlign w:val="center"/>
          </w:tcPr>
          <w:p w14:paraId="2FA36E12">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40" w:lineRule="exact"/>
              <w:ind w:left="0" w:leftChars="0" w:right="0" w:rightChars="0"/>
              <w:jc w:val="center"/>
              <w:textAlignment w:val="auto"/>
              <w:rPr>
                <w:rFonts w:hint="default" w:ascii="宋体" w:hAnsi="宋体" w:cs="宋体"/>
                <w:color w:val="auto"/>
                <w:szCs w:val="21"/>
                <w:highlight w:val="none"/>
                <w:lang w:val="en-US"/>
              </w:rPr>
            </w:pPr>
            <w:r>
              <w:rPr>
                <w:rFonts w:hint="eastAsia" w:ascii="宋体" w:hAnsi="宋体" w:eastAsia="宋体" w:cs="宋体"/>
                <w:color w:val="auto"/>
                <w:kern w:val="2"/>
                <w:highlight w:val="none"/>
                <w:lang w:val="en-US" w:eastAsia="zh-CN"/>
              </w:rPr>
              <w:t>2</w:t>
            </w:r>
            <w:r>
              <w:rPr>
                <w:rFonts w:hint="eastAsia" w:ascii="宋体" w:hAnsi="宋体" w:cs="宋体"/>
                <w:color w:val="auto"/>
                <w:kern w:val="2"/>
                <w:highlight w:val="none"/>
                <w:lang w:val="en-US" w:eastAsia="zh-CN"/>
              </w:rPr>
              <w:t>7</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5C188329">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40" w:lineRule="exact"/>
              <w:ind w:left="0" w:leftChars="0" w:right="0" w:rightChars="0"/>
              <w:jc w:val="center"/>
              <w:textAlignment w:val="auto"/>
              <w:rPr>
                <w:rFonts w:hint="eastAsia" w:ascii="宋体" w:hAnsi="宋体" w:cs="宋体"/>
                <w:color w:val="auto"/>
                <w:szCs w:val="21"/>
                <w:highlight w:val="none"/>
              </w:rPr>
            </w:pPr>
            <w:r>
              <w:rPr>
                <w:rFonts w:hint="eastAsia" w:ascii="宋体" w:hAnsi="宋体" w:eastAsia="宋体" w:cs="宋体"/>
                <w:color w:val="auto"/>
                <w:kern w:val="2"/>
                <w:sz w:val="21"/>
                <w:szCs w:val="21"/>
                <w:highlight w:val="none"/>
                <w:u w:color="000000"/>
                <w:lang w:val="en-US" w:eastAsia="zh-CN" w:bidi="ar"/>
              </w:rPr>
              <w:t>是否退还投标文件</w:t>
            </w:r>
          </w:p>
        </w:tc>
        <w:tc>
          <w:tcPr>
            <w:tcW w:w="6837" w:type="dxa"/>
            <w:tcBorders>
              <w:top w:val="single" w:color="auto" w:sz="4" w:space="0"/>
              <w:left w:val="single" w:color="auto" w:sz="4" w:space="0"/>
              <w:bottom w:val="single" w:color="auto" w:sz="4" w:space="0"/>
              <w:right w:val="single" w:color="auto" w:sz="4" w:space="0"/>
            </w:tcBorders>
            <w:noWrap/>
            <w:vAlign w:val="center"/>
          </w:tcPr>
          <w:p w14:paraId="0FEF3030">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40" w:lineRule="exact"/>
              <w:ind w:left="0" w:leftChars="0" w:right="0" w:right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u w:color="000000"/>
                <w:lang w:val="en-US" w:eastAsia="zh-CN" w:bidi="ar"/>
              </w:rPr>
              <w:t>否</w:t>
            </w:r>
          </w:p>
        </w:tc>
      </w:tr>
      <w:tr w14:paraId="12284050">
        <w:tblPrEx>
          <w:tblCellMar>
            <w:top w:w="0" w:type="dxa"/>
            <w:left w:w="108" w:type="dxa"/>
            <w:bottom w:w="0" w:type="dxa"/>
            <w:right w:w="108" w:type="dxa"/>
          </w:tblCellMar>
        </w:tblPrEx>
        <w:trPr>
          <w:trHeight w:val="0" w:hRule="atLeast"/>
          <w:jc w:val="center"/>
        </w:trPr>
        <w:tc>
          <w:tcPr>
            <w:tcW w:w="868" w:type="dxa"/>
            <w:tcBorders>
              <w:top w:val="single" w:color="auto" w:sz="4" w:space="0"/>
              <w:left w:val="single" w:color="auto" w:sz="4" w:space="0"/>
              <w:bottom w:val="single" w:color="auto" w:sz="4" w:space="0"/>
              <w:right w:val="single" w:color="auto" w:sz="4" w:space="0"/>
            </w:tcBorders>
            <w:noWrap/>
            <w:vAlign w:val="center"/>
          </w:tcPr>
          <w:p w14:paraId="2A883A71">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40" w:lineRule="exact"/>
              <w:ind w:left="0" w:leftChars="0" w:right="0" w:rightChars="0"/>
              <w:jc w:val="center"/>
              <w:textAlignment w:val="auto"/>
              <w:rPr>
                <w:rFonts w:hint="eastAsia" w:ascii="宋体" w:hAnsi="宋体" w:cs="宋体"/>
                <w:color w:val="auto"/>
                <w:szCs w:val="21"/>
                <w:highlight w:val="none"/>
              </w:rPr>
            </w:pPr>
            <w:r>
              <w:rPr>
                <w:rFonts w:hint="eastAsia" w:ascii="宋体" w:hAnsi="宋体" w:eastAsia="宋体" w:cs="宋体"/>
                <w:color w:val="auto"/>
                <w:kern w:val="2"/>
                <w:highlight w:val="none"/>
                <w:lang w:val="en-US" w:eastAsia="zh-CN"/>
              </w:rPr>
              <w:t>2</w:t>
            </w:r>
            <w:r>
              <w:rPr>
                <w:rFonts w:hint="eastAsia" w:ascii="宋体" w:hAnsi="宋体" w:cs="宋体"/>
                <w:color w:val="auto"/>
                <w:kern w:val="2"/>
                <w:highlight w:val="none"/>
                <w:lang w:val="en-US" w:eastAsia="zh-CN"/>
              </w:rPr>
              <w:t>8</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4DA2B18D">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40" w:lineRule="exact"/>
              <w:ind w:left="0" w:leftChars="0" w:right="0" w:rightChars="0"/>
              <w:jc w:val="center"/>
              <w:textAlignment w:val="auto"/>
              <w:rPr>
                <w:rFonts w:hint="eastAsia" w:ascii="宋体" w:hAnsi="宋体" w:cs="宋体"/>
                <w:color w:val="auto"/>
                <w:szCs w:val="21"/>
                <w:highlight w:val="none"/>
              </w:rPr>
            </w:pPr>
            <w:r>
              <w:rPr>
                <w:rFonts w:hint="eastAsia" w:ascii="宋体" w:hAnsi="宋体" w:eastAsia="宋体" w:cs="宋体"/>
                <w:color w:val="auto"/>
                <w:kern w:val="2"/>
                <w:sz w:val="21"/>
                <w:szCs w:val="21"/>
                <w:highlight w:val="none"/>
                <w:u w:color="000000"/>
                <w:lang w:val="en-US" w:eastAsia="zh-CN" w:bidi="ar"/>
              </w:rPr>
              <w:t>开标时间及地点</w:t>
            </w:r>
          </w:p>
        </w:tc>
        <w:tc>
          <w:tcPr>
            <w:tcW w:w="6837" w:type="dxa"/>
            <w:tcBorders>
              <w:top w:val="single" w:color="auto" w:sz="4" w:space="0"/>
              <w:left w:val="single" w:color="auto" w:sz="4" w:space="0"/>
              <w:bottom w:val="single" w:color="auto" w:sz="4" w:space="0"/>
              <w:right w:val="single" w:color="auto" w:sz="4" w:space="0"/>
            </w:tcBorders>
            <w:noWrap/>
            <w:vAlign w:val="center"/>
          </w:tcPr>
          <w:p w14:paraId="6A66A656">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40" w:lineRule="exact"/>
              <w:ind w:left="0" w:leftChars="0" w:right="0" w:rightChars="0"/>
              <w:jc w:val="both"/>
              <w:textAlignment w:val="auto"/>
              <w:rPr>
                <w:rFonts w:hint="eastAsia" w:ascii="宋体" w:hAnsi="宋体" w:eastAsia="宋体" w:cs="宋体"/>
                <w:color w:val="auto"/>
                <w:kern w:val="2"/>
                <w:sz w:val="21"/>
                <w:szCs w:val="21"/>
                <w:highlight w:val="none"/>
                <w:u w:color="000000"/>
                <w:lang w:val="en-US" w:eastAsia="zh-CN" w:bidi="ar"/>
              </w:rPr>
            </w:pPr>
            <w:r>
              <w:rPr>
                <w:rFonts w:hint="eastAsia" w:ascii="宋体" w:hAnsi="宋体" w:eastAsia="宋体" w:cs="宋体"/>
                <w:color w:val="auto"/>
                <w:kern w:val="2"/>
                <w:sz w:val="21"/>
                <w:szCs w:val="21"/>
                <w:highlight w:val="none"/>
                <w:u w:color="000000"/>
                <w:lang w:val="en-US" w:eastAsia="zh-CN" w:bidi="ar"/>
              </w:rPr>
              <w:t>开标时间：同投标截止时间</w:t>
            </w:r>
          </w:p>
          <w:p w14:paraId="33DC44BD">
            <w:pPr>
              <w:keepNext w:val="0"/>
              <w:keepLines w:val="0"/>
              <w:pageBreakBefore w:val="0"/>
              <w:widowControl w:val="0"/>
              <w:suppressLineNumbers w:val="0"/>
              <w:kinsoku/>
              <w:wordWrap w:val="0"/>
              <w:overflowPunct/>
              <w:topLinePunct w:val="0"/>
              <w:autoSpaceDE/>
              <w:autoSpaceDN/>
              <w:bidi w:val="0"/>
              <w:adjustRightInd w:val="0"/>
              <w:snapToGrid w:val="0"/>
              <w:spacing w:before="0" w:beforeAutospacing="0" w:after="0" w:afterAutospacing="0" w:line="440" w:lineRule="exact"/>
              <w:ind w:left="0" w:right="0"/>
              <w:jc w:val="left"/>
              <w:textAlignment w:val="auto"/>
              <w:rPr>
                <w:rFonts w:hint="eastAsia" w:ascii="宋体" w:hAnsi="宋体" w:eastAsia="宋体" w:cs="宋体"/>
                <w:color w:val="auto"/>
                <w:szCs w:val="21"/>
                <w:highlight w:val="none"/>
              </w:rPr>
            </w:pPr>
            <w:r>
              <w:rPr>
                <w:rFonts w:hint="eastAsia"/>
                <w:color w:val="auto"/>
                <w:highlight w:val="none"/>
              </w:rPr>
              <w:t>开标地点：</w:t>
            </w:r>
            <w:r>
              <w:rPr>
                <w:rFonts w:hint="eastAsia" w:ascii="宋体" w:hAnsi="宋体" w:eastAsia="宋体" w:cs="宋体"/>
                <w:color w:val="auto"/>
                <w:szCs w:val="21"/>
                <w:highlight w:val="none"/>
              </w:rPr>
              <w:t>本项目采用不见面开标，</w:t>
            </w:r>
            <w:r>
              <w:rPr>
                <w:rFonts w:hint="eastAsia" w:ascii="宋体" w:hAnsi="宋体" w:eastAsia="宋体" w:cs="宋体"/>
                <w:color w:val="auto"/>
                <w:kern w:val="0"/>
                <w:sz w:val="21"/>
                <w:szCs w:val="21"/>
                <w:highlight w:val="none"/>
              </w:rPr>
              <w:t>投标人登录</w:t>
            </w:r>
            <w:r>
              <w:rPr>
                <w:rFonts w:hint="eastAsia" w:ascii="宋体" w:hAnsi="宋体" w:eastAsia="宋体" w:cs="宋体"/>
                <w:color w:val="auto"/>
                <w:kern w:val="0"/>
                <w:sz w:val="21"/>
                <w:szCs w:val="21"/>
                <w:highlight w:val="none"/>
                <w:lang w:val="en-US" w:eastAsia="zh-CN"/>
              </w:rPr>
              <w:t>滁州市城投工程咨询有限公司</w:t>
            </w:r>
            <w:r>
              <w:rPr>
                <w:rFonts w:hint="eastAsia" w:ascii="宋体" w:hAnsi="宋体" w:eastAsia="宋体" w:cs="宋体"/>
                <w:color w:val="auto"/>
                <w:kern w:val="0"/>
                <w:sz w:val="21"/>
                <w:szCs w:val="21"/>
                <w:highlight w:val="none"/>
              </w:rPr>
              <w:t>不见面开标系统参与网上开标（网址：http://js.etrading.cn/EpointBidOpening/bidopeninghallaction/hall/login）</w:t>
            </w:r>
            <w:r>
              <w:rPr>
                <w:rFonts w:hint="eastAsia" w:ascii="宋体" w:hAnsi="宋体" w:eastAsia="宋体" w:cs="宋体"/>
                <w:color w:val="auto"/>
                <w:szCs w:val="21"/>
                <w:highlight w:val="none"/>
              </w:rPr>
              <w:t>。</w:t>
            </w:r>
          </w:p>
          <w:p w14:paraId="020A5119">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40" w:lineRule="exact"/>
              <w:ind w:left="0" w:leftChars="0" w:right="0" w:rightChars="0"/>
              <w:jc w:val="both"/>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投标人应在投标截止时间之前，登陆新点电子交易平台【滁州专区】上传投标文件。</w:t>
            </w:r>
          </w:p>
          <w:p w14:paraId="5F16CDED">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40" w:lineRule="exact"/>
              <w:ind w:left="0" w:leftChars="0" w:right="0" w:right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Cs w:val="21"/>
                <w:highlight w:val="none"/>
                <w:lang w:val="en-US" w:eastAsia="zh-CN"/>
              </w:rPr>
              <w:t>开标方式：</w:t>
            </w:r>
            <w:r>
              <w:rPr>
                <w:rFonts w:hint="eastAsia" w:ascii="宋体" w:hAnsi="宋体" w:eastAsia="宋体" w:cs="宋体"/>
                <w:color w:val="auto"/>
                <w:szCs w:val="21"/>
                <w:highlight w:val="none"/>
              </w:rPr>
              <w:t>不见面开标系统进行开标</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投标人须</w:t>
            </w:r>
            <w:r>
              <w:rPr>
                <w:rFonts w:hint="eastAsia" w:ascii="宋体" w:hAnsi="宋体" w:eastAsia="宋体" w:cs="宋体"/>
                <w:color w:val="auto"/>
                <w:szCs w:val="21"/>
                <w:highlight w:val="none"/>
              </w:rPr>
              <w:t>在</w:t>
            </w:r>
            <w:r>
              <w:rPr>
                <w:rFonts w:hint="eastAsia" w:ascii="宋体" w:hAnsi="宋体" w:eastAsia="宋体" w:cs="宋体"/>
                <w:color w:val="auto"/>
                <w:szCs w:val="21"/>
                <w:highlight w:val="none"/>
                <w:u w:val="single"/>
              </w:rPr>
              <w:t xml:space="preserve"> 202</w:t>
            </w:r>
            <w:r>
              <w:rPr>
                <w:rFonts w:hint="eastAsia" w:ascii="宋体" w:hAnsi="宋体" w:eastAsia="宋体" w:cs="宋体"/>
                <w:color w:val="auto"/>
                <w:szCs w:val="21"/>
                <w:highlight w:val="none"/>
                <w:u w:val="single"/>
                <w:lang w:val="en-US" w:eastAsia="zh-CN"/>
              </w:rPr>
              <w:t>5</w:t>
            </w:r>
            <w:r>
              <w:rPr>
                <w:rFonts w:hint="eastAsia" w:ascii="宋体" w:hAnsi="宋体" w:eastAsia="宋体" w:cs="宋体"/>
                <w:color w:val="auto"/>
                <w:szCs w:val="21"/>
                <w:highlight w:val="none"/>
                <w:u w:val="single"/>
              </w:rPr>
              <w:t>年</w:t>
            </w:r>
            <w:r>
              <w:rPr>
                <w:rFonts w:hint="eastAsia" w:ascii="宋体" w:hAnsi="宋体" w:eastAsia="宋体" w:cs="宋体"/>
                <w:color w:val="auto"/>
                <w:szCs w:val="21"/>
                <w:highlight w:val="none"/>
                <w:u w:val="single"/>
                <w:lang w:val="en-US" w:eastAsia="zh-CN"/>
              </w:rPr>
              <w:t>0</w:t>
            </w:r>
            <w:r>
              <w:rPr>
                <w:rFonts w:hint="eastAsia" w:ascii="宋体" w:hAnsi="宋体" w:cs="宋体"/>
                <w:color w:val="auto"/>
                <w:szCs w:val="21"/>
                <w:highlight w:val="none"/>
                <w:u w:val="single"/>
                <w:lang w:val="en-US" w:eastAsia="zh-CN"/>
              </w:rPr>
              <w:t>4</w:t>
            </w:r>
            <w:r>
              <w:rPr>
                <w:rFonts w:hint="eastAsia" w:ascii="宋体" w:hAnsi="宋体" w:eastAsia="宋体" w:cs="宋体"/>
                <w:color w:val="auto"/>
                <w:szCs w:val="21"/>
                <w:highlight w:val="none"/>
                <w:u w:val="single"/>
                <w:lang w:val="en-US" w:eastAsia="zh-CN"/>
              </w:rPr>
              <w:t>月</w:t>
            </w:r>
            <w:r>
              <w:rPr>
                <w:rFonts w:hint="eastAsia" w:ascii="宋体" w:hAnsi="宋体" w:cs="宋体"/>
                <w:color w:val="auto"/>
                <w:szCs w:val="21"/>
                <w:highlight w:val="none"/>
                <w:u w:val="single"/>
                <w:lang w:val="en-US" w:eastAsia="zh-CN"/>
              </w:rPr>
              <w:t>2</w:t>
            </w:r>
            <w:r>
              <w:rPr>
                <w:rFonts w:hint="eastAsia" w:ascii="宋体" w:hAnsi="宋体" w:eastAsia="宋体" w:cs="宋体"/>
                <w:color w:val="auto"/>
                <w:szCs w:val="21"/>
                <w:highlight w:val="none"/>
                <w:u w:val="single"/>
                <w:lang w:val="en-US" w:eastAsia="zh-CN"/>
              </w:rPr>
              <w:t>日15</w:t>
            </w:r>
            <w:r>
              <w:rPr>
                <w:rFonts w:hint="eastAsia" w:ascii="宋体" w:hAnsi="宋体" w:eastAsia="宋体" w:cs="宋体"/>
                <w:color w:val="auto"/>
                <w:szCs w:val="21"/>
                <w:highlight w:val="none"/>
                <w:u w:val="single"/>
                <w:lang w:eastAsia="zh-CN"/>
              </w:rPr>
              <w:t>时</w:t>
            </w:r>
            <w:r>
              <w:rPr>
                <w:rFonts w:hint="eastAsia" w:ascii="宋体" w:hAnsi="宋体" w:eastAsia="宋体" w:cs="宋体"/>
                <w:color w:val="auto"/>
                <w:szCs w:val="21"/>
                <w:highlight w:val="none"/>
                <w:u w:val="single"/>
                <w:lang w:val="en-US" w:eastAsia="zh-CN"/>
              </w:rPr>
              <w:t>0</w:t>
            </w:r>
            <w:r>
              <w:rPr>
                <w:rFonts w:hint="eastAsia" w:ascii="宋体" w:hAnsi="宋体" w:eastAsia="宋体" w:cs="宋体"/>
                <w:color w:val="auto"/>
                <w:szCs w:val="21"/>
                <w:highlight w:val="none"/>
                <w:u w:val="single"/>
                <w:lang w:eastAsia="zh-CN"/>
              </w:rPr>
              <w:t>0分</w:t>
            </w:r>
            <w:r>
              <w:rPr>
                <w:rFonts w:hint="eastAsia" w:ascii="宋体" w:hAnsi="宋体" w:eastAsia="宋体" w:cs="宋体"/>
                <w:color w:val="auto"/>
                <w:szCs w:val="21"/>
                <w:highlight w:val="none"/>
                <w:u w:val="single"/>
                <w:lang w:val="en-US" w:eastAsia="zh-CN"/>
              </w:rPr>
              <w:t>至</w:t>
            </w:r>
            <w:r>
              <w:rPr>
                <w:rFonts w:hint="eastAsia" w:ascii="宋体" w:hAnsi="宋体" w:eastAsia="宋体" w:cs="宋体"/>
                <w:color w:val="auto"/>
                <w:szCs w:val="21"/>
                <w:highlight w:val="none"/>
                <w:u w:val="single"/>
              </w:rPr>
              <w:t>202</w:t>
            </w:r>
            <w:r>
              <w:rPr>
                <w:rFonts w:hint="eastAsia" w:ascii="宋体" w:hAnsi="宋体" w:eastAsia="宋体" w:cs="宋体"/>
                <w:color w:val="auto"/>
                <w:szCs w:val="21"/>
                <w:highlight w:val="none"/>
                <w:u w:val="single"/>
                <w:lang w:val="en-US" w:eastAsia="zh-CN"/>
              </w:rPr>
              <w:t>5</w:t>
            </w:r>
            <w:r>
              <w:rPr>
                <w:rFonts w:hint="eastAsia" w:ascii="宋体" w:hAnsi="宋体" w:eastAsia="宋体" w:cs="宋体"/>
                <w:color w:val="auto"/>
                <w:szCs w:val="21"/>
                <w:highlight w:val="none"/>
                <w:u w:val="single"/>
              </w:rPr>
              <w:t>年</w:t>
            </w:r>
            <w:r>
              <w:rPr>
                <w:rFonts w:hint="eastAsia" w:ascii="宋体" w:hAnsi="宋体" w:eastAsia="宋体" w:cs="宋体"/>
                <w:color w:val="auto"/>
                <w:szCs w:val="21"/>
                <w:highlight w:val="none"/>
                <w:u w:val="single"/>
                <w:lang w:val="en-US" w:eastAsia="zh-CN"/>
              </w:rPr>
              <w:t>0</w:t>
            </w:r>
            <w:r>
              <w:rPr>
                <w:rFonts w:hint="eastAsia" w:ascii="宋体" w:hAnsi="宋体" w:cs="宋体"/>
                <w:color w:val="auto"/>
                <w:szCs w:val="21"/>
                <w:highlight w:val="none"/>
                <w:u w:val="single"/>
                <w:lang w:val="en-US" w:eastAsia="zh-CN"/>
              </w:rPr>
              <w:t>4</w:t>
            </w:r>
            <w:r>
              <w:rPr>
                <w:rFonts w:hint="eastAsia" w:ascii="宋体" w:hAnsi="宋体" w:eastAsia="宋体" w:cs="宋体"/>
                <w:color w:val="auto"/>
                <w:szCs w:val="21"/>
                <w:highlight w:val="none"/>
                <w:u w:val="single"/>
                <w:lang w:val="en-US" w:eastAsia="zh-CN"/>
              </w:rPr>
              <w:t>月</w:t>
            </w:r>
            <w:r>
              <w:rPr>
                <w:rFonts w:hint="eastAsia" w:ascii="宋体" w:hAnsi="宋体" w:cs="宋体"/>
                <w:color w:val="auto"/>
                <w:szCs w:val="21"/>
                <w:highlight w:val="none"/>
                <w:u w:val="single"/>
                <w:lang w:val="en-US" w:eastAsia="zh-CN"/>
              </w:rPr>
              <w:t>2</w:t>
            </w:r>
            <w:r>
              <w:rPr>
                <w:rFonts w:hint="eastAsia" w:ascii="宋体" w:hAnsi="宋体" w:eastAsia="宋体" w:cs="宋体"/>
                <w:color w:val="auto"/>
                <w:szCs w:val="21"/>
                <w:highlight w:val="none"/>
                <w:u w:val="single"/>
                <w:lang w:val="en-US" w:eastAsia="zh-CN"/>
              </w:rPr>
              <w:t>日15</w:t>
            </w:r>
            <w:r>
              <w:rPr>
                <w:rFonts w:hint="eastAsia" w:ascii="宋体" w:hAnsi="宋体" w:eastAsia="宋体" w:cs="宋体"/>
                <w:color w:val="auto"/>
                <w:szCs w:val="21"/>
                <w:highlight w:val="none"/>
                <w:u w:val="single"/>
              </w:rPr>
              <w:t>时</w:t>
            </w:r>
            <w:r>
              <w:rPr>
                <w:rFonts w:hint="eastAsia" w:ascii="宋体" w:hAnsi="宋体" w:eastAsia="宋体" w:cs="宋体"/>
                <w:color w:val="auto"/>
                <w:szCs w:val="21"/>
                <w:highlight w:val="none"/>
                <w:u w:val="single"/>
                <w:lang w:val="en-US" w:eastAsia="zh-CN"/>
              </w:rPr>
              <w:t>3</w:t>
            </w:r>
            <w:r>
              <w:rPr>
                <w:rFonts w:hint="eastAsia" w:ascii="宋体" w:hAnsi="宋体" w:eastAsia="宋体" w:cs="宋体"/>
                <w:color w:val="auto"/>
                <w:szCs w:val="21"/>
                <w:highlight w:val="none"/>
                <w:u w:val="single"/>
              </w:rPr>
              <w:t>0分</w:t>
            </w:r>
            <w:r>
              <w:rPr>
                <w:rFonts w:hint="eastAsia" w:ascii="宋体" w:hAnsi="宋体" w:eastAsia="宋体" w:cs="宋体"/>
                <w:color w:val="auto"/>
                <w:szCs w:val="21"/>
                <w:highlight w:val="none"/>
                <w:u w:val="single"/>
                <w:lang w:val="en-US" w:eastAsia="zh-CN"/>
              </w:rPr>
              <w:t>解密；未在规定时间内完成解密的，退回其投标文件；如有因系统因系统原因造成的故障，代理机构可申请延迟解密时间。</w:t>
            </w:r>
          </w:p>
        </w:tc>
      </w:tr>
      <w:tr w14:paraId="23BE0889">
        <w:tblPrEx>
          <w:tblCellMar>
            <w:top w:w="0" w:type="dxa"/>
            <w:left w:w="108" w:type="dxa"/>
            <w:bottom w:w="0" w:type="dxa"/>
            <w:right w:w="108" w:type="dxa"/>
          </w:tblCellMar>
        </w:tblPrEx>
        <w:trPr>
          <w:trHeight w:val="0" w:hRule="atLeast"/>
          <w:jc w:val="center"/>
        </w:trPr>
        <w:tc>
          <w:tcPr>
            <w:tcW w:w="868" w:type="dxa"/>
            <w:tcBorders>
              <w:top w:val="single" w:color="auto" w:sz="4" w:space="0"/>
              <w:left w:val="single" w:color="auto" w:sz="4" w:space="0"/>
              <w:bottom w:val="single" w:color="auto" w:sz="4" w:space="0"/>
              <w:right w:val="single" w:color="auto" w:sz="4" w:space="0"/>
            </w:tcBorders>
            <w:noWrap/>
            <w:vAlign w:val="center"/>
          </w:tcPr>
          <w:p w14:paraId="5F555871">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40" w:lineRule="exact"/>
              <w:ind w:left="0" w:leftChars="0" w:right="0" w:rightChars="0"/>
              <w:jc w:val="center"/>
              <w:textAlignment w:val="auto"/>
              <w:rPr>
                <w:rFonts w:hint="default" w:ascii="宋体" w:hAnsi="宋体" w:cs="宋体"/>
                <w:color w:val="auto"/>
                <w:szCs w:val="21"/>
                <w:highlight w:val="none"/>
                <w:lang w:val="en-US"/>
              </w:rPr>
            </w:pPr>
            <w:r>
              <w:rPr>
                <w:rFonts w:hint="eastAsia" w:ascii="宋体" w:hAnsi="宋体" w:cs="宋体"/>
                <w:color w:val="auto"/>
                <w:kern w:val="2"/>
                <w:highlight w:val="none"/>
                <w:lang w:val="en-US" w:eastAsia="zh-CN"/>
              </w:rPr>
              <w:t>29</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7789100D">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40" w:lineRule="exact"/>
              <w:ind w:left="0" w:leftChars="0" w:right="0" w:rightChars="0"/>
              <w:jc w:val="center"/>
              <w:textAlignment w:val="auto"/>
              <w:rPr>
                <w:rFonts w:hint="eastAsia" w:ascii="宋体" w:hAnsi="宋体" w:cs="宋体"/>
                <w:color w:val="auto"/>
                <w:szCs w:val="21"/>
                <w:highlight w:val="none"/>
              </w:rPr>
            </w:pPr>
            <w:r>
              <w:rPr>
                <w:rFonts w:hint="eastAsia" w:ascii="宋体" w:hAnsi="宋体" w:eastAsia="宋体" w:cs="宋体"/>
                <w:color w:val="auto"/>
                <w:kern w:val="2"/>
                <w:sz w:val="21"/>
                <w:szCs w:val="21"/>
                <w:highlight w:val="none"/>
                <w:u w:color="000000"/>
                <w:lang w:val="en-US" w:eastAsia="zh-CN" w:bidi="ar"/>
              </w:rPr>
              <w:t>开标程序</w:t>
            </w:r>
          </w:p>
        </w:tc>
        <w:tc>
          <w:tcPr>
            <w:tcW w:w="6837" w:type="dxa"/>
            <w:tcBorders>
              <w:top w:val="single" w:color="auto" w:sz="4" w:space="0"/>
              <w:left w:val="single" w:color="auto" w:sz="4" w:space="0"/>
              <w:bottom w:val="single" w:color="auto" w:sz="4" w:space="0"/>
              <w:right w:val="single" w:color="auto" w:sz="4" w:space="0"/>
            </w:tcBorders>
            <w:noWrap/>
            <w:vAlign w:val="center"/>
          </w:tcPr>
          <w:p w14:paraId="4AB31279">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440" w:lineRule="exact"/>
              <w:ind w:left="0" w:leftChars="0" w:right="0" w:right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由代理机构开启电子投标文件，报评标委员会评审。</w:t>
            </w:r>
          </w:p>
        </w:tc>
      </w:tr>
      <w:tr w14:paraId="5C44950A">
        <w:tblPrEx>
          <w:tblCellMar>
            <w:top w:w="0" w:type="dxa"/>
            <w:left w:w="108" w:type="dxa"/>
            <w:bottom w:w="0" w:type="dxa"/>
            <w:right w:w="108" w:type="dxa"/>
          </w:tblCellMar>
        </w:tblPrEx>
        <w:trPr>
          <w:trHeight w:val="488" w:hRule="atLeast"/>
          <w:jc w:val="center"/>
        </w:trPr>
        <w:tc>
          <w:tcPr>
            <w:tcW w:w="868" w:type="dxa"/>
            <w:tcBorders>
              <w:top w:val="single" w:color="auto" w:sz="4" w:space="0"/>
              <w:left w:val="single" w:color="auto" w:sz="4" w:space="0"/>
              <w:bottom w:val="single" w:color="auto" w:sz="4" w:space="0"/>
              <w:right w:val="single" w:color="auto" w:sz="4" w:space="0"/>
            </w:tcBorders>
            <w:noWrap/>
            <w:vAlign w:val="center"/>
          </w:tcPr>
          <w:p w14:paraId="4B11593D">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30</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0D85E883">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评标委员会的组建</w:t>
            </w:r>
          </w:p>
        </w:tc>
        <w:tc>
          <w:tcPr>
            <w:tcW w:w="6837" w:type="dxa"/>
            <w:tcBorders>
              <w:top w:val="single" w:color="auto" w:sz="4" w:space="0"/>
              <w:left w:val="single" w:color="auto" w:sz="4" w:space="0"/>
              <w:bottom w:val="single" w:color="auto" w:sz="4" w:space="0"/>
              <w:right w:val="single" w:color="auto" w:sz="4" w:space="0"/>
            </w:tcBorders>
            <w:noWrap/>
            <w:vAlign w:val="center"/>
          </w:tcPr>
          <w:p w14:paraId="57256FB4">
            <w:pPr>
              <w:keepNext w:val="0"/>
              <w:keepLines w:val="0"/>
              <w:pageBreakBefore w:val="0"/>
              <w:suppressLineNumbers w:val="0"/>
              <w:kinsoku/>
              <w:wordWrap/>
              <w:overflowPunct/>
              <w:autoSpaceDE/>
              <w:autoSpaceDN/>
              <w:bidi w:val="0"/>
              <w:spacing w:before="0" w:beforeAutospacing="0" w:after="0" w:afterAutospacing="0" w:line="440" w:lineRule="exact"/>
              <w:ind w:left="0" w:right="0"/>
              <w:textAlignment w:val="auto"/>
              <w:rPr>
                <w:rFonts w:hint="default" w:ascii="宋体" w:hAnsi="宋体" w:cs="宋体"/>
                <w:color w:val="auto"/>
                <w:szCs w:val="21"/>
                <w:highlight w:val="none"/>
              </w:rPr>
            </w:pPr>
            <w:r>
              <w:rPr>
                <w:rFonts w:hint="eastAsia" w:ascii="宋体" w:hAnsi="宋体" w:eastAsia="宋体" w:cs="宋体"/>
                <w:color w:val="auto"/>
                <w:kern w:val="2"/>
                <w:sz w:val="21"/>
                <w:szCs w:val="21"/>
                <w:highlight w:val="none"/>
                <w:u w:color="000000"/>
                <w:lang w:val="en-US" w:eastAsia="zh-CN" w:bidi="ar"/>
              </w:rPr>
              <w:t>评标委员会由招标人依法组建。</w:t>
            </w:r>
          </w:p>
        </w:tc>
      </w:tr>
      <w:tr w14:paraId="33A9A981">
        <w:tblPrEx>
          <w:tblCellMar>
            <w:top w:w="0" w:type="dxa"/>
            <w:left w:w="108" w:type="dxa"/>
            <w:bottom w:w="0" w:type="dxa"/>
            <w:right w:w="108" w:type="dxa"/>
          </w:tblCellMar>
        </w:tblPrEx>
        <w:trPr>
          <w:jc w:val="center"/>
        </w:trPr>
        <w:tc>
          <w:tcPr>
            <w:tcW w:w="868" w:type="dxa"/>
            <w:tcBorders>
              <w:top w:val="single" w:color="auto" w:sz="4" w:space="0"/>
              <w:left w:val="single" w:color="auto" w:sz="4" w:space="0"/>
              <w:bottom w:val="single" w:color="auto" w:sz="4" w:space="0"/>
              <w:right w:val="single" w:color="auto" w:sz="4" w:space="0"/>
            </w:tcBorders>
            <w:noWrap/>
            <w:vAlign w:val="center"/>
          </w:tcPr>
          <w:p w14:paraId="3CF8D645">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eastAsia="宋体" w:cs="宋体"/>
                <w:b/>
                <w:bCs/>
                <w:color w:val="auto"/>
                <w:szCs w:val="21"/>
                <w:highlight w:val="none"/>
                <w:lang w:val="en-US" w:eastAsia="zh-CN"/>
              </w:rPr>
            </w:pPr>
            <w:r>
              <w:rPr>
                <w:rFonts w:hint="eastAsia" w:ascii="宋体" w:hAnsi="宋体" w:cs="宋体"/>
                <w:color w:val="auto"/>
                <w:szCs w:val="21"/>
                <w:highlight w:val="none"/>
                <w:lang w:val="en-US" w:eastAsia="zh-CN"/>
              </w:rPr>
              <w:t>31</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4E173B9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leftChars="0" w:right="0" w:rightChars="0"/>
              <w:jc w:val="center"/>
              <w:textAlignment w:val="auto"/>
              <w:rPr>
                <w:rFonts w:hint="default" w:ascii="宋体" w:hAnsi="宋体" w:cs="宋体"/>
                <w:bCs/>
                <w:color w:val="auto"/>
                <w:szCs w:val="21"/>
                <w:highlight w:val="none"/>
              </w:rPr>
            </w:pPr>
            <w:r>
              <w:rPr>
                <w:rFonts w:hint="eastAsia" w:ascii="宋体" w:hAnsi="宋体" w:eastAsia="宋体" w:cs="宋体"/>
                <w:b w:val="0"/>
                <w:bCs w:val="0"/>
                <w:color w:val="auto"/>
                <w:sz w:val="21"/>
                <w:szCs w:val="21"/>
                <w:highlight w:val="none"/>
              </w:rPr>
              <w:t>评标委员会确定中标候选人的人数</w:t>
            </w:r>
          </w:p>
        </w:tc>
        <w:tc>
          <w:tcPr>
            <w:tcW w:w="6837" w:type="dxa"/>
            <w:tcBorders>
              <w:top w:val="single" w:color="auto" w:sz="4" w:space="0"/>
              <w:left w:val="single" w:color="auto" w:sz="4" w:space="0"/>
              <w:bottom w:val="single" w:color="auto" w:sz="4" w:space="0"/>
              <w:right w:val="single" w:color="auto" w:sz="4" w:space="0"/>
            </w:tcBorders>
            <w:noWrap/>
            <w:vAlign w:val="center"/>
          </w:tcPr>
          <w:p w14:paraId="6503C79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leftChars="0" w:right="0" w:rightChars="0"/>
              <w:textAlignment w:val="auto"/>
              <w:rPr>
                <w:rFonts w:hint="default" w:ascii="宋体" w:hAnsi="宋体" w:cs="宋体"/>
                <w:bCs/>
                <w:color w:val="auto"/>
                <w:szCs w:val="21"/>
                <w:highlight w:val="none"/>
              </w:rPr>
            </w:pPr>
            <w:r>
              <w:rPr>
                <w:rFonts w:hint="eastAsia" w:ascii="宋体" w:hAnsi="宋体" w:cs="宋体"/>
                <w:b w:val="0"/>
                <w:bCs w:val="0"/>
                <w:color w:val="auto"/>
                <w:sz w:val="21"/>
                <w:szCs w:val="21"/>
                <w:highlight w:val="none"/>
                <w:lang w:val="en-US" w:eastAsia="zh-CN"/>
              </w:rPr>
              <w:t>3</w:t>
            </w:r>
            <w:r>
              <w:rPr>
                <w:rFonts w:hint="eastAsia" w:ascii="宋体" w:hAnsi="宋体" w:eastAsia="宋体" w:cs="宋体"/>
                <w:b w:val="0"/>
                <w:bCs w:val="0"/>
                <w:color w:val="auto"/>
                <w:sz w:val="21"/>
                <w:szCs w:val="21"/>
                <w:highlight w:val="none"/>
              </w:rPr>
              <w:t>名，并标明排序。</w:t>
            </w:r>
          </w:p>
        </w:tc>
      </w:tr>
      <w:tr w14:paraId="38E18083">
        <w:tblPrEx>
          <w:tblCellMar>
            <w:top w:w="0" w:type="dxa"/>
            <w:left w:w="108" w:type="dxa"/>
            <w:bottom w:w="0" w:type="dxa"/>
            <w:right w:w="108" w:type="dxa"/>
          </w:tblCellMar>
        </w:tblPrEx>
        <w:trPr>
          <w:trHeight w:val="500" w:hRule="atLeast"/>
          <w:jc w:val="center"/>
        </w:trPr>
        <w:tc>
          <w:tcPr>
            <w:tcW w:w="868" w:type="dxa"/>
            <w:tcBorders>
              <w:top w:val="single" w:color="auto" w:sz="4" w:space="0"/>
              <w:left w:val="single" w:color="auto" w:sz="4" w:space="0"/>
              <w:right w:val="single" w:color="auto" w:sz="4" w:space="0"/>
            </w:tcBorders>
            <w:noWrap/>
            <w:vAlign w:val="center"/>
          </w:tcPr>
          <w:p w14:paraId="6AF3DA2A">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cs="宋体"/>
                <w:color w:val="auto"/>
                <w:szCs w:val="21"/>
                <w:highlight w:val="none"/>
                <w:lang w:val="en-US" w:eastAsia="zh-CN"/>
              </w:rPr>
              <w:t>32</w:t>
            </w:r>
          </w:p>
        </w:tc>
        <w:tc>
          <w:tcPr>
            <w:tcW w:w="2209" w:type="dxa"/>
            <w:gridSpan w:val="2"/>
            <w:tcBorders>
              <w:top w:val="single" w:color="auto" w:sz="4" w:space="0"/>
              <w:left w:val="single" w:color="auto" w:sz="4" w:space="0"/>
              <w:right w:val="single" w:color="auto" w:sz="4" w:space="0"/>
            </w:tcBorders>
            <w:noWrap/>
            <w:vAlign w:val="center"/>
          </w:tcPr>
          <w:p w14:paraId="2E28980B">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中标候选人公示媒介</w:t>
            </w:r>
          </w:p>
        </w:tc>
        <w:tc>
          <w:tcPr>
            <w:tcW w:w="6837" w:type="dxa"/>
            <w:tcBorders>
              <w:top w:val="single" w:color="auto" w:sz="4" w:space="0"/>
              <w:left w:val="single" w:color="auto" w:sz="4" w:space="0"/>
              <w:right w:val="single" w:color="auto" w:sz="4" w:space="0"/>
            </w:tcBorders>
            <w:noWrap/>
            <w:vAlign w:val="center"/>
          </w:tcPr>
          <w:p w14:paraId="4DB3D00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公示媒介：同招标公告发布媒介</w:t>
            </w:r>
          </w:p>
          <w:p w14:paraId="54CC60CB">
            <w:pPr>
              <w:keepNext w:val="0"/>
              <w:keepLines w:val="0"/>
              <w:pageBreakBefore w:val="0"/>
              <w:suppressLineNumbers w:val="0"/>
              <w:kinsoku/>
              <w:wordWrap/>
              <w:overflowPunct/>
              <w:autoSpaceDE/>
              <w:autoSpaceDN/>
              <w:bidi w:val="0"/>
              <w:spacing w:before="0" w:beforeAutospacing="0" w:after="0" w:afterAutospacing="0" w:line="440" w:lineRule="exact"/>
              <w:ind w:left="0" w:right="0"/>
              <w:textAlignment w:val="auto"/>
              <w:rPr>
                <w:rFonts w:hint="default" w:ascii="宋体" w:hAnsi="宋体" w:cs="宋体"/>
                <w:color w:val="auto"/>
                <w:szCs w:val="21"/>
                <w:highlight w:val="none"/>
              </w:rPr>
            </w:pPr>
            <w:r>
              <w:rPr>
                <w:rFonts w:hint="eastAsia" w:ascii="宋体" w:hAnsi="宋体" w:eastAsia="宋体" w:cs="宋体"/>
                <w:b w:val="0"/>
                <w:bCs w:val="0"/>
                <w:color w:val="auto"/>
                <w:sz w:val="21"/>
                <w:szCs w:val="21"/>
                <w:highlight w:val="none"/>
              </w:rPr>
              <w:t>公示期限：公示发布次日起3日（如公示第三日为休息日或节假日，则顺延至休息日或节假日后第一个工作日）</w:t>
            </w:r>
          </w:p>
        </w:tc>
      </w:tr>
      <w:tr w14:paraId="1436E5F4">
        <w:tblPrEx>
          <w:tblCellMar>
            <w:top w:w="0" w:type="dxa"/>
            <w:left w:w="108" w:type="dxa"/>
            <w:bottom w:w="0" w:type="dxa"/>
            <w:right w:w="108" w:type="dxa"/>
          </w:tblCellMar>
        </w:tblPrEx>
        <w:trPr>
          <w:trHeight w:val="500" w:hRule="atLeast"/>
          <w:jc w:val="center"/>
        </w:trPr>
        <w:tc>
          <w:tcPr>
            <w:tcW w:w="868" w:type="dxa"/>
            <w:tcBorders>
              <w:top w:val="single" w:color="auto" w:sz="4" w:space="0"/>
              <w:left w:val="single" w:color="auto" w:sz="4" w:space="0"/>
              <w:right w:val="single" w:color="auto" w:sz="4" w:space="0"/>
            </w:tcBorders>
            <w:noWrap/>
            <w:vAlign w:val="center"/>
          </w:tcPr>
          <w:p w14:paraId="6EC1A9C0">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cs="宋体"/>
                <w:color w:val="auto"/>
                <w:szCs w:val="21"/>
                <w:highlight w:val="none"/>
                <w:lang w:val="en-US" w:eastAsia="zh-CN"/>
              </w:rPr>
              <w:t>33</w:t>
            </w:r>
          </w:p>
        </w:tc>
        <w:tc>
          <w:tcPr>
            <w:tcW w:w="2209" w:type="dxa"/>
            <w:gridSpan w:val="2"/>
            <w:tcBorders>
              <w:top w:val="single" w:color="auto" w:sz="4" w:space="0"/>
              <w:left w:val="single" w:color="auto" w:sz="4" w:space="0"/>
              <w:right w:val="single" w:color="auto" w:sz="4" w:space="0"/>
            </w:tcBorders>
            <w:noWrap/>
            <w:vAlign w:val="center"/>
          </w:tcPr>
          <w:p w14:paraId="6738D08D">
            <w:pPr>
              <w:keepNext w:val="0"/>
              <w:keepLines w:val="0"/>
              <w:pageBreakBefore w:val="0"/>
              <w:suppressLineNumbers w:val="0"/>
              <w:kinsoku/>
              <w:wordWrap/>
              <w:overflowPunct/>
              <w:autoSpaceDE/>
              <w:autoSpaceDN/>
              <w:bidi w:val="0"/>
              <w:adjustRightInd w:val="0"/>
              <w:snapToGrid w:val="0"/>
              <w:spacing w:before="0" w:beforeAutospacing="0" w:after="0" w:afterAutospacing="0" w:line="440" w:lineRule="exact"/>
              <w:ind w:left="0" w:right="0"/>
              <w:textAlignment w:val="auto"/>
              <w:rPr>
                <w:rFonts w:hint="eastAsia" w:ascii="宋体" w:hAnsi="宋体" w:eastAsia="宋体" w:cs="宋体"/>
                <w:color w:val="auto"/>
                <w:kern w:val="2"/>
                <w:sz w:val="21"/>
                <w:szCs w:val="21"/>
                <w:highlight w:val="none"/>
                <w:lang w:val="en-US" w:eastAsia="zh-CN" w:bidi="ar-SA"/>
              </w:rPr>
            </w:pPr>
            <w:r>
              <w:rPr>
                <w:rFonts w:hint="eastAsia"/>
                <w:color w:val="auto"/>
                <w:sz w:val="21"/>
                <w:szCs w:val="21"/>
                <w:highlight w:val="none"/>
              </w:rPr>
              <w:t>中标通知书发出形式</w:t>
            </w:r>
          </w:p>
        </w:tc>
        <w:tc>
          <w:tcPr>
            <w:tcW w:w="6837" w:type="dxa"/>
            <w:tcBorders>
              <w:top w:val="single" w:color="auto" w:sz="4" w:space="0"/>
              <w:left w:val="single" w:color="auto" w:sz="4" w:space="0"/>
              <w:right w:val="single" w:color="auto" w:sz="4" w:space="0"/>
            </w:tcBorders>
            <w:noWrap/>
            <w:vAlign w:val="center"/>
          </w:tcPr>
          <w:p w14:paraId="6D32A145">
            <w:pPr>
              <w:keepNext w:val="0"/>
              <w:keepLines w:val="0"/>
              <w:pageBreakBefore w:val="0"/>
              <w:widowControl/>
              <w:suppressLineNumbers w:val="0"/>
              <w:kinsoku/>
              <w:wordWrap/>
              <w:overflowPunct/>
              <w:autoSpaceDE/>
              <w:autoSpaceDN/>
              <w:bidi w:val="0"/>
              <w:adjustRightInd w:val="0"/>
              <w:snapToGrid w:val="0"/>
              <w:spacing w:before="0" w:beforeAutospacing="0" w:after="0" w:afterAutospacing="0" w:line="440" w:lineRule="exact"/>
              <w:ind w:left="0" w:right="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u w:color="000000"/>
                <w:lang w:val="en-US" w:eastAsia="zh-CN" w:bidi="ar"/>
              </w:rPr>
              <w:t>中标通知书须加盖招标人、招标代理公司公章后方可发出。</w:t>
            </w:r>
          </w:p>
        </w:tc>
      </w:tr>
      <w:tr w14:paraId="112B7CCF">
        <w:tblPrEx>
          <w:tblCellMar>
            <w:top w:w="0" w:type="dxa"/>
            <w:left w:w="108" w:type="dxa"/>
            <w:bottom w:w="0" w:type="dxa"/>
            <w:right w:w="108" w:type="dxa"/>
          </w:tblCellMar>
        </w:tblPrEx>
        <w:trPr>
          <w:trHeight w:val="97" w:hRule="atLeast"/>
          <w:jc w:val="center"/>
        </w:trPr>
        <w:tc>
          <w:tcPr>
            <w:tcW w:w="868" w:type="dxa"/>
            <w:tcBorders>
              <w:top w:val="single" w:color="auto" w:sz="4" w:space="0"/>
              <w:left w:val="single" w:color="auto" w:sz="4" w:space="0"/>
              <w:bottom w:val="single" w:color="auto" w:sz="4" w:space="0"/>
              <w:right w:val="single" w:color="auto" w:sz="4" w:space="0"/>
            </w:tcBorders>
            <w:noWrap/>
            <w:vAlign w:val="center"/>
          </w:tcPr>
          <w:p w14:paraId="3947ED34">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34</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013904AC">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履约担保</w:t>
            </w:r>
          </w:p>
        </w:tc>
        <w:tc>
          <w:tcPr>
            <w:tcW w:w="6837" w:type="dxa"/>
            <w:tcBorders>
              <w:top w:val="single" w:color="auto" w:sz="4" w:space="0"/>
              <w:left w:val="single" w:color="auto" w:sz="4" w:space="0"/>
              <w:bottom w:val="single" w:color="auto" w:sz="4" w:space="0"/>
              <w:right w:val="single" w:color="auto" w:sz="4" w:space="0"/>
            </w:tcBorders>
            <w:noWrap/>
            <w:vAlign w:val="center"/>
          </w:tcPr>
          <w:p w14:paraId="405DEA7E">
            <w:pPr>
              <w:keepNext w:val="0"/>
              <w:keepLines w:val="0"/>
              <w:pageBreakBefore w:val="0"/>
              <w:suppressLineNumbers w:val="0"/>
              <w:kinsoku/>
              <w:wordWrap/>
              <w:overflowPunct/>
              <w:autoSpaceDE/>
              <w:autoSpaceDN/>
              <w:bidi w:val="0"/>
              <w:spacing w:before="0" w:beforeAutospacing="0" w:after="0" w:afterAutospacing="0" w:line="440" w:lineRule="exact"/>
              <w:ind w:left="0" w:right="0"/>
              <w:textAlignment w:val="auto"/>
              <w:rPr>
                <w:rFonts w:hint="default" w:ascii="宋体" w:hAnsi="宋体" w:cs="宋体"/>
                <w:bCs/>
                <w:color w:val="auto"/>
                <w:szCs w:val="21"/>
                <w:highlight w:val="none"/>
              </w:rPr>
            </w:pPr>
            <w:r>
              <w:rPr>
                <w:rFonts w:hint="eastAsia" w:ascii="宋体" w:hAnsi="宋体" w:cs="宋体"/>
                <w:bCs/>
                <w:color w:val="auto"/>
                <w:szCs w:val="21"/>
                <w:highlight w:val="none"/>
              </w:rPr>
              <w:t>履约担保的形式：支持银行转账、银行电汇、银行保函、担保机构担保、保证保险使用</w:t>
            </w:r>
            <w:r>
              <w:rPr>
                <w:rFonts w:hint="eastAsia" w:ascii="宋体" w:hAnsi="宋体" w:cs="宋体"/>
                <w:color w:val="auto"/>
                <w:szCs w:val="21"/>
                <w:highlight w:val="none"/>
              </w:rPr>
              <w:t xml:space="preserve"> </w:t>
            </w:r>
          </w:p>
          <w:p w14:paraId="33A3DDD8">
            <w:pPr>
              <w:keepNext w:val="0"/>
              <w:keepLines w:val="0"/>
              <w:pageBreakBefore w:val="0"/>
              <w:suppressLineNumbers w:val="0"/>
              <w:kinsoku/>
              <w:wordWrap/>
              <w:overflowPunct/>
              <w:autoSpaceDN/>
              <w:bidi w:val="0"/>
              <w:spacing w:before="0" w:beforeAutospacing="0" w:after="0" w:afterAutospacing="0" w:line="440" w:lineRule="exact"/>
              <w:ind w:left="0" w:right="0"/>
              <w:textAlignment w:val="auto"/>
              <w:rPr>
                <w:rFonts w:hint="eastAsia" w:ascii="宋体" w:hAnsi="宋体" w:eastAsia="宋体" w:cs="宋体"/>
                <w:color w:val="auto"/>
                <w:szCs w:val="21"/>
                <w:highlight w:val="none"/>
                <w:lang w:val="en-US" w:eastAsia="zh-CN"/>
              </w:rPr>
            </w:pPr>
            <w:r>
              <w:rPr>
                <w:rFonts w:hint="eastAsia" w:ascii="宋体" w:hAnsi="宋体" w:cs="宋体"/>
                <w:bCs/>
                <w:color w:val="auto"/>
                <w:szCs w:val="21"/>
                <w:highlight w:val="none"/>
              </w:rPr>
              <w:t>履约担保的金额：</w:t>
            </w:r>
            <w:r>
              <w:rPr>
                <w:rFonts w:hint="eastAsia" w:ascii="宋体" w:hAnsi="宋体" w:cs="宋体"/>
                <w:color w:val="auto"/>
                <w:sz w:val="24"/>
                <w:highlight w:val="none"/>
                <w:lang w:val="en-US" w:eastAsia="zh-CN"/>
              </w:rPr>
              <w:t>项目总装机容量1</w:t>
            </w:r>
            <w:r>
              <w:rPr>
                <w:rFonts w:hint="eastAsia" w:ascii="宋体" w:hAnsi="宋体" w:cs="宋体"/>
                <w:color w:val="auto"/>
                <w:sz w:val="24"/>
                <w:highlight w:val="none"/>
              </w:rPr>
              <w:t>MWp*中标单价*2%，取整到千位</w:t>
            </w:r>
          </w:p>
          <w:p w14:paraId="371F5466">
            <w:pPr>
              <w:pStyle w:val="4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40" w:lineRule="exact"/>
              <w:ind w:left="0" w:right="0" w:right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收款单位：中标后另行通知 </w:t>
            </w:r>
          </w:p>
          <w:p w14:paraId="00F3F8A8">
            <w:pPr>
              <w:pStyle w:val="4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40" w:lineRule="exact"/>
              <w:ind w:left="0" w:right="0" w:right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开户银行：中标后另行通知 </w:t>
            </w:r>
          </w:p>
          <w:p w14:paraId="01E960D4">
            <w:pPr>
              <w:pStyle w:val="4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40" w:lineRule="exact"/>
              <w:ind w:left="0" w:right="0" w:right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银行账号：中标后另行通知  </w:t>
            </w:r>
          </w:p>
          <w:p w14:paraId="27758678">
            <w:pPr>
              <w:keepNext w:val="0"/>
              <w:keepLines w:val="0"/>
              <w:pageBreakBefore w:val="0"/>
              <w:suppressLineNumbers w:val="0"/>
              <w:kinsoku/>
              <w:wordWrap/>
              <w:overflowPunct/>
              <w:autoSpaceDN/>
              <w:bidi w:val="0"/>
              <w:spacing w:before="0" w:beforeAutospacing="0" w:after="0" w:afterAutospacing="0" w:line="440" w:lineRule="exact"/>
              <w:ind w:left="0" w:right="0"/>
              <w:textAlignment w:val="auto"/>
              <w:rPr>
                <w:rFonts w:hint="eastAsia" w:ascii="宋体" w:hAnsi="宋体" w:cs="宋体"/>
                <w:color w:val="auto"/>
                <w:szCs w:val="21"/>
                <w:highlight w:val="none"/>
              </w:rPr>
            </w:pPr>
            <w:r>
              <w:rPr>
                <w:rFonts w:hint="eastAsia" w:ascii="宋体" w:hAnsi="宋体" w:eastAsia="宋体" w:cs="宋体"/>
                <w:color w:val="auto"/>
                <w:sz w:val="21"/>
                <w:szCs w:val="21"/>
                <w:highlight w:val="none"/>
                <w:lang w:val="en-US" w:eastAsia="zh-CN"/>
              </w:rPr>
              <w:t>缴纳时限：</w:t>
            </w:r>
            <w:r>
              <w:rPr>
                <w:rFonts w:hint="eastAsia" w:ascii="宋体" w:hAnsi="宋体" w:cs="宋体"/>
                <w:color w:val="auto"/>
                <w:szCs w:val="21"/>
                <w:highlight w:val="none"/>
              </w:rPr>
              <w:t>中标人须在中标通知书发出后</w:t>
            </w:r>
            <w:r>
              <w:rPr>
                <w:rFonts w:hint="eastAsia" w:ascii="宋体" w:hAnsi="宋体" w:cs="宋体"/>
                <w:color w:val="FF0000"/>
                <w:szCs w:val="21"/>
                <w:highlight w:val="yellow"/>
                <w:lang w:val="en-US" w:eastAsia="zh-CN"/>
              </w:rPr>
              <w:t>15</w:t>
            </w:r>
            <w:r>
              <w:rPr>
                <w:rFonts w:hint="eastAsia" w:ascii="宋体" w:hAnsi="宋体" w:cs="宋体"/>
                <w:color w:val="FF0000"/>
                <w:szCs w:val="21"/>
                <w:highlight w:val="yellow"/>
              </w:rPr>
              <w:t>日</w:t>
            </w:r>
            <w:r>
              <w:rPr>
                <w:rFonts w:hint="eastAsia" w:ascii="宋体" w:hAnsi="宋体" w:cs="宋体"/>
                <w:color w:val="auto"/>
                <w:szCs w:val="21"/>
                <w:highlight w:val="yellow"/>
              </w:rPr>
              <w:t>内完</w:t>
            </w:r>
            <w:r>
              <w:rPr>
                <w:rFonts w:hint="eastAsia" w:ascii="宋体" w:hAnsi="宋体" w:cs="宋体"/>
                <w:color w:val="auto"/>
                <w:szCs w:val="21"/>
                <w:highlight w:val="none"/>
              </w:rPr>
              <w:t>成履约保证金或履约保函缴纳及合同签订。</w:t>
            </w:r>
          </w:p>
          <w:p w14:paraId="53FA0C39">
            <w:pPr>
              <w:pStyle w:val="4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40" w:lineRule="exact"/>
              <w:ind w:left="0" w:right="0" w:rightChars="0"/>
              <w:jc w:val="both"/>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履约保证金退还时限：履约保证金有效期满7日内</w:t>
            </w:r>
            <w:r>
              <w:rPr>
                <w:rFonts w:hint="eastAsia" w:cs="宋体"/>
                <w:color w:val="auto"/>
                <w:sz w:val="21"/>
                <w:szCs w:val="21"/>
                <w:highlight w:val="none"/>
                <w:lang w:val="en-US" w:eastAsia="zh-CN"/>
              </w:rPr>
              <w:t>。</w:t>
            </w:r>
          </w:p>
          <w:p w14:paraId="49001EE6">
            <w:pPr>
              <w:keepNext w:val="0"/>
              <w:keepLines w:val="0"/>
              <w:pageBreakBefore w:val="0"/>
              <w:suppressLineNumbers w:val="0"/>
              <w:kinsoku/>
              <w:wordWrap/>
              <w:overflowPunct/>
              <w:autoSpaceDE/>
              <w:autoSpaceDN/>
              <w:bidi w:val="0"/>
              <w:spacing w:before="0" w:beforeAutospacing="0" w:after="0" w:afterAutospacing="0" w:line="440" w:lineRule="exact"/>
              <w:ind w:left="0" w:right="0"/>
              <w:textAlignment w:val="auto"/>
              <w:rPr>
                <w:rFonts w:hint="default" w:ascii="宋体" w:hAnsi="宋体" w:cs="宋体"/>
                <w:color w:val="auto"/>
                <w:szCs w:val="21"/>
                <w:highlight w:val="none"/>
              </w:rPr>
            </w:pPr>
            <w:r>
              <w:rPr>
                <w:rFonts w:hint="eastAsia" w:ascii="宋体" w:hAnsi="宋体" w:eastAsia="宋体" w:cs="宋体"/>
                <w:color w:val="auto"/>
                <w:sz w:val="21"/>
                <w:szCs w:val="21"/>
                <w:highlight w:val="none"/>
                <w:lang w:val="en-US" w:eastAsia="zh-CN"/>
              </w:rPr>
              <w:t>其他相关要求：</w:t>
            </w:r>
            <w:r>
              <w:rPr>
                <w:rFonts w:hint="eastAsia" w:ascii="宋体" w:hAnsi="宋体" w:cs="宋体"/>
                <w:color w:val="auto"/>
                <w:sz w:val="21"/>
                <w:szCs w:val="21"/>
                <w:highlight w:val="none"/>
                <w:lang w:val="en-US" w:eastAsia="zh-CN"/>
              </w:rPr>
              <w:t>须符合招标人要求</w:t>
            </w:r>
            <w:r>
              <w:rPr>
                <w:rFonts w:hint="eastAsia" w:ascii="宋体" w:hAnsi="宋体" w:cs="宋体"/>
                <w:color w:val="auto"/>
                <w:szCs w:val="21"/>
                <w:highlight w:val="none"/>
              </w:rPr>
              <w:t>。 </w:t>
            </w:r>
          </w:p>
        </w:tc>
      </w:tr>
      <w:tr w14:paraId="407680AB">
        <w:tblPrEx>
          <w:tblCellMar>
            <w:top w:w="0" w:type="dxa"/>
            <w:left w:w="108" w:type="dxa"/>
            <w:bottom w:w="0" w:type="dxa"/>
            <w:right w:w="108" w:type="dxa"/>
          </w:tblCellMar>
        </w:tblPrEx>
        <w:trPr>
          <w:trHeight w:val="90" w:hRule="atLeast"/>
          <w:jc w:val="center"/>
        </w:trPr>
        <w:tc>
          <w:tcPr>
            <w:tcW w:w="868" w:type="dxa"/>
            <w:tcBorders>
              <w:top w:val="single" w:color="auto" w:sz="4" w:space="0"/>
              <w:left w:val="single" w:color="auto" w:sz="4" w:space="0"/>
              <w:bottom w:val="single" w:color="auto" w:sz="4" w:space="0"/>
              <w:right w:val="single" w:color="auto" w:sz="4" w:space="0"/>
            </w:tcBorders>
            <w:noWrap/>
            <w:vAlign w:val="center"/>
          </w:tcPr>
          <w:p w14:paraId="347E755F">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35</w:t>
            </w:r>
          </w:p>
        </w:tc>
        <w:tc>
          <w:tcPr>
            <w:tcW w:w="2209" w:type="dxa"/>
            <w:gridSpan w:val="2"/>
            <w:tcBorders>
              <w:top w:val="single" w:color="auto" w:sz="4" w:space="0"/>
              <w:left w:val="single" w:color="auto" w:sz="4" w:space="0"/>
              <w:bottom w:val="single" w:color="auto" w:sz="4" w:space="0"/>
              <w:right w:val="single" w:color="auto" w:sz="4" w:space="0"/>
            </w:tcBorders>
            <w:noWrap/>
            <w:vAlign w:val="center"/>
          </w:tcPr>
          <w:p w14:paraId="3C618C3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eastAsia="宋体" w:cs="宋体"/>
                <w:b/>
                <w:bCs/>
                <w:color w:val="auto"/>
                <w:sz w:val="21"/>
                <w:szCs w:val="21"/>
                <w:highlight w:val="none"/>
              </w:rPr>
              <w:t>付款方式</w:t>
            </w:r>
          </w:p>
        </w:tc>
        <w:tc>
          <w:tcPr>
            <w:tcW w:w="6837" w:type="dxa"/>
            <w:tcBorders>
              <w:top w:val="single" w:color="auto" w:sz="4" w:space="0"/>
              <w:left w:val="single" w:color="auto" w:sz="4" w:space="0"/>
              <w:bottom w:val="single" w:color="auto" w:sz="4" w:space="0"/>
              <w:right w:val="single" w:color="auto" w:sz="4" w:space="0"/>
            </w:tcBorders>
            <w:noWrap/>
            <w:vAlign w:val="center"/>
          </w:tcPr>
          <w:p w14:paraId="5580E8D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right="0"/>
              <w:jc w:val="left"/>
              <w:textAlignment w:val="auto"/>
              <w:rPr>
                <w:rFonts w:hint="default" w:ascii="宋体" w:hAnsi="宋体" w:cs="宋体"/>
                <w:color w:val="auto"/>
                <w:szCs w:val="21"/>
                <w:highlight w:val="none"/>
                <w:lang w:val="en-US"/>
              </w:rPr>
            </w:pPr>
            <w:r>
              <w:rPr>
                <w:rFonts w:hint="eastAsia" w:ascii="宋体" w:hAnsi="宋体" w:eastAsia="宋体" w:cs="宋体"/>
                <w:color w:val="auto"/>
                <w:spacing w:val="0"/>
                <w:kern w:val="2"/>
                <w:sz w:val="21"/>
                <w:szCs w:val="21"/>
                <w:highlight w:val="none"/>
                <w:lang w:val="en-US" w:eastAsia="zh-CN" w:bidi="ar-SA"/>
              </w:rPr>
              <w:t>见合同条款。</w:t>
            </w:r>
          </w:p>
        </w:tc>
      </w:tr>
      <w:tr w14:paraId="22392EEF">
        <w:tblPrEx>
          <w:tblCellMar>
            <w:top w:w="0" w:type="dxa"/>
            <w:left w:w="108" w:type="dxa"/>
            <w:bottom w:w="0" w:type="dxa"/>
            <w:right w:w="108" w:type="dxa"/>
          </w:tblCellMar>
        </w:tblPrEx>
        <w:trPr>
          <w:trHeight w:val="90" w:hRule="atLeast"/>
          <w:jc w:val="center"/>
        </w:trPr>
        <w:tc>
          <w:tcPr>
            <w:tcW w:w="9914" w:type="dxa"/>
            <w:gridSpan w:val="4"/>
            <w:tcBorders>
              <w:top w:val="single" w:color="auto" w:sz="4" w:space="0"/>
              <w:left w:val="single" w:color="auto" w:sz="4" w:space="0"/>
              <w:bottom w:val="single" w:color="auto" w:sz="4" w:space="0"/>
              <w:right w:val="single" w:color="auto" w:sz="4" w:space="0"/>
            </w:tcBorders>
            <w:noWrap/>
            <w:vAlign w:val="center"/>
          </w:tcPr>
          <w:p w14:paraId="2FFD69A8">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Cs w:val="21"/>
                <w:highlight w:val="none"/>
              </w:rPr>
              <w:t>需要补充的其他内容</w:t>
            </w:r>
          </w:p>
        </w:tc>
      </w:tr>
      <w:tr w14:paraId="289BCD65">
        <w:tblPrEx>
          <w:tblCellMar>
            <w:top w:w="0" w:type="dxa"/>
            <w:left w:w="108" w:type="dxa"/>
            <w:bottom w:w="0" w:type="dxa"/>
            <w:right w:w="108" w:type="dxa"/>
          </w:tblCellMar>
        </w:tblPrEx>
        <w:trPr>
          <w:jc w:val="center"/>
        </w:trPr>
        <w:tc>
          <w:tcPr>
            <w:tcW w:w="1778" w:type="dxa"/>
            <w:gridSpan w:val="2"/>
            <w:tcBorders>
              <w:top w:val="single" w:color="auto" w:sz="4" w:space="0"/>
              <w:left w:val="single" w:color="auto" w:sz="4" w:space="0"/>
              <w:bottom w:val="single" w:color="auto" w:sz="4" w:space="0"/>
              <w:right w:val="single" w:color="auto" w:sz="4" w:space="0"/>
            </w:tcBorders>
            <w:noWrap/>
            <w:vAlign w:val="center"/>
          </w:tcPr>
          <w:p w14:paraId="7CFA81D5">
            <w:pPr>
              <w:keepNext w:val="0"/>
              <w:keepLines w:val="0"/>
              <w:pageBreakBefore w:val="0"/>
              <w:suppressLineNumbers w:val="0"/>
              <w:kinsoku/>
              <w:wordWrap/>
              <w:overflowPunct/>
              <w:autoSpaceDN/>
              <w:bidi w:val="0"/>
              <w:adjustRightInd w:val="0"/>
              <w:snapToGrid w:val="0"/>
              <w:spacing w:before="0" w:beforeAutospacing="0" w:after="0" w:afterAutospacing="0" w:line="440" w:lineRule="exact"/>
              <w:ind w:left="0" w:right="0"/>
              <w:jc w:val="center"/>
              <w:textAlignment w:val="auto"/>
              <w:rPr>
                <w:rFonts w:hint="default" w:ascii="宋体" w:hAnsi="宋体" w:cs="宋体"/>
                <w:color w:val="auto"/>
                <w:szCs w:val="21"/>
                <w:highlight w:val="none"/>
              </w:rPr>
            </w:pPr>
            <w:r>
              <w:rPr>
                <w:rFonts w:hint="eastAsia" w:ascii="宋体" w:hAnsi="宋体" w:cs="宋体"/>
                <w:color w:val="auto"/>
                <w:sz w:val="21"/>
                <w:szCs w:val="21"/>
                <w:highlight w:val="none"/>
              </w:rPr>
              <w:t>招标代理服务费</w:t>
            </w:r>
          </w:p>
        </w:tc>
        <w:tc>
          <w:tcPr>
            <w:tcW w:w="8136" w:type="dxa"/>
            <w:gridSpan w:val="2"/>
            <w:tcBorders>
              <w:top w:val="single" w:color="auto" w:sz="4" w:space="0"/>
              <w:left w:val="single" w:color="auto" w:sz="4" w:space="0"/>
              <w:bottom w:val="single" w:color="auto" w:sz="4" w:space="0"/>
              <w:right w:val="single" w:color="auto" w:sz="4" w:space="0"/>
            </w:tcBorders>
            <w:noWrap/>
            <w:vAlign w:val="center"/>
          </w:tcPr>
          <w:p w14:paraId="2EB0DF0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default" w:ascii="宋体" w:hAnsi="宋体" w:cs="宋体"/>
                <w:color w:val="auto"/>
                <w:kern w:val="0"/>
                <w:szCs w:val="21"/>
                <w:highlight w:val="none"/>
              </w:rPr>
            </w:pPr>
            <w:r>
              <w:rPr>
                <w:rFonts w:hint="eastAsia" w:ascii="宋体" w:hAnsi="宋体" w:cs="宋体"/>
                <w:color w:val="auto"/>
                <w:kern w:val="0"/>
                <w:szCs w:val="21"/>
                <w:highlight w:val="none"/>
              </w:rPr>
              <w:t>代理服务具体金额：</w:t>
            </w:r>
            <w:r>
              <w:rPr>
                <w:rFonts w:hint="eastAsia" w:ascii="宋体" w:hAnsi="宋体" w:cs="宋体"/>
                <w:color w:val="auto"/>
                <w:kern w:val="0"/>
                <w:szCs w:val="21"/>
                <w:highlight w:val="none"/>
                <w:lang w:val="en-US" w:eastAsia="zh-CN"/>
              </w:rPr>
              <w:t>1.375万</w:t>
            </w:r>
            <w:r>
              <w:rPr>
                <w:rFonts w:hint="eastAsia" w:ascii="宋体" w:hAnsi="宋体" w:cs="宋体"/>
                <w:color w:val="auto"/>
                <w:kern w:val="0"/>
                <w:szCs w:val="21"/>
                <w:highlight w:val="none"/>
              </w:rPr>
              <w:t>元</w:t>
            </w:r>
            <w:r>
              <w:rPr>
                <w:rFonts w:hint="eastAsia" w:ascii="宋体" w:hAnsi="宋体" w:cs="宋体"/>
                <w:bCs/>
                <w:color w:val="auto"/>
                <w:kern w:val="0"/>
                <w:highlight w:val="none"/>
              </w:rPr>
              <w:t>。</w:t>
            </w:r>
          </w:p>
          <w:p w14:paraId="673E1FE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default" w:ascii="宋体" w:hAnsi="宋体" w:cs="宋体"/>
                <w:color w:val="auto"/>
                <w:szCs w:val="21"/>
                <w:highlight w:val="none"/>
              </w:rPr>
            </w:pPr>
            <w:r>
              <w:rPr>
                <w:rFonts w:hint="eastAsia" w:ascii="宋体" w:hAnsi="宋体" w:cs="宋体"/>
                <w:color w:val="auto"/>
                <w:kern w:val="0"/>
                <w:szCs w:val="21"/>
                <w:highlight w:val="none"/>
              </w:rPr>
              <w:t>代理服务费支付主体</w:t>
            </w:r>
            <w:r>
              <w:rPr>
                <w:rFonts w:hint="eastAsia" w:ascii="宋体" w:hAnsi="宋体" w:cs="宋体"/>
                <w:color w:val="auto"/>
                <w:szCs w:val="21"/>
                <w:highlight w:val="none"/>
              </w:rPr>
              <w:t>：中标单位</w:t>
            </w:r>
            <w:r>
              <w:rPr>
                <w:rFonts w:hint="eastAsia" w:ascii="宋体" w:hAnsi="宋体" w:cs="宋体"/>
                <w:color w:val="auto"/>
                <w:szCs w:val="21"/>
                <w:highlight w:val="none"/>
                <w:lang w:eastAsia="zh-CN"/>
              </w:rPr>
              <w:t>，</w:t>
            </w:r>
            <w:r>
              <w:rPr>
                <w:rFonts w:hint="eastAsia" w:ascii="宋体" w:hAnsi="宋体" w:cs="宋体"/>
                <w:color w:val="auto"/>
                <w:kern w:val="0"/>
                <w:szCs w:val="21"/>
                <w:highlight w:val="none"/>
              </w:rPr>
              <w:t>由中标单位在领取中标通知书时，一次性支付给代理机构。</w:t>
            </w:r>
          </w:p>
        </w:tc>
      </w:tr>
      <w:tr w14:paraId="2C34CB47">
        <w:tblPrEx>
          <w:tblCellMar>
            <w:top w:w="0" w:type="dxa"/>
            <w:left w:w="108" w:type="dxa"/>
            <w:bottom w:w="0" w:type="dxa"/>
            <w:right w:w="108" w:type="dxa"/>
          </w:tblCellMar>
        </w:tblPrEx>
        <w:trPr>
          <w:jc w:val="center"/>
        </w:trPr>
        <w:tc>
          <w:tcPr>
            <w:tcW w:w="1778" w:type="dxa"/>
            <w:gridSpan w:val="2"/>
            <w:tcBorders>
              <w:top w:val="single" w:color="auto" w:sz="4" w:space="0"/>
              <w:left w:val="single" w:color="auto" w:sz="4" w:space="0"/>
              <w:bottom w:val="single" w:color="auto" w:sz="4" w:space="0"/>
              <w:right w:val="single" w:color="auto" w:sz="4" w:space="0"/>
            </w:tcBorders>
            <w:noWrap/>
            <w:vAlign w:val="center"/>
          </w:tcPr>
          <w:p w14:paraId="1767E83A">
            <w:pPr>
              <w:keepNext w:val="0"/>
              <w:keepLines w:val="0"/>
              <w:pageBreakBefore w:val="0"/>
              <w:suppressLineNumbers w:val="0"/>
              <w:kinsoku/>
              <w:wordWrap/>
              <w:overflowPunct/>
              <w:autoSpaceDN/>
              <w:bidi w:val="0"/>
              <w:adjustRightInd w:val="0"/>
              <w:snapToGrid w:val="0"/>
              <w:spacing w:before="0" w:beforeAutospacing="0" w:after="0" w:afterAutospacing="0" w:line="440" w:lineRule="exact"/>
              <w:ind w:left="0" w:right="0"/>
              <w:jc w:val="center"/>
              <w:textAlignment w:val="auto"/>
              <w:rPr>
                <w:rFonts w:hint="eastAsia" w:ascii="宋体" w:hAnsi="宋体" w:cs="宋体"/>
                <w:color w:val="auto"/>
                <w:szCs w:val="21"/>
                <w:highlight w:val="none"/>
              </w:rPr>
            </w:pPr>
            <w:r>
              <w:rPr>
                <w:rFonts w:hint="eastAsia" w:ascii="宋体" w:hAnsi="宋体" w:cs="宋体"/>
                <w:color w:val="auto"/>
                <w:sz w:val="21"/>
                <w:szCs w:val="21"/>
                <w:highlight w:val="none"/>
              </w:rPr>
              <w:t>专家评审劳务费</w:t>
            </w:r>
          </w:p>
        </w:tc>
        <w:tc>
          <w:tcPr>
            <w:tcW w:w="8136" w:type="dxa"/>
            <w:gridSpan w:val="2"/>
            <w:tcBorders>
              <w:top w:val="single" w:color="auto" w:sz="4" w:space="0"/>
              <w:left w:val="single" w:color="auto" w:sz="4" w:space="0"/>
              <w:bottom w:val="single" w:color="auto" w:sz="4" w:space="0"/>
              <w:right w:val="single" w:color="auto" w:sz="4" w:space="0"/>
            </w:tcBorders>
            <w:noWrap/>
            <w:vAlign w:val="center"/>
          </w:tcPr>
          <w:p w14:paraId="145DC35F">
            <w:pPr>
              <w:keepNext w:val="0"/>
              <w:keepLines w:val="0"/>
              <w:pageBreakBefore w:val="0"/>
              <w:suppressLineNumbers w:val="0"/>
              <w:kinsoku/>
              <w:wordWrap/>
              <w:overflowPunct/>
              <w:autoSpaceDN/>
              <w:bidi w:val="0"/>
              <w:adjustRightInd w:val="0"/>
              <w:snapToGrid w:val="0"/>
              <w:spacing w:before="0" w:beforeAutospacing="0" w:after="0" w:afterAutospacing="0" w:line="440" w:lineRule="exact"/>
              <w:ind w:left="0" w:right="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rPr>
              <w:t>费用或支付标准：</w:t>
            </w:r>
            <w:r>
              <w:rPr>
                <w:rFonts w:hint="eastAsia" w:ascii="宋体" w:hAnsi="宋体" w:cs="宋体"/>
                <w:color w:val="auto"/>
                <w:sz w:val="21"/>
                <w:szCs w:val="21"/>
                <w:highlight w:val="none"/>
                <w:lang w:val="en-US" w:eastAsia="zh-CN"/>
              </w:rPr>
              <w:t>以实际发生为准。</w:t>
            </w:r>
          </w:p>
          <w:p w14:paraId="6F57571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宋体" w:hAnsi="宋体" w:cs="宋体"/>
                <w:color w:val="auto"/>
                <w:kern w:val="0"/>
                <w:szCs w:val="21"/>
                <w:highlight w:val="none"/>
              </w:rPr>
            </w:pPr>
            <w:r>
              <w:rPr>
                <w:rFonts w:hint="eastAsia"/>
                <w:color w:val="auto"/>
                <w:sz w:val="21"/>
                <w:szCs w:val="21"/>
                <w:highlight w:val="none"/>
              </w:rPr>
              <w:t>支付主体：</w:t>
            </w:r>
            <w:r>
              <w:rPr>
                <w:rFonts w:hint="eastAsia"/>
                <w:color w:val="auto"/>
                <w:sz w:val="21"/>
                <w:szCs w:val="21"/>
                <w:highlight w:val="none"/>
                <w:lang w:val="en-US" w:eastAsia="zh-CN"/>
              </w:rPr>
              <w:t>中标单位。</w:t>
            </w:r>
          </w:p>
        </w:tc>
      </w:tr>
      <w:tr w14:paraId="5CF0DFC3">
        <w:tblPrEx>
          <w:tblCellMar>
            <w:top w:w="0" w:type="dxa"/>
            <w:left w:w="108" w:type="dxa"/>
            <w:bottom w:w="0" w:type="dxa"/>
            <w:right w:w="108" w:type="dxa"/>
          </w:tblCellMar>
        </w:tblPrEx>
        <w:trPr>
          <w:jc w:val="center"/>
        </w:trPr>
        <w:tc>
          <w:tcPr>
            <w:tcW w:w="1778" w:type="dxa"/>
            <w:gridSpan w:val="2"/>
            <w:tcBorders>
              <w:top w:val="single" w:color="auto" w:sz="4" w:space="0"/>
              <w:left w:val="single" w:color="auto" w:sz="4" w:space="0"/>
              <w:bottom w:val="single" w:color="auto" w:sz="4" w:space="0"/>
              <w:right w:val="single" w:color="auto" w:sz="4" w:space="0"/>
            </w:tcBorders>
            <w:noWrap/>
            <w:vAlign w:val="center"/>
          </w:tcPr>
          <w:p w14:paraId="700B8A7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default"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rPr>
              <w:t>人员到岗及履约要求</w:t>
            </w:r>
          </w:p>
        </w:tc>
        <w:tc>
          <w:tcPr>
            <w:tcW w:w="8136" w:type="dxa"/>
            <w:gridSpan w:val="2"/>
            <w:tcBorders>
              <w:top w:val="single" w:color="auto" w:sz="4" w:space="0"/>
              <w:left w:val="single" w:color="auto" w:sz="4" w:space="0"/>
              <w:bottom w:val="single" w:color="auto" w:sz="4" w:space="0"/>
              <w:right w:val="single" w:color="auto" w:sz="4" w:space="0"/>
            </w:tcBorders>
            <w:noWrap/>
            <w:vAlign w:val="center"/>
          </w:tcPr>
          <w:p w14:paraId="479DE82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default"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1、人员考核：工程开工进场后，承包人必须配备项目经理（建造师）、技术负责人、质量员、安全员等项目部关键岗位人员。未经发包人同意，不得更换上述人员</w:t>
            </w:r>
            <w:r>
              <w:rPr>
                <w:rFonts w:hint="eastAsia" w:ascii="Times New Roman" w:hAnsi="Times New Roman" w:eastAsia="宋体" w:cs="Times New Roman"/>
                <w:color w:val="auto"/>
                <w:sz w:val="21"/>
                <w:szCs w:val="21"/>
                <w:highlight w:val="none"/>
                <w:lang w:eastAsia="zh-CN"/>
              </w:rPr>
              <w:t>（</w:t>
            </w:r>
            <w:r>
              <w:rPr>
                <w:rFonts w:hint="eastAsia" w:ascii="Times New Roman" w:hAnsi="Times New Roman" w:eastAsia="宋体" w:cs="Times New Roman"/>
                <w:color w:val="auto"/>
                <w:sz w:val="21"/>
                <w:szCs w:val="21"/>
                <w:highlight w:val="none"/>
                <w:lang w:val="en-US" w:eastAsia="zh-CN"/>
              </w:rPr>
              <w:t>上述人员必须是承包人单位自己人员</w:t>
            </w:r>
            <w:r>
              <w:rPr>
                <w:rFonts w:hint="eastAsia" w:ascii="Times New Roman" w:hAnsi="Times New Roman" w:eastAsia="宋体" w:cs="Times New Roman"/>
                <w:color w:val="auto"/>
                <w:sz w:val="21"/>
                <w:szCs w:val="21"/>
                <w:highlight w:val="none"/>
                <w:lang w:eastAsia="zh-CN"/>
              </w:rPr>
              <w:t>）</w:t>
            </w:r>
            <w:r>
              <w:rPr>
                <w:rFonts w:hint="eastAsia" w:ascii="Times New Roman" w:hAnsi="Times New Roman" w:eastAsia="宋体" w:cs="Times New Roman"/>
                <w:color w:val="auto"/>
                <w:sz w:val="21"/>
                <w:szCs w:val="21"/>
                <w:highlight w:val="none"/>
              </w:rPr>
              <w:t>。发包人将组织对上述人员进行业务能力考核，对未按</w:t>
            </w:r>
            <w:r>
              <w:rPr>
                <w:rFonts w:hint="eastAsia" w:ascii="Times New Roman" w:hAnsi="Times New Roman" w:eastAsia="宋体" w:cs="Times New Roman"/>
                <w:color w:val="auto"/>
                <w:sz w:val="21"/>
                <w:szCs w:val="21"/>
                <w:highlight w:val="none"/>
                <w:lang w:val="en-US" w:eastAsia="zh-CN"/>
              </w:rPr>
              <w:t>要求</w:t>
            </w:r>
            <w:r>
              <w:rPr>
                <w:rFonts w:hint="eastAsia" w:ascii="Times New Roman" w:hAnsi="Times New Roman" w:eastAsia="宋体" w:cs="Times New Roman"/>
                <w:color w:val="auto"/>
                <w:sz w:val="21"/>
                <w:szCs w:val="21"/>
                <w:highlight w:val="none"/>
              </w:rPr>
              <w:t>配备或经考核不合格要求更换人员的，承包人7日内必须整改调整到位。否则，对于项目经理和技术负责人，按照2000元/人·天的违约金进行处罚，对于施工现场其他管理人员按照1000元/人·天的违约金进行处罚</w:t>
            </w:r>
            <w:r>
              <w:rPr>
                <w:rFonts w:hint="eastAsia" w:ascii="Times New Roman" w:hAnsi="Times New Roman" w:eastAsia="宋体" w:cs="Times New Roman"/>
                <w:color w:val="auto"/>
                <w:sz w:val="21"/>
                <w:szCs w:val="21"/>
                <w:highlight w:val="none"/>
                <w:lang w:eastAsia="zh-CN"/>
              </w:rPr>
              <w:t>；</w:t>
            </w:r>
            <w:r>
              <w:rPr>
                <w:rFonts w:hint="eastAsia" w:ascii="Times New Roman" w:hAnsi="Times New Roman" w:eastAsia="宋体" w:cs="Times New Roman"/>
                <w:color w:val="auto"/>
                <w:sz w:val="21"/>
                <w:szCs w:val="21"/>
                <w:highlight w:val="none"/>
                <w:lang w:val="en-US" w:eastAsia="zh-CN"/>
              </w:rPr>
              <w:t>现场施工人员必须有50%以上是承包人单位自有人员，否则，按照10000元/人进行处罚</w:t>
            </w:r>
            <w:r>
              <w:rPr>
                <w:rFonts w:hint="eastAsia" w:ascii="Times New Roman" w:hAnsi="Times New Roman" w:eastAsia="宋体" w:cs="Times New Roman"/>
                <w:color w:val="auto"/>
                <w:sz w:val="21"/>
                <w:szCs w:val="21"/>
                <w:highlight w:val="none"/>
              </w:rPr>
              <w:t>。</w:t>
            </w:r>
          </w:p>
          <w:p w14:paraId="4A9743C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2、人员考勤：项目经理、技术负责人每月在岗时间不得少于20个工作日，施工现场其他管理人员每月在岗时间不得少于22个工作日。未按规定在岗履责的，对项目经理和技术负责人处罚2000元/人·天的违约金，对施工现场其他管理人员处罚1000元/人·天的违约金。项目部关键岗位人员离岗必须向发包人履行请假手续，若被发包人和相关部门日常检查和随机抽查中发现不在岗的，又未履行请假手续的，处罚5000元/人·次的违约金。</w:t>
            </w:r>
          </w:p>
        </w:tc>
      </w:tr>
      <w:tr w14:paraId="640BB989">
        <w:tblPrEx>
          <w:tblCellMar>
            <w:top w:w="0" w:type="dxa"/>
            <w:left w:w="108" w:type="dxa"/>
            <w:bottom w:w="0" w:type="dxa"/>
            <w:right w:w="108" w:type="dxa"/>
          </w:tblCellMar>
        </w:tblPrEx>
        <w:trPr>
          <w:jc w:val="center"/>
        </w:trPr>
        <w:tc>
          <w:tcPr>
            <w:tcW w:w="1778" w:type="dxa"/>
            <w:gridSpan w:val="2"/>
            <w:tcBorders>
              <w:top w:val="single" w:color="auto" w:sz="4" w:space="0"/>
              <w:left w:val="single" w:color="auto" w:sz="4" w:space="0"/>
              <w:bottom w:val="single" w:color="auto" w:sz="4" w:space="0"/>
              <w:right w:val="single" w:color="auto" w:sz="4" w:space="0"/>
            </w:tcBorders>
            <w:noWrap/>
            <w:vAlign w:val="center"/>
          </w:tcPr>
          <w:p w14:paraId="0DFA04D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主要材料要求</w:t>
            </w:r>
          </w:p>
        </w:tc>
        <w:tc>
          <w:tcPr>
            <w:tcW w:w="8136" w:type="dxa"/>
            <w:gridSpan w:val="2"/>
            <w:tcBorders>
              <w:top w:val="single" w:color="auto" w:sz="4" w:space="0"/>
              <w:left w:val="single" w:color="auto" w:sz="4" w:space="0"/>
              <w:bottom w:val="single" w:color="auto" w:sz="4" w:space="0"/>
              <w:right w:val="single" w:color="auto" w:sz="4" w:space="0"/>
            </w:tcBorders>
            <w:noWrap/>
            <w:vAlign w:val="center"/>
          </w:tcPr>
          <w:p w14:paraId="3CB1A56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Times New Roman" w:hAnsi="Times New Roman" w:eastAsia="宋体" w:cs="Times New Roman"/>
                <w:color w:val="auto"/>
                <w:sz w:val="21"/>
                <w:szCs w:val="21"/>
                <w:highlight w:val="none"/>
                <w:lang w:val="en-US"/>
              </w:rPr>
            </w:pPr>
            <w:r>
              <w:rPr>
                <w:rFonts w:hint="eastAsia" w:ascii="Times New Roman" w:hAnsi="Times New Roman" w:eastAsia="宋体" w:cs="Times New Roman"/>
                <w:color w:val="auto"/>
                <w:sz w:val="21"/>
                <w:szCs w:val="21"/>
                <w:highlight w:val="none"/>
                <w:lang w:val="en-US"/>
              </w:rPr>
              <w:t>主要材料由 中标人自行采购</w:t>
            </w:r>
          </w:p>
          <w:p w14:paraId="231A514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Times New Roman" w:hAnsi="Times New Roman" w:eastAsia="宋体" w:cs="Times New Roman"/>
                <w:color w:val="auto"/>
                <w:sz w:val="21"/>
                <w:szCs w:val="21"/>
                <w:highlight w:val="none"/>
                <w:lang w:val="en-US"/>
              </w:rPr>
            </w:pPr>
            <w:r>
              <w:rPr>
                <w:rFonts w:hint="eastAsia" w:ascii="Times New Roman" w:hAnsi="Times New Roman" w:eastAsia="宋体" w:cs="Times New Roman"/>
                <w:color w:val="auto"/>
                <w:sz w:val="21"/>
                <w:szCs w:val="21"/>
                <w:highlight w:val="none"/>
                <w:lang w:val="en-US"/>
              </w:rPr>
              <w:t>如招标人对主要材料、设备的技术性能指标有特殊要求，应在招标文件第</w:t>
            </w:r>
            <w:r>
              <w:rPr>
                <w:rFonts w:hint="eastAsia" w:ascii="Times New Roman" w:hAnsi="Times New Roman" w:eastAsia="宋体" w:cs="Times New Roman"/>
                <w:color w:val="auto"/>
                <w:sz w:val="21"/>
                <w:szCs w:val="21"/>
                <w:highlight w:val="none"/>
                <w:lang w:val="en-US" w:eastAsia="zh-CN"/>
              </w:rPr>
              <w:t>七</w:t>
            </w:r>
            <w:r>
              <w:rPr>
                <w:rFonts w:hint="eastAsia" w:ascii="Times New Roman" w:hAnsi="Times New Roman" w:eastAsia="宋体" w:cs="Times New Roman"/>
                <w:color w:val="auto"/>
                <w:sz w:val="21"/>
                <w:szCs w:val="21"/>
                <w:highlight w:val="none"/>
                <w:lang w:val="en-US"/>
              </w:rPr>
              <w:t>章“技术标准和要求”品牌推荐表中推荐不少于三个品牌。对于招标人推荐品牌的材料、设备，投标人可选用推荐品牌或不低于推荐品牌技术性能指标的其他品牌；采用其他品牌的应在报价文件《招标人推荐的材料品牌响应表》中注明并提供相关技术性能指标、业绩等供评标委员会评审，未在《招标人推荐的材料品牌响应表》中注明且未提供相关技术性能指标、业绩，或经评标委员会评审未通过的，中标后只能从招标人推荐品牌中进行选择，合同价格不予调整。</w:t>
            </w:r>
          </w:p>
          <w:p w14:paraId="7342F88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Times New Roman" w:hAnsi="Times New Roman" w:eastAsia="宋体" w:cs="Times New Roman"/>
                <w:color w:val="auto"/>
                <w:sz w:val="21"/>
                <w:szCs w:val="21"/>
                <w:highlight w:val="none"/>
                <w:lang w:val="en-US"/>
              </w:rPr>
            </w:pPr>
            <w:r>
              <w:rPr>
                <w:rFonts w:hint="eastAsia" w:ascii="Times New Roman" w:hAnsi="Times New Roman" w:eastAsia="宋体" w:cs="Times New Roman"/>
                <w:color w:val="auto"/>
                <w:sz w:val="21"/>
                <w:szCs w:val="21"/>
                <w:highlight w:val="none"/>
                <w:lang w:val="en-US"/>
              </w:rPr>
              <w:t>1、本工程采用商品砼。</w:t>
            </w:r>
          </w:p>
          <w:p w14:paraId="037EB61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lang w:val="en-US"/>
              </w:rPr>
              <w:t>2、本项目采用预拌砂浆。</w:t>
            </w:r>
          </w:p>
        </w:tc>
      </w:tr>
      <w:tr w14:paraId="7139698F">
        <w:tblPrEx>
          <w:tblCellMar>
            <w:top w:w="0" w:type="dxa"/>
            <w:left w:w="108" w:type="dxa"/>
            <w:bottom w:w="0" w:type="dxa"/>
            <w:right w:w="108" w:type="dxa"/>
          </w:tblCellMar>
        </w:tblPrEx>
        <w:trPr>
          <w:jc w:val="center"/>
        </w:trPr>
        <w:tc>
          <w:tcPr>
            <w:tcW w:w="1778" w:type="dxa"/>
            <w:gridSpan w:val="2"/>
            <w:tcBorders>
              <w:top w:val="single" w:color="auto" w:sz="4" w:space="0"/>
              <w:left w:val="single" w:color="auto" w:sz="4" w:space="0"/>
              <w:bottom w:val="single" w:color="auto" w:sz="4" w:space="0"/>
              <w:right w:val="single" w:color="auto" w:sz="4" w:space="0"/>
            </w:tcBorders>
            <w:noWrap/>
            <w:vAlign w:val="center"/>
          </w:tcPr>
          <w:p w14:paraId="7C51706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相关要求</w:t>
            </w:r>
          </w:p>
        </w:tc>
        <w:tc>
          <w:tcPr>
            <w:tcW w:w="8136" w:type="dxa"/>
            <w:gridSpan w:val="2"/>
            <w:tcBorders>
              <w:top w:val="single" w:color="auto" w:sz="4" w:space="0"/>
              <w:left w:val="single" w:color="auto" w:sz="4" w:space="0"/>
              <w:bottom w:val="single" w:color="auto" w:sz="4" w:space="0"/>
              <w:right w:val="single" w:color="auto" w:sz="4" w:space="0"/>
            </w:tcBorders>
            <w:noWrap/>
            <w:vAlign w:val="center"/>
          </w:tcPr>
          <w:p w14:paraId="6DC07B1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1、本项目投标保证金、履约保证金、工程质量保证金、农民工工资保证金均支持保函使用。以现金形式提交保证金的，应当同时退还保证金本金和银行同期存款利息。</w:t>
            </w:r>
          </w:p>
          <w:p w14:paraId="396AEF5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2、承包人在工程实施过程中的用工行为，必须严格按照《保障农民工工资支付条例》（国务院令 第724号）、《安徽省人民政府办公厅关于全面治理拖欠农民工工资问题的实施意见》（皖政办〔2016〕22号）以及《贯彻落实&lt;工程建设领域农民工工资专用账户管理暂行办法&gt;的通知》（皖人社发〔2022〕5号）、《安徽省工程建设领域农民工工资保证金实施办法》（皖人社发〔2022〕8号）等文件精神的有关规定，依法与招用的农民工签订劳动合同，并按规定及时足额支付工资。</w:t>
            </w:r>
          </w:p>
          <w:p w14:paraId="7ABA75C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为切实保障建筑行业农民工工资支付、加快培育新时代建筑产业工人队伍、有效破解拖欠工程款问题，承包人应严格落实安徽省住建厅《关于建立长效机制切实保障建筑行业农民工工资支付工作的通知》（建市函〔2022〕490号），《关于加快培育和壮大我省建筑产业工人队伍的意见》（建市规〔2023〕1号）以及《关于印发〈安徽省房屋建筑和市政基础设施工程施工过程结算管理办法〉 的通知》（建市规〔2023〕2号）等文件要求。</w:t>
            </w:r>
          </w:p>
          <w:p w14:paraId="2EC6BFE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执行《关于进一步完善工程建设领域农民工工资保证金和农民工工资（劳务费）专户管理制度的实施意见》，其中工资保证金和工资专户按照工程项目所在地实行属地化管理，由工程建设项目的施工总承包企业（包括直接承包建设单位发包工程的专业承包企业）缴存和开设。若为联合体中标，由联合体中牵头人缴存和开设专户。</w:t>
            </w:r>
          </w:p>
          <w:p w14:paraId="7BDE15B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 xml:space="preserve">3、省外建设工程企业按照《关于优化进皖建设工程企业信息登记服务和管理有关工作的通知》（建市函〔2022〕580号）进行相关信息登记。 </w:t>
            </w:r>
          </w:p>
          <w:p w14:paraId="1CF5C00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4、保证保险产品应按《中国银保监会办公厅关于进一步加强和改进财产保险公司产品监管有关问题的通知》执行。</w:t>
            </w:r>
          </w:p>
          <w:p w14:paraId="4BEBD5D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440" w:lineRule="exact"/>
              <w:ind w:left="0" w:right="0"/>
              <w:textAlignment w:val="auto"/>
              <w:rPr>
                <w:rFonts w:hint="eastAsia" w:ascii="Times New Roman" w:hAnsi="Times New Roman" w:eastAsia="宋体" w:cs="Times New Roman"/>
                <w:color w:val="auto"/>
                <w:sz w:val="21"/>
                <w:szCs w:val="21"/>
                <w:highlight w:val="none"/>
              </w:rPr>
            </w:pPr>
            <w:r>
              <w:rPr>
                <w:rFonts w:hint="eastAsia" w:ascii="Times New Roman" w:hAnsi="Times New Roman" w:eastAsia="宋体" w:cs="Times New Roman"/>
                <w:color w:val="auto"/>
                <w:sz w:val="21"/>
                <w:szCs w:val="21"/>
                <w:highlight w:val="none"/>
              </w:rPr>
              <w:t>5、我省行政区域内按照规定应办理建筑工程施工许可证的房屋建筑和市政工程建设项目，均应办理工程款支付担保。具体金额、担保方式等按《安徽省住房和城乡建设厅关于加强房屋建筑和市政基础设施工程建设领域工程款支付担保管理工作的通知》（建市〔2022〕54号）执行。</w:t>
            </w:r>
          </w:p>
        </w:tc>
      </w:tr>
      <w:tr w14:paraId="0B450A0B">
        <w:tblPrEx>
          <w:tblCellMar>
            <w:top w:w="0" w:type="dxa"/>
            <w:left w:w="108" w:type="dxa"/>
            <w:bottom w:w="0" w:type="dxa"/>
            <w:right w:w="108" w:type="dxa"/>
          </w:tblCellMar>
        </w:tblPrEx>
        <w:trPr>
          <w:jc w:val="center"/>
        </w:trPr>
        <w:tc>
          <w:tcPr>
            <w:tcW w:w="1778" w:type="dxa"/>
            <w:gridSpan w:val="2"/>
            <w:tcBorders>
              <w:top w:val="single" w:color="auto" w:sz="4" w:space="0"/>
              <w:left w:val="single" w:color="auto" w:sz="4" w:space="0"/>
              <w:bottom w:val="single" w:color="auto" w:sz="4" w:space="0"/>
              <w:right w:val="single" w:color="auto" w:sz="4" w:space="0"/>
            </w:tcBorders>
            <w:noWrap/>
            <w:vAlign w:val="center"/>
          </w:tcPr>
          <w:p w14:paraId="3B6D9977">
            <w:pPr>
              <w:keepNext w:val="0"/>
              <w:keepLines w:val="0"/>
              <w:pageBreakBefore w:val="0"/>
              <w:suppressLineNumbers w:val="0"/>
              <w:kinsoku/>
              <w:wordWrap/>
              <w:overflowPunct/>
              <w:autoSpaceDN/>
              <w:bidi w:val="0"/>
              <w:spacing w:before="0" w:beforeAutospacing="0" w:after="0" w:afterAutospacing="0" w:line="440" w:lineRule="exact"/>
              <w:ind w:left="0" w:right="0"/>
              <w:jc w:val="center"/>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其他</w:t>
            </w:r>
          </w:p>
        </w:tc>
        <w:tc>
          <w:tcPr>
            <w:tcW w:w="8136" w:type="dxa"/>
            <w:gridSpan w:val="2"/>
            <w:tcBorders>
              <w:top w:val="single" w:color="auto" w:sz="4" w:space="0"/>
              <w:left w:val="single" w:color="auto" w:sz="4" w:space="0"/>
              <w:bottom w:val="single" w:color="auto" w:sz="4" w:space="0"/>
              <w:right w:val="single" w:color="auto" w:sz="4" w:space="0"/>
            </w:tcBorders>
            <w:noWrap/>
            <w:vAlign w:val="center"/>
          </w:tcPr>
          <w:p w14:paraId="59EB7DB3">
            <w:pPr>
              <w:pStyle w:val="95"/>
              <w:keepNext w:val="0"/>
              <w:keepLines w:val="0"/>
              <w:pageBreakBefore w:val="0"/>
              <w:suppressLineNumbers w:val="0"/>
              <w:kinsoku/>
              <w:wordWrap/>
              <w:overflowPunct/>
              <w:autoSpaceDE/>
              <w:autoSpaceDN/>
              <w:bidi w:val="0"/>
              <w:adjustRightInd w:val="0"/>
              <w:snapToGrid w:val="0"/>
              <w:spacing w:before="0" w:beforeAutospacing="0" w:after="0" w:afterAutospacing="0" w:line="440" w:lineRule="exact"/>
              <w:ind w:left="0" w:right="0"/>
              <w:textAlignment w:val="auto"/>
              <w:rPr>
                <w:rFonts w:hint="default" w:ascii="Times New Roman" w:hAnsi="Times New Roman" w:eastAsia="宋体" w:cs="Times New Roman"/>
                <w:color w:val="auto"/>
                <w:spacing w:val="0"/>
                <w:kern w:val="2"/>
                <w:sz w:val="21"/>
                <w:szCs w:val="21"/>
                <w:highlight w:val="none"/>
                <w:lang w:val="en-US"/>
              </w:rPr>
            </w:pPr>
            <w:r>
              <w:rPr>
                <w:rFonts w:hint="eastAsia" w:ascii="宋体" w:hAnsi="宋体" w:eastAsia="宋体" w:cs="宋体"/>
                <w:color w:val="000000"/>
                <w:spacing w:val="-3"/>
                <w:sz w:val="21"/>
                <w:szCs w:val="21"/>
              </w:rPr>
              <w:t>1</w:t>
            </w:r>
            <w:r>
              <w:rPr>
                <w:rFonts w:hint="eastAsia" w:ascii="Times New Roman" w:hAnsi="Times New Roman" w:eastAsia="宋体" w:cs="Times New Roman"/>
                <w:color w:val="auto"/>
                <w:spacing w:val="0"/>
                <w:kern w:val="2"/>
                <w:sz w:val="21"/>
                <w:szCs w:val="21"/>
                <w:highlight w:val="none"/>
                <w:lang w:val="en-US"/>
              </w:rPr>
              <w:t>、构成本招标文件的各个组成文件应互为解释，互为说明；</w:t>
            </w:r>
          </w:p>
          <w:p w14:paraId="3E85D1C6">
            <w:pPr>
              <w:pStyle w:val="95"/>
              <w:keepNext w:val="0"/>
              <w:keepLines w:val="0"/>
              <w:pageBreakBefore w:val="0"/>
              <w:suppressLineNumbers w:val="0"/>
              <w:kinsoku/>
              <w:wordWrap/>
              <w:overflowPunct/>
              <w:autoSpaceDE/>
              <w:autoSpaceDN/>
              <w:bidi w:val="0"/>
              <w:adjustRightInd w:val="0"/>
              <w:snapToGrid w:val="0"/>
              <w:spacing w:before="0" w:beforeAutospacing="0" w:after="0" w:afterAutospacing="0" w:line="440" w:lineRule="exact"/>
              <w:ind w:left="0" w:right="0"/>
              <w:textAlignment w:val="auto"/>
              <w:rPr>
                <w:rFonts w:hint="default" w:ascii="Times New Roman" w:hAnsi="Times New Roman" w:eastAsia="宋体" w:cs="Times New Roman"/>
                <w:color w:val="auto"/>
                <w:kern w:val="2"/>
                <w:sz w:val="21"/>
                <w:szCs w:val="21"/>
                <w:highlight w:val="none"/>
                <w:lang w:val="en-US"/>
              </w:rPr>
            </w:pPr>
            <w:r>
              <w:rPr>
                <w:rFonts w:hint="eastAsia" w:ascii="Times New Roman" w:hAnsi="Times New Roman" w:eastAsia="宋体" w:cs="Times New Roman"/>
                <w:color w:val="auto"/>
                <w:spacing w:val="0"/>
                <w:kern w:val="2"/>
                <w:sz w:val="21"/>
                <w:szCs w:val="21"/>
                <w:highlight w:val="none"/>
                <w:lang w:val="en-US"/>
              </w:rPr>
              <w:t>2、同一组成文件中就同一事项的规定或约定不一致的，以编排顺序在后者为准；</w:t>
            </w:r>
          </w:p>
          <w:p w14:paraId="393817F8">
            <w:pPr>
              <w:pStyle w:val="95"/>
              <w:keepNext w:val="0"/>
              <w:keepLines w:val="0"/>
              <w:pageBreakBefore w:val="0"/>
              <w:suppressLineNumbers w:val="0"/>
              <w:tabs>
                <w:tab w:val="left" w:pos="351"/>
              </w:tabs>
              <w:kinsoku/>
              <w:wordWrap/>
              <w:overflowPunct/>
              <w:autoSpaceDE/>
              <w:autoSpaceDN/>
              <w:bidi w:val="0"/>
              <w:adjustRightInd w:val="0"/>
              <w:snapToGrid w:val="0"/>
              <w:spacing w:before="0" w:beforeAutospacing="0" w:after="0" w:afterAutospacing="0" w:line="440" w:lineRule="exact"/>
              <w:ind w:left="0" w:right="0"/>
              <w:textAlignment w:val="auto"/>
              <w:rPr>
                <w:rFonts w:hint="default" w:ascii="Times New Roman" w:hAnsi="Times New Roman" w:eastAsia="宋体" w:cs="Times New Roman"/>
                <w:color w:val="auto"/>
                <w:kern w:val="2"/>
                <w:sz w:val="21"/>
                <w:szCs w:val="21"/>
                <w:highlight w:val="none"/>
                <w:lang w:val="en-US"/>
              </w:rPr>
            </w:pPr>
            <w:r>
              <w:rPr>
                <w:rFonts w:hint="eastAsia" w:ascii="Times New Roman" w:hAnsi="Times New Roman" w:eastAsia="宋体" w:cs="Times New Roman"/>
                <w:color w:val="auto"/>
                <w:spacing w:val="0"/>
                <w:kern w:val="2"/>
                <w:sz w:val="21"/>
                <w:szCs w:val="21"/>
                <w:highlight w:val="none"/>
                <w:lang w:val="en-US"/>
              </w:rPr>
              <w:t>3、如有不明确或不一致，构成合同文件组成内容的，以合同文件约定内容为准，且以专用合同条款约定的合同文件优先顺序解释；</w:t>
            </w:r>
          </w:p>
          <w:p w14:paraId="4D5FD6DB">
            <w:pPr>
              <w:pStyle w:val="95"/>
              <w:keepNext w:val="0"/>
              <w:keepLines w:val="0"/>
              <w:pageBreakBefore w:val="0"/>
              <w:suppressLineNumbers w:val="0"/>
              <w:tabs>
                <w:tab w:val="left" w:pos="354"/>
              </w:tabs>
              <w:kinsoku/>
              <w:wordWrap/>
              <w:overflowPunct/>
              <w:autoSpaceDE/>
              <w:autoSpaceDN/>
              <w:bidi w:val="0"/>
              <w:adjustRightInd w:val="0"/>
              <w:snapToGrid w:val="0"/>
              <w:spacing w:before="0" w:beforeAutospacing="0" w:after="0" w:afterAutospacing="0" w:line="440" w:lineRule="exact"/>
              <w:ind w:left="0" w:right="0"/>
              <w:textAlignment w:val="auto"/>
              <w:rPr>
                <w:rFonts w:hint="default" w:ascii="Times New Roman" w:hAnsi="Times New Roman" w:eastAsia="宋体" w:cs="Times New Roman"/>
                <w:color w:val="auto"/>
                <w:spacing w:val="0"/>
                <w:kern w:val="2"/>
                <w:sz w:val="21"/>
                <w:szCs w:val="21"/>
                <w:highlight w:val="none"/>
                <w:lang w:val="en-US"/>
              </w:rPr>
            </w:pPr>
            <w:r>
              <w:rPr>
                <w:rFonts w:hint="eastAsia" w:ascii="Times New Roman" w:hAnsi="Times New Roman" w:eastAsia="宋体" w:cs="Times New Roman"/>
                <w:color w:val="auto"/>
                <w:spacing w:val="0"/>
                <w:kern w:val="2"/>
                <w:sz w:val="21"/>
                <w:szCs w:val="21"/>
                <w:highlight w:val="none"/>
                <w:lang w:val="en-US"/>
              </w:rPr>
              <w:t>4、</w:t>
            </w:r>
            <w:r>
              <w:rPr>
                <w:rFonts w:hint="eastAsia" w:ascii="Times New Roman" w:hAnsi="Times New Roman" w:eastAsia="宋体" w:cs="Times New Roman"/>
                <w:color w:val="auto"/>
                <w:kern w:val="2"/>
                <w:sz w:val="21"/>
                <w:szCs w:val="21"/>
                <w:highlight w:val="none"/>
                <w:lang w:val="en-US"/>
              </w:rPr>
              <w:t>系统中提供的表格（或格式文件）与招标文件中不一致时，以招标文件中提供的为准；</w:t>
            </w:r>
          </w:p>
          <w:p w14:paraId="0F688AAE">
            <w:pPr>
              <w:pStyle w:val="2"/>
              <w:keepNext w:val="0"/>
              <w:keepLines w:val="0"/>
              <w:suppressLineNumbers w:val="0"/>
              <w:spacing w:before="0" w:beforeAutospacing="0" w:after="0" w:afterAutospacing="0"/>
              <w:ind w:left="0" w:leftChars="0" w:right="0" w:firstLine="0" w:firstLineChars="0"/>
              <w:rPr>
                <w:rFonts w:hint="default"/>
              </w:rPr>
            </w:pPr>
            <w:r>
              <w:rPr>
                <w:rFonts w:hint="eastAsia" w:ascii="Times New Roman" w:hAnsi="Times New Roman" w:eastAsia="宋体" w:cs="Times New Roman"/>
                <w:color w:val="auto"/>
                <w:spacing w:val="0"/>
                <w:sz w:val="21"/>
                <w:szCs w:val="21"/>
                <w:highlight w:val="none"/>
              </w:rPr>
              <w:t>5、按本款前述规定仍不能形成结论的，由招标人负责解释。</w:t>
            </w:r>
          </w:p>
        </w:tc>
      </w:tr>
      <w:tr w14:paraId="4C763670">
        <w:tblPrEx>
          <w:tblCellMar>
            <w:top w:w="0" w:type="dxa"/>
            <w:left w:w="108" w:type="dxa"/>
            <w:bottom w:w="0" w:type="dxa"/>
            <w:right w:w="108" w:type="dxa"/>
          </w:tblCellMar>
        </w:tblPrEx>
        <w:trPr>
          <w:jc w:val="center"/>
        </w:trPr>
        <w:tc>
          <w:tcPr>
            <w:tcW w:w="177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78FFE533">
            <w:pPr>
              <w:keepNext w:val="0"/>
              <w:keepLines w:val="0"/>
              <w:suppressLineNumbers w:val="0"/>
              <w:adjustRightInd w:val="0"/>
              <w:snapToGrid w:val="0"/>
              <w:spacing w:before="0" w:beforeAutospacing="0" w:after="0" w:afterAutospacing="0" w:line="440" w:lineRule="exact"/>
              <w:ind w:left="0" w:right="0"/>
              <w:jc w:val="center"/>
              <w:rPr>
                <w:rFonts w:hint="eastAsia" w:ascii="宋体" w:hAnsi="宋体" w:eastAsia="宋体" w:cs="宋体"/>
                <w:color w:val="auto"/>
                <w:kern w:val="2"/>
                <w:sz w:val="21"/>
                <w:szCs w:val="21"/>
                <w:highlight w:val="none"/>
                <w:lang w:val="en-US" w:eastAsia="zh-CN" w:bidi="ar"/>
              </w:rPr>
            </w:pPr>
            <w:bookmarkStart w:id="61" w:name="_Toc5813"/>
            <w:bookmarkStart w:id="62" w:name="_Toc35424887"/>
            <w:bookmarkStart w:id="63" w:name="_Toc35425053"/>
            <w:bookmarkStart w:id="64" w:name="_Toc15058846"/>
            <w:bookmarkStart w:id="65" w:name="_Toc78803322"/>
            <w:r>
              <w:rPr>
                <w:rFonts w:hint="eastAsia" w:ascii="宋体" w:hAnsi="宋体" w:eastAsia="宋体" w:cs="宋体"/>
                <w:b/>
                <w:bCs/>
                <w:color w:val="auto"/>
                <w:szCs w:val="21"/>
                <w:highlight w:val="none"/>
                <w:lang w:val="en-US" w:eastAsia="zh-CN"/>
              </w:rPr>
              <w:t>投标软件下载</w:t>
            </w:r>
          </w:p>
        </w:tc>
        <w:tc>
          <w:tcPr>
            <w:tcW w:w="813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44B4D60">
            <w:pPr>
              <w:keepNext w:val="0"/>
              <w:keepLines w:val="0"/>
              <w:suppressLineNumbers w:val="0"/>
              <w:adjustRightInd w:val="0"/>
              <w:snapToGrid w:val="0"/>
              <w:spacing w:before="0" w:beforeAutospacing="0" w:after="0" w:afterAutospacing="0" w:line="440" w:lineRule="exact"/>
              <w:ind w:left="0" w:right="0"/>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投标软件制作工具下载：</w:t>
            </w:r>
          </w:p>
          <w:p w14:paraId="57DA690A">
            <w:pPr>
              <w:keepNext w:val="0"/>
              <w:keepLines w:val="0"/>
              <w:suppressLineNumbers w:val="0"/>
              <w:adjustRightInd w:val="0"/>
              <w:snapToGrid w:val="0"/>
              <w:spacing w:before="0" w:beforeAutospacing="0" w:after="0" w:afterAutospacing="0" w:line="440" w:lineRule="exact"/>
              <w:ind w:left="0" w:right="0"/>
              <w:rPr>
                <w:rFonts w:hint="eastAsia" w:ascii="宋体" w:hAnsi="Times New Roman" w:eastAsia="宋体" w:cs="Times New Roman"/>
                <w:color w:val="auto"/>
                <w:kern w:val="2"/>
                <w:sz w:val="21"/>
                <w:szCs w:val="21"/>
                <w:highlight w:val="none"/>
                <w:lang w:val="en-US" w:eastAsia="zh-CN" w:bidi="ar-SA"/>
              </w:rPr>
            </w:pPr>
            <w:r>
              <w:rPr>
                <w:rFonts w:hint="eastAsia" w:ascii="宋体" w:hAnsi="宋体" w:eastAsia="宋体" w:cs="宋体"/>
                <w:b/>
                <w:bCs/>
                <w:color w:val="auto"/>
                <w:sz w:val="21"/>
                <w:szCs w:val="21"/>
                <w:highlight w:val="none"/>
              </w:rPr>
              <w:t>https://download.bqpoint.com/download/downloaddetail.html?SourceFrom=Ztb&amp;ZtbSoftXiaQuCode=0128&amp;ZtbSoftType=tballinclusive</w:t>
            </w:r>
          </w:p>
        </w:tc>
      </w:tr>
    </w:tbl>
    <w:p w14:paraId="3DA0C88E">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276D9EF7">
      <w:pPr>
        <w:pStyle w:val="7"/>
        <w:pageBreakBefore w:val="0"/>
        <w:widowControl w:val="0"/>
        <w:kinsoku/>
        <w:wordWrap/>
        <w:overflowPunct/>
        <w:topLinePunct w:val="0"/>
        <w:autoSpaceDE/>
        <w:autoSpaceDN/>
        <w:bidi w:val="0"/>
        <w:spacing w:beforeLines="50" w:afterLines="50" w:line="420" w:lineRule="exact"/>
        <w:ind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总则</w:t>
      </w:r>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7842BAAB">
      <w:pPr>
        <w:pStyle w:val="7"/>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kern w:val="44"/>
          <w:highlight w:val="none"/>
        </w:rPr>
      </w:pPr>
      <w:bookmarkStart w:id="66" w:name="_Toc246996919"/>
      <w:bookmarkStart w:id="67" w:name="_Toc179632547"/>
      <w:bookmarkStart w:id="68" w:name="_Toc152045530"/>
      <w:bookmarkStart w:id="69" w:name="_Toc78803323"/>
      <w:bookmarkStart w:id="70" w:name="_Toc15058847"/>
      <w:bookmarkStart w:id="71" w:name="_Toc324404816"/>
      <w:bookmarkStart w:id="72" w:name="_Toc296602421"/>
      <w:bookmarkStart w:id="73" w:name="_Toc35425054"/>
      <w:bookmarkStart w:id="74" w:name="_Toc506107270"/>
      <w:bookmarkStart w:id="75" w:name="_Toc152042306"/>
      <w:bookmarkStart w:id="76" w:name="_Toc247085690"/>
      <w:bookmarkStart w:id="77" w:name="_Toc144974498"/>
      <w:bookmarkStart w:id="78" w:name="_Toc4678"/>
      <w:bookmarkStart w:id="79" w:name="_Toc246996176"/>
      <w:bookmarkStart w:id="80" w:name="_Toc35424888"/>
      <w:r>
        <w:rPr>
          <w:rFonts w:hint="eastAsia" w:ascii="宋体" w:hAnsi="宋体" w:eastAsia="宋体" w:cs="宋体"/>
          <w:color w:val="auto"/>
          <w:kern w:val="44"/>
          <w:highlight w:val="none"/>
        </w:rPr>
        <w:t>1.1 项目概况</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14:paraId="762BE28D">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1.1.1根据《中华人民共和国招标投标法》《中华人民共和国招标投标法实施条例》等有关法律、法规和规章的规定，本招标项目已具备招标条件，现对本项目施工进行招标。</w:t>
      </w:r>
    </w:p>
    <w:p w14:paraId="4444C0BD">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1.1.2 本招标项目招标人：见投标人须知前附表。</w:t>
      </w:r>
    </w:p>
    <w:p w14:paraId="17EF1F8E">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1.1.3 本招标项目招标代理机构：见投标人须知前附表。</w:t>
      </w:r>
    </w:p>
    <w:p w14:paraId="3A1C94EF">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1.1.4 本招标项目名称：见投标人须知前附表。</w:t>
      </w:r>
    </w:p>
    <w:p w14:paraId="16A3DA18">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1.1.5 本招标项目建设地点：见投标人须知前附表。</w:t>
      </w:r>
    </w:p>
    <w:p w14:paraId="1993F0CC">
      <w:pPr>
        <w:pStyle w:val="7"/>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81" w:name="_Toc324404817"/>
      <w:bookmarkStart w:id="82" w:name="_Toc152045531"/>
      <w:bookmarkStart w:id="83" w:name="_Toc15058848"/>
      <w:bookmarkStart w:id="84" w:name="_Toc179632548"/>
      <w:bookmarkStart w:id="85" w:name="_Toc78803324"/>
      <w:bookmarkStart w:id="86" w:name="_Toc152042307"/>
      <w:bookmarkStart w:id="87" w:name="_Toc7142"/>
      <w:bookmarkStart w:id="88" w:name="_Toc35425055"/>
      <w:bookmarkStart w:id="89" w:name="_Toc246996177"/>
      <w:bookmarkStart w:id="90" w:name="_Toc296602422"/>
      <w:bookmarkStart w:id="91" w:name="_Toc246996920"/>
      <w:bookmarkStart w:id="92" w:name="_Toc247085691"/>
      <w:bookmarkStart w:id="93" w:name="_Toc144974499"/>
      <w:bookmarkStart w:id="94" w:name="_Toc35424889"/>
      <w:bookmarkStart w:id="95" w:name="_Toc506107271"/>
      <w:r>
        <w:rPr>
          <w:rFonts w:hint="eastAsia" w:ascii="宋体" w:hAnsi="宋体" w:eastAsia="宋体" w:cs="宋体"/>
          <w:color w:val="auto"/>
          <w:highlight w:val="none"/>
        </w:rPr>
        <w:t>1.2 资金来源和落实情况</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14:paraId="44EAC9D8">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1.2.1 本招标项目的资金来源及出资比例：见投标人须知前附表。</w:t>
      </w:r>
    </w:p>
    <w:p w14:paraId="4927AE3D">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1.2.2 本招标项目的资金落实情况：见投标人须知前附表。</w:t>
      </w:r>
    </w:p>
    <w:p w14:paraId="1F28A0B2">
      <w:pPr>
        <w:pStyle w:val="7"/>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96" w:name="_Toc246996178"/>
      <w:bookmarkStart w:id="97" w:name="_Toc144974500"/>
      <w:bookmarkStart w:id="98" w:name="_Toc246996921"/>
      <w:bookmarkStart w:id="99" w:name="_Toc506107272"/>
      <w:bookmarkStart w:id="100" w:name="_Toc324404818"/>
      <w:bookmarkStart w:id="101" w:name="_Toc247085692"/>
      <w:bookmarkStart w:id="102" w:name="_Toc296602423"/>
      <w:bookmarkStart w:id="103" w:name="_Toc35425056"/>
      <w:bookmarkStart w:id="104" w:name="_Toc35424890"/>
      <w:bookmarkStart w:id="105" w:name="_Toc78803325"/>
      <w:bookmarkStart w:id="106" w:name="_Toc152042308"/>
      <w:bookmarkStart w:id="107" w:name="_Toc152045532"/>
      <w:bookmarkStart w:id="108" w:name="_Toc6330"/>
      <w:bookmarkStart w:id="109" w:name="_Toc15058849"/>
      <w:bookmarkStart w:id="110" w:name="_Toc179632549"/>
      <w:r>
        <w:rPr>
          <w:rFonts w:hint="eastAsia" w:ascii="宋体" w:hAnsi="宋体" w:eastAsia="宋体" w:cs="宋体"/>
          <w:color w:val="auto"/>
          <w:highlight w:val="none"/>
        </w:rPr>
        <w:t>1.3 招标范围、</w:t>
      </w:r>
      <w:r>
        <w:rPr>
          <w:rFonts w:hint="eastAsia" w:ascii="宋体" w:hAnsi="宋体" w:eastAsia="宋体" w:cs="宋体"/>
          <w:color w:val="auto"/>
          <w:highlight w:val="none"/>
          <w:lang w:val="en-US" w:eastAsia="zh-CN"/>
        </w:rPr>
        <w:t>工期</w:t>
      </w:r>
      <w:r>
        <w:rPr>
          <w:rFonts w:hint="eastAsia" w:ascii="宋体" w:hAnsi="宋体" w:eastAsia="宋体" w:cs="宋体"/>
          <w:color w:val="auto"/>
          <w:highlight w:val="none"/>
        </w:rPr>
        <w:t>、质量要求</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14:paraId="07B6D608">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1.3.1 本次招标范围：见投标人须知前附表。</w:t>
      </w:r>
    </w:p>
    <w:p w14:paraId="03BF81A8">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1.3.2 本招标项目的</w:t>
      </w:r>
      <w:r>
        <w:rPr>
          <w:rFonts w:hint="eastAsia" w:ascii="宋体" w:hAnsi="宋体" w:cs="宋体"/>
          <w:color w:val="auto"/>
          <w:szCs w:val="21"/>
          <w:highlight w:val="none"/>
          <w:lang w:val="en-US" w:eastAsia="zh-CN"/>
        </w:rPr>
        <w:t>工期</w:t>
      </w:r>
      <w:r>
        <w:rPr>
          <w:rFonts w:hint="eastAsia" w:ascii="宋体" w:hAnsi="宋体" w:cs="宋体"/>
          <w:color w:val="auto"/>
          <w:szCs w:val="21"/>
          <w:highlight w:val="none"/>
        </w:rPr>
        <w:t>：见投标人须知前附表。</w:t>
      </w:r>
    </w:p>
    <w:p w14:paraId="014A358D">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1.3.3 本招标项目的质量要求：见投标人须知前附表。</w:t>
      </w:r>
    </w:p>
    <w:p w14:paraId="71DE426D">
      <w:pPr>
        <w:pStyle w:val="7"/>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111" w:name="_Toc324404819"/>
      <w:bookmarkStart w:id="112" w:name="_Toc144974502"/>
      <w:bookmarkStart w:id="113" w:name="_Toc296602424"/>
      <w:bookmarkStart w:id="114" w:name="_Toc152042310"/>
      <w:bookmarkStart w:id="115" w:name="_Toc247085693"/>
      <w:bookmarkStart w:id="116" w:name="_Toc35425057"/>
      <w:bookmarkStart w:id="117" w:name="_Toc179632551"/>
      <w:bookmarkStart w:id="118" w:name="_Toc506107273"/>
      <w:bookmarkStart w:id="119" w:name="_Toc246996922"/>
      <w:bookmarkStart w:id="120" w:name="_Toc26897"/>
      <w:bookmarkStart w:id="121" w:name="_Toc35424891"/>
      <w:bookmarkStart w:id="122" w:name="_Toc152045534"/>
      <w:bookmarkStart w:id="123" w:name="_Toc246996179"/>
      <w:bookmarkStart w:id="124" w:name="_Toc15058850"/>
      <w:bookmarkStart w:id="125" w:name="_Toc78803326"/>
      <w:r>
        <w:rPr>
          <w:rFonts w:hint="eastAsia" w:ascii="宋体" w:hAnsi="宋体" w:eastAsia="宋体" w:cs="宋体"/>
          <w:color w:val="auto"/>
          <w:highlight w:val="none"/>
        </w:rPr>
        <w:t>1.4 投标人资格要求</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14:paraId="7D5C4D11">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1.4.1 投标人应具备承担本项目</w:t>
      </w:r>
      <w:r>
        <w:rPr>
          <w:rFonts w:hint="eastAsia" w:ascii="宋体" w:hAnsi="宋体" w:cs="宋体"/>
          <w:color w:val="auto"/>
          <w:szCs w:val="21"/>
          <w:highlight w:val="none"/>
          <w:lang w:val="en-US" w:eastAsia="zh-CN"/>
        </w:rPr>
        <w:t>施工</w:t>
      </w:r>
      <w:r>
        <w:rPr>
          <w:rFonts w:hint="eastAsia" w:ascii="宋体" w:hAnsi="宋体" w:cs="宋体"/>
          <w:color w:val="auto"/>
          <w:szCs w:val="21"/>
          <w:highlight w:val="none"/>
        </w:rPr>
        <w:t>的资质条件、能力和信誉。</w:t>
      </w:r>
    </w:p>
    <w:p w14:paraId="4526F589">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（1）资质条件：见投标人须知前附表；</w:t>
      </w:r>
    </w:p>
    <w:p w14:paraId="6FA2EF9C">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（2）项目</w:t>
      </w:r>
      <w:r>
        <w:rPr>
          <w:rFonts w:hint="eastAsia" w:ascii="宋体" w:hAnsi="宋体" w:cs="宋体"/>
          <w:color w:val="auto"/>
          <w:szCs w:val="21"/>
          <w:highlight w:val="none"/>
          <w:lang w:val="en-US" w:eastAsia="zh-CN"/>
        </w:rPr>
        <w:t>经理</w:t>
      </w:r>
      <w:r>
        <w:rPr>
          <w:rFonts w:hint="eastAsia" w:ascii="宋体" w:hAnsi="宋体" w:cs="宋体"/>
          <w:color w:val="auto"/>
          <w:szCs w:val="21"/>
          <w:highlight w:val="none"/>
        </w:rPr>
        <w:t>资格：见投标人须知前附表；</w:t>
      </w:r>
    </w:p>
    <w:p w14:paraId="007F2219">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（3）信誉要求：见投标人须知前附表；</w:t>
      </w:r>
    </w:p>
    <w:p w14:paraId="648F60B8">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）其他要求：见投标人须知前附表。</w:t>
      </w:r>
    </w:p>
    <w:p w14:paraId="2EBC6A58">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1.4.2 投标人不得存在下列情形之一：</w:t>
      </w:r>
    </w:p>
    <w:p w14:paraId="77346901">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（1）为招标人不具有独立法人资格的附属机构（单位）；</w:t>
      </w:r>
    </w:p>
    <w:p w14:paraId="30977A6D">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（2）与招标人存在利害关系且可能影响招标公正性；</w:t>
      </w:r>
    </w:p>
    <w:p w14:paraId="4EBDB5C5">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（3）与本标段的其他投标人同为一个单位负责人；</w:t>
      </w:r>
    </w:p>
    <w:p w14:paraId="6C422122">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（4）与本标段的其他投标人存在控股、管理关系；</w:t>
      </w:r>
    </w:p>
    <w:p w14:paraId="4E14CFAF">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（5）为本标段前期准备提供设计或咨询服务的法人或其任何附属机构（单位）；</w:t>
      </w:r>
    </w:p>
    <w:p w14:paraId="5F4A0298">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（6）为本标段的</w:t>
      </w:r>
      <w:r>
        <w:rPr>
          <w:rFonts w:hint="eastAsia" w:ascii="宋体" w:hAnsi="宋体" w:cs="宋体"/>
          <w:color w:val="auto"/>
          <w:szCs w:val="21"/>
          <w:highlight w:val="none"/>
          <w:lang w:eastAsia="zh-CN"/>
        </w:rPr>
        <w:t>发包人</w:t>
      </w:r>
      <w:r>
        <w:rPr>
          <w:rFonts w:hint="eastAsia" w:ascii="宋体" w:hAnsi="宋体" w:cs="宋体"/>
          <w:color w:val="auto"/>
          <w:szCs w:val="21"/>
          <w:highlight w:val="none"/>
        </w:rPr>
        <w:t>；</w:t>
      </w:r>
    </w:p>
    <w:p w14:paraId="3A6A59BA">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（7）为本标段的代建人；</w:t>
      </w:r>
    </w:p>
    <w:p w14:paraId="1CF0A8DF">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（8）为本标段的招标代理机构；</w:t>
      </w:r>
    </w:p>
    <w:p w14:paraId="4E7D8A9B">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（9）与本标段的</w:t>
      </w:r>
      <w:r>
        <w:rPr>
          <w:rFonts w:hint="eastAsia" w:ascii="宋体" w:hAnsi="宋体" w:cs="宋体"/>
          <w:color w:val="auto"/>
          <w:szCs w:val="21"/>
          <w:highlight w:val="none"/>
          <w:lang w:eastAsia="zh-CN"/>
        </w:rPr>
        <w:t>发包人</w:t>
      </w:r>
      <w:r>
        <w:rPr>
          <w:rFonts w:hint="eastAsia" w:ascii="宋体" w:hAnsi="宋体" w:cs="宋体"/>
          <w:color w:val="auto"/>
          <w:szCs w:val="21"/>
          <w:highlight w:val="none"/>
        </w:rPr>
        <w:t>或代建人或招标代理机构同为一个法定代表人；</w:t>
      </w:r>
    </w:p>
    <w:p w14:paraId="0CE76633">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（10）与本标段的</w:t>
      </w:r>
      <w:r>
        <w:rPr>
          <w:rFonts w:hint="eastAsia" w:ascii="宋体" w:hAnsi="宋体" w:cs="宋体"/>
          <w:color w:val="auto"/>
          <w:szCs w:val="21"/>
          <w:highlight w:val="none"/>
          <w:lang w:eastAsia="zh-CN"/>
        </w:rPr>
        <w:t>发包人</w:t>
      </w:r>
      <w:r>
        <w:rPr>
          <w:rFonts w:hint="eastAsia" w:ascii="宋体" w:hAnsi="宋体" w:cs="宋体"/>
          <w:color w:val="auto"/>
          <w:szCs w:val="21"/>
          <w:highlight w:val="none"/>
        </w:rPr>
        <w:t>或代建人或招标代理机构存在控股或参股关系；</w:t>
      </w:r>
    </w:p>
    <w:p w14:paraId="19BB8FD8">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（11）法律法规或投标人须知前附表规定的其他情形。</w:t>
      </w:r>
    </w:p>
    <w:p w14:paraId="790E3AA7">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1.4.3 单位负责人为同一人或者存在控股、管理关系的不同单位，不得同时参加本招标项目投标。</w:t>
      </w:r>
    </w:p>
    <w:p w14:paraId="58DB5AE6">
      <w:pPr>
        <w:pStyle w:val="7"/>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126" w:name="_Toc246996923"/>
      <w:bookmarkStart w:id="127" w:name="_Toc246996180"/>
      <w:bookmarkStart w:id="128" w:name="_Toc78803327"/>
      <w:bookmarkStart w:id="129" w:name="_Toc35424892"/>
      <w:bookmarkStart w:id="130" w:name="_Toc247085694"/>
      <w:bookmarkStart w:id="131" w:name="_Toc152042311"/>
      <w:bookmarkStart w:id="132" w:name="_Toc15058851"/>
      <w:bookmarkStart w:id="133" w:name="_Toc179632552"/>
      <w:bookmarkStart w:id="134" w:name="_Toc144974503"/>
      <w:bookmarkStart w:id="135" w:name="_Toc152045535"/>
      <w:bookmarkStart w:id="136" w:name="_Toc10179"/>
      <w:bookmarkStart w:id="137" w:name="_Toc35425058"/>
      <w:bookmarkStart w:id="138" w:name="_Toc324404820"/>
      <w:bookmarkStart w:id="139" w:name="_Toc296602425"/>
      <w:bookmarkStart w:id="140" w:name="_Toc506107274"/>
      <w:r>
        <w:rPr>
          <w:rFonts w:hint="eastAsia" w:ascii="宋体" w:hAnsi="宋体" w:eastAsia="宋体" w:cs="宋体"/>
          <w:color w:val="auto"/>
          <w:highlight w:val="none"/>
        </w:rPr>
        <w:t>1.5 费用承担</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14:paraId="757CBB8C">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投标人准备和参加投标活动发生的费用自理。</w:t>
      </w:r>
    </w:p>
    <w:p w14:paraId="0FFD169F">
      <w:pPr>
        <w:pStyle w:val="7"/>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141" w:name="_Toc296602426"/>
      <w:bookmarkStart w:id="142" w:name="_Toc4092"/>
      <w:bookmarkStart w:id="143" w:name="_Toc179632553"/>
      <w:bookmarkStart w:id="144" w:name="_Toc152045536"/>
      <w:bookmarkStart w:id="145" w:name="_Toc35424893"/>
      <w:bookmarkStart w:id="146" w:name="_Toc506107275"/>
      <w:bookmarkStart w:id="147" w:name="_Toc35425059"/>
      <w:bookmarkStart w:id="148" w:name="_Toc247085695"/>
      <w:bookmarkStart w:id="149" w:name="_Toc246996181"/>
      <w:bookmarkStart w:id="150" w:name="_Toc246996924"/>
      <w:bookmarkStart w:id="151" w:name="_Toc152042312"/>
      <w:bookmarkStart w:id="152" w:name="_Toc78803328"/>
      <w:bookmarkStart w:id="153" w:name="_Toc144974504"/>
      <w:bookmarkStart w:id="154" w:name="_Toc324404821"/>
      <w:bookmarkStart w:id="155" w:name="_Toc15058852"/>
      <w:r>
        <w:rPr>
          <w:rFonts w:hint="eastAsia" w:ascii="宋体" w:hAnsi="宋体" w:eastAsia="宋体" w:cs="宋体"/>
          <w:color w:val="auto"/>
          <w:highlight w:val="none"/>
        </w:rPr>
        <w:t>1.6 保密</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14:paraId="56EF837B">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参与招标投标活动的各方应对招标文件和投标文件中的商业和技术等秘密保密，违者应对由此造成的后果承担法律责任。 </w:t>
      </w:r>
    </w:p>
    <w:p w14:paraId="385578EF">
      <w:pPr>
        <w:pStyle w:val="7"/>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156" w:name="_Toc144974505"/>
      <w:bookmarkStart w:id="157" w:name="_Toc152045537"/>
      <w:bookmarkStart w:id="158" w:name="_Toc78803329"/>
      <w:bookmarkStart w:id="159" w:name="_Toc246996182"/>
      <w:bookmarkStart w:id="160" w:name="_Toc324404822"/>
      <w:bookmarkStart w:id="161" w:name="_Toc35424894"/>
      <w:bookmarkStart w:id="162" w:name="_Toc35425060"/>
      <w:bookmarkStart w:id="163" w:name="_Toc152042313"/>
      <w:bookmarkStart w:id="164" w:name="_Toc247085696"/>
      <w:bookmarkStart w:id="165" w:name="_Toc179632554"/>
      <w:bookmarkStart w:id="166" w:name="_Toc246996925"/>
      <w:bookmarkStart w:id="167" w:name="_Toc4119"/>
      <w:bookmarkStart w:id="168" w:name="_Toc15058853"/>
      <w:bookmarkStart w:id="169" w:name="_Toc506107276"/>
      <w:bookmarkStart w:id="170" w:name="_Toc296602427"/>
      <w:r>
        <w:rPr>
          <w:rFonts w:hint="eastAsia" w:ascii="宋体" w:hAnsi="宋体" w:eastAsia="宋体" w:cs="宋体"/>
          <w:color w:val="auto"/>
          <w:highlight w:val="none"/>
        </w:rPr>
        <w:t>1.7 语言</w:t>
      </w:r>
      <w:bookmarkEnd w:id="156"/>
      <w:r>
        <w:rPr>
          <w:rFonts w:hint="eastAsia" w:ascii="宋体" w:hAnsi="宋体" w:eastAsia="宋体" w:cs="宋体"/>
          <w:color w:val="auto"/>
          <w:highlight w:val="none"/>
        </w:rPr>
        <w:t>文字</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14:paraId="088C91A0">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bookmarkStart w:id="171" w:name="_Toc152042314"/>
      <w:bookmarkStart w:id="172" w:name="_Toc144974506"/>
      <w:bookmarkStart w:id="173" w:name="_Toc247085697"/>
      <w:bookmarkStart w:id="174" w:name="_Toc246996926"/>
      <w:bookmarkStart w:id="175" w:name="_Toc179632555"/>
      <w:bookmarkStart w:id="176" w:name="_Toc152045538"/>
      <w:bookmarkStart w:id="177" w:name="_Toc246996183"/>
      <w:r>
        <w:rPr>
          <w:rFonts w:hint="eastAsia" w:ascii="宋体" w:hAnsi="宋体" w:cs="宋体"/>
          <w:color w:val="auto"/>
          <w:szCs w:val="21"/>
          <w:highlight w:val="none"/>
        </w:rPr>
        <w:t>招标投标文件使用的语言文字为中文。专用术语使用外文的，应附有中文注释。</w:t>
      </w:r>
    </w:p>
    <w:p w14:paraId="22561568">
      <w:pPr>
        <w:pStyle w:val="7"/>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178" w:name="_Toc15058854"/>
      <w:bookmarkStart w:id="179" w:name="_Toc78803330"/>
      <w:bookmarkStart w:id="180" w:name="_Toc35425061"/>
      <w:bookmarkStart w:id="181" w:name="_Toc296602428"/>
      <w:bookmarkStart w:id="182" w:name="_Toc506107277"/>
      <w:bookmarkStart w:id="183" w:name="_Toc35424895"/>
      <w:bookmarkStart w:id="184" w:name="_Toc13408"/>
      <w:bookmarkStart w:id="185" w:name="_Toc324404823"/>
      <w:r>
        <w:rPr>
          <w:rFonts w:hint="eastAsia" w:ascii="宋体" w:hAnsi="宋体" w:eastAsia="宋体" w:cs="宋体"/>
          <w:color w:val="auto"/>
          <w:highlight w:val="none"/>
        </w:rPr>
        <w:t>1.8 计量单位</w:t>
      </w:r>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68917812">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所有计量均采用中华人民共和国法定计量单位。</w:t>
      </w:r>
    </w:p>
    <w:p w14:paraId="404EAA24">
      <w:pPr>
        <w:pStyle w:val="7"/>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186" w:name="_Toc296602429"/>
      <w:bookmarkStart w:id="187" w:name="_Toc35424896"/>
      <w:bookmarkStart w:id="188" w:name="_Toc247527563"/>
      <w:bookmarkStart w:id="189" w:name="_Toc506107278"/>
      <w:bookmarkStart w:id="190" w:name="_Toc247513962"/>
      <w:bookmarkStart w:id="191" w:name="_Toc78803331"/>
      <w:bookmarkStart w:id="192" w:name="_Toc35425062"/>
      <w:bookmarkStart w:id="193" w:name="_Toc152045539"/>
      <w:bookmarkStart w:id="194" w:name="_Toc11493"/>
      <w:bookmarkStart w:id="195" w:name="_Toc247592876"/>
      <w:bookmarkStart w:id="196" w:name="_Toc152042315"/>
      <w:bookmarkStart w:id="197" w:name="_Toc15058855"/>
      <w:bookmarkStart w:id="198" w:name="_Toc324404824"/>
      <w:bookmarkStart w:id="199" w:name="_Toc144974507"/>
      <w:r>
        <w:rPr>
          <w:rFonts w:hint="eastAsia" w:ascii="宋体" w:hAnsi="宋体" w:eastAsia="宋体" w:cs="宋体"/>
          <w:color w:val="auto"/>
          <w:highlight w:val="none"/>
        </w:rPr>
        <w:t>1.9 踏勘现场</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14:paraId="2C8D223F">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 xml:space="preserve">1.9.1 投标人须知前附表规定组织踏勘现场的，招标人按投标人须知前附表规定的时间、地点组织投标人踏勘项目现场。 </w:t>
      </w:r>
    </w:p>
    <w:p w14:paraId="4710FA30">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1.9.2 投标人踏勘现场发生的费用自理。</w:t>
      </w:r>
    </w:p>
    <w:p w14:paraId="504FC86A">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1.9.3 除招标人的原因外，投标人自行负责在踏勘现场中所发生的人员伤亡和财产损失。</w:t>
      </w:r>
    </w:p>
    <w:p w14:paraId="05299296">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1.9.4 招标人在踏勘现场中介绍的工程场地和相关的周边环境情况，供投标人在编制投标文件时参考，招标人不对投标人据此作出的判断和决策负责。</w:t>
      </w:r>
    </w:p>
    <w:p w14:paraId="6DEA3368">
      <w:pPr>
        <w:pStyle w:val="7"/>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200" w:name="_Toc247513963"/>
      <w:bookmarkStart w:id="201" w:name="_Toc296602430"/>
      <w:bookmarkStart w:id="202" w:name="_Toc247527564"/>
      <w:bookmarkStart w:id="203" w:name="_Toc35424897"/>
      <w:bookmarkStart w:id="204" w:name="_Toc35425063"/>
      <w:bookmarkStart w:id="205" w:name="_Toc152045540"/>
      <w:bookmarkStart w:id="206" w:name="_Toc15058856"/>
      <w:bookmarkStart w:id="207" w:name="_Toc144974508"/>
      <w:bookmarkStart w:id="208" w:name="_Toc152042316"/>
      <w:bookmarkStart w:id="209" w:name="_Toc78803332"/>
      <w:bookmarkStart w:id="210" w:name="_Toc324404825"/>
      <w:bookmarkStart w:id="211" w:name="_Toc247592877"/>
      <w:bookmarkStart w:id="212" w:name="_Toc22954"/>
      <w:bookmarkStart w:id="213" w:name="_Toc506107279"/>
      <w:r>
        <w:rPr>
          <w:rFonts w:hint="eastAsia" w:ascii="宋体" w:hAnsi="宋体" w:eastAsia="宋体" w:cs="宋体"/>
          <w:color w:val="auto"/>
          <w:highlight w:val="none"/>
        </w:rPr>
        <w:t>1.10 投标预备会</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14:paraId="3FDAB7A9">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1.10.1投标人须知前附表规定召开投标预备会的，招标人按投标人须知前附表规定的时间和地点召开投标预备会，澄清投标人提出的问题。</w:t>
      </w:r>
    </w:p>
    <w:p w14:paraId="69C3CC15">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1.10.2投标人应在投标人须知前附表规定的时间前，将提出的问题</w:t>
      </w:r>
      <w:r>
        <w:rPr>
          <w:rFonts w:hint="eastAsia" w:ascii="宋体" w:hAnsi="宋体" w:cs="宋体"/>
          <w:color w:val="auto"/>
          <w:szCs w:val="21"/>
          <w:highlight w:val="none"/>
          <w:lang w:val="en-US" w:eastAsia="zh-CN"/>
        </w:rPr>
        <w:t>提出</w:t>
      </w:r>
      <w:r>
        <w:rPr>
          <w:rFonts w:hint="eastAsia" w:ascii="宋体" w:hAnsi="宋体" w:cs="宋体"/>
          <w:color w:val="auto"/>
          <w:szCs w:val="21"/>
          <w:highlight w:val="none"/>
        </w:rPr>
        <w:t>，以便招标人澄清。</w:t>
      </w:r>
    </w:p>
    <w:p w14:paraId="6CB640B7">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1.10.3招标人在投标人须知前附表规定的时间，将对投标人所提的问题进行澄清。该澄清内容为招标文件的组成部分。</w:t>
      </w:r>
    </w:p>
    <w:p w14:paraId="223EAB7C">
      <w:pPr>
        <w:pStyle w:val="7"/>
        <w:pageBreakBefore w:val="0"/>
        <w:widowControl w:val="0"/>
        <w:kinsoku/>
        <w:wordWrap/>
        <w:overflowPunct/>
        <w:topLinePunct w:val="0"/>
        <w:autoSpaceDE/>
        <w:autoSpaceDN/>
        <w:bidi w:val="0"/>
        <w:spacing w:line="420" w:lineRule="exact"/>
        <w:ind w:firstLine="422" w:firstLineChars="200"/>
        <w:textAlignment w:val="auto"/>
        <w:rPr>
          <w:rFonts w:hint="eastAsia" w:ascii="宋体" w:hAnsi="宋体" w:eastAsia="宋体" w:cs="宋体"/>
          <w:color w:val="auto"/>
          <w:highlight w:val="none"/>
        </w:rPr>
      </w:pPr>
      <w:bookmarkStart w:id="214" w:name="_Toc506107280"/>
      <w:bookmarkStart w:id="215" w:name="_Toc15058857"/>
      <w:bookmarkStart w:id="216" w:name="_Toc296602431"/>
      <w:bookmarkStart w:id="217" w:name="_Toc324404826"/>
      <w:bookmarkStart w:id="218" w:name="_Toc60061444"/>
      <w:bookmarkStart w:id="219" w:name="_Toc83301699"/>
      <w:bookmarkStart w:id="220" w:name="_Toc95223347"/>
      <w:bookmarkStart w:id="221" w:name="_Toc506107281"/>
      <w:bookmarkStart w:id="222" w:name="_Toc78803334"/>
      <w:bookmarkStart w:id="223" w:name="_Toc246996930"/>
      <w:bookmarkStart w:id="224" w:name="_Toc247085701"/>
      <w:bookmarkStart w:id="225" w:name="_Toc324404827"/>
      <w:bookmarkStart w:id="226" w:name="_Toc35424899"/>
      <w:bookmarkStart w:id="227" w:name="_Toc144974510"/>
      <w:bookmarkStart w:id="228" w:name="_Toc35425065"/>
      <w:bookmarkStart w:id="229" w:name="_Toc152045542"/>
      <w:bookmarkStart w:id="230" w:name="_Toc246996187"/>
      <w:bookmarkStart w:id="231" w:name="_Toc15058858"/>
      <w:bookmarkStart w:id="232" w:name="_Toc152042318"/>
      <w:bookmarkStart w:id="233" w:name="_Toc179632560"/>
      <w:bookmarkStart w:id="234" w:name="_Toc4012"/>
      <w:r>
        <w:rPr>
          <w:rFonts w:hint="eastAsia" w:ascii="宋体" w:hAnsi="宋体" w:eastAsia="宋体" w:cs="宋体"/>
          <w:color w:val="auto"/>
          <w:highlight w:val="none"/>
        </w:rPr>
        <w:t xml:space="preserve">1.11 </w:t>
      </w:r>
      <w:bookmarkEnd w:id="214"/>
      <w:bookmarkEnd w:id="215"/>
      <w:bookmarkEnd w:id="216"/>
      <w:bookmarkEnd w:id="217"/>
      <w:r>
        <w:rPr>
          <w:rFonts w:hint="eastAsia" w:ascii="宋体" w:hAnsi="宋体" w:eastAsia="宋体" w:cs="宋体"/>
          <w:color w:val="auto"/>
          <w:highlight w:val="none"/>
        </w:rPr>
        <w:t>分包</w:t>
      </w:r>
      <w:bookmarkEnd w:id="218"/>
      <w:bookmarkEnd w:id="219"/>
      <w:bookmarkEnd w:id="220"/>
    </w:p>
    <w:p w14:paraId="63BCE08A">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1.11.1 投标人拟在中标后将中标项目的部分非主体、非关键性工作进行分包的，应符合以下规定：</w:t>
      </w:r>
    </w:p>
    <w:p w14:paraId="232B77D2">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（1）分包内容要求：招标人允许分包或不允许分包的专业工程（如有）应在投标人须知前附表中载明；</w:t>
      </w:r>
    </w:p>
    <w:p w14:paraId="1FE00EF4">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（2）接受分包的第三人资格要求：分包人的资格能力应与其分包工程的标准和规模相适应，且具备投标人须知前附表中规定的资格条件；</w:t>
      </w:r>
    </w:p>
    <w:p w14:paraId="385BC809">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（3）其他要求：</w:t>
      </w:r>
      <w:r>
        <w:rPr>
          <w:rFonts w:hint="eastAsia" w:ascii="宋体" w:hAnsi="宋体" w:cs="宋体"/>
          <w:color w:val="auto"/>
          <w:szCs w:val="21"/>
          <w:highlight w:val="none"/>
          <w:lang w:val="en-US" w:eastAsia="zh-CN"/>
        </w:rPr>
        <w:t>无。</w:t>
      </w:r>
    </w:p>
    <w:p w14:paraId="19666B8E">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1.11.2中标人不得向他人转让中标项目，接受分包的人不得再次分包。中标人应就分包项目向招标人负责，接受分包的人就分包项目承担连带责任。</w:t>
      </w:r>
    </w:p>
    <w:p w14:paraId="1C831070">
      <w:pPr>
        <w:pStyle w:val="7"/>
        <w:pageBreakBefore w:val="0"/>
        <w:widowControl w:val="0"/>
        <w:kinsoku/>
        <w:wordWrap/>
        <w:overflowPunct/>
        <w:topLinePunct w:val="0"/>
        <w:autoSpaceDE/>
        <w:autoSpaceDN/>
        <w:bidi w:val="0"/>
        <w:spacing w:line="420" w:lineRule="exact"/>
        <w:ind w:firstLine="422" w:firstLineChars="200"/>
        <w:textAlignment w:val="auto"/>
        <w:rPr>
          <w:rFonts w:hint="eastAsia" w:ascii="宋体" w:hAnsi="宋体" w:eastAsia="宋体" w:cs="宋体"/>
          <w:color w:val="auto"/>
          <w:highlight w:val="none"/>
        </w:rPr>
      </w:pPr>
      <w:bookmarkStart w:id="235" w:name="_Toc83301700"/>
      <w:bookmarkStart w:id="236" w:name="_Toc95223348"/>
      <w:bookmarkStart w:id="237" w:name="_Toc60061445"/>
      <w:r>
        <w:rPr>
          <w:rFonts w:hint="eastAsia" w:ascii="宋体" w:hAnsi="宋体" w:eastAsia="宋体" w:cs="宋体"/>
          <w:color w:val="auto"/>
          <w:highlight w:val="none"/>
        </w:rPr>
        <w:t>1.12 偏离</w:t>
      </w:r>
      <w:bookmarkEnd w:id="235"/>
      <w:bookmarkEnd w:id="236"/>
      <w:bookmarkEnd w:id="237"/>
    </w:p>
    <w:p w14:paraId="5ED9FD5F">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1.12.1投标文件偏离招标文件某些要求，视为投标文件存在偏差。偏差包括重大偏差和细微偏差。</w:t>
      </w:r>
    </w:p>
    <w:p w14:paraId="218375E9">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1.12.2投标文件应对招标文件的实质性要求和条件作出满足性或更有利于招标人的响应，否则，视为投标文件存在重大偏差，投标人的投标将被否决。</w:t>
      </w:r>
    </w:p>
    <w:p w14:paraId="4F3CA78D">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投标文件存在第</w:t>
      </w:r>
      <w:r>
        <w:rPr>
          <w:rFonts w:hint="eastAsia" w:ascii="宋体" w:hAnsi="宋体" w:cs="宋体"/>
          <w:color w:val="auto"/>
          <w:szCs w:val="21"/>
          <w:highlight w:val="none"/>
          <w:lang w:val="en-US" w:eastAsia="zh-CN"/>
        </w:rPr>
        <w:t>三</w:t>
      </w:r>
      <w:r>
        <w:rPr>
          <w:rFonts w:hint="eastAsia" w:ascii="宋体" w:hAnsi="宋体" w:cs="宋体"/>
          <w:color w:val="auto"/>
          <w:szCs w:val="21"/>
          <w:highlight w:val="none"/>
        </w:rPr>
        <w:t>章“评标办法”中所列任一无效投标情形的，均属于存在重大偏差。</w:t>
      </w:r>
    </w:p>
    <w:p w14:paraId="13954FA3">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1.12.3投标文件中的下列偏差为细微偏差：</w:t>
      </w:r>
    </w:p>
    <w:p w14:paraId="605FBF97">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（1）在按照第</w:t>
      </w:r>
      <w:r>
        <w:rPr>
          <w:rFonts w:hint="eastAsia" w:ascii="宋体" w:hAnsi="宋体" w:cs="宋体"/>
          <w:color w:val="auto"/>
          <w:szCs w:val="21"/>
          <w:highlight w:val="none"/>
          <w:lang w:val="en-US" w:eastAsia="zh-CN"/>
        </w:rPr>
        <w:t>三</w:t>
      </w:r>
      <w:r>
        <w:rPr>
          <w:rFonts w:hint="eastAsia" w:ascii="宋体" w:hAnsi="宋体" w:cs="宋体"/>
          <w:color w:val="auto"/>
          <w:szCs w:val="21"/>
          <w:highlight w:val="none"/>
        </w:rPr>
        <w:t>章“评标办法”的规定对投标价进行算术性错误修正及其他错误修正后，最终投标报价未超过最高投标限价（如有）或未被否决投标的情况下，出现第</w:t>
      </w:r>
      <w:r>
        <w:rPr>
          <w:rFonts w:hint="eastAsia" w:ascii="宋体" w:hAnsi="宋体" w:cs="宋体"/>
          <w:color w:val="auto"/>
          <w:szCs w:val="21"/>
          <w:highlight w:val="none"/>
          <w:lang w:val="en-US" w:eastAsia="zh-CN"/>
        </w:rPr>
        <w:t>三</w:t>
      </w:r>
      <w:r>
        <w:rPr>
          <w:rFonts w:hint="eastAsia" w:ascii="宋体" w:hAnsi="宋体" w:cs="宋体"/>
          <w:color w:val="auto"/>
          <w:szCs w:val="21"/>
          <w:highlight w:val="none"/>
        </w:rPr>
        <w:t>章“评标办法”规定的算术性错误和投标报价的其他错误；</w:t>
      </w:r>
    </w:p>
    <w:p w14:paraId="0855C5B2">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（2）投标文件个别文字有遗漏错误等不影响投标文件实质性内容的偏差。</w:t>
      </w:r>
    </w:p>
    <w:p w14:paraId="7A1BE1F3">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1.12.4评标委员会对投标文件中的细微偏差按如下规定处理：</w:t>
      </w:r>
    </w:p>
    <w:p w14:paraId="1C1A1AE0">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对于本章第 1.12.3 项（1）目所述的细微偏差，按照第</w:t>
      </w:r>
      <w:r>
        <w:rPr>
          <w:rFonts w:hint="eastAsia" w:ascii="宋体" w:hAnsi="宋体" w:cs="宋体"/>
          <w:color w:val="auto"/>
          <w:szCs w:val="21"/>
          <w:highlight w:val="none"/>
          <w:lang w:val="en-US" w:eastAsia="zh-CN"/>
        </w:rPr>
        <w:t>三</w:t>
      </w:r>
      <w:r>
        <w:rPr>
          <w:rFonts w:hint="eastAsia" w:ascii="宋体" w:hAnsi="宋体" w:cs="宋体"/>
          <w:color w:val="auto"/>
          <w:szCs w:val="21"/>
          <w:highlight w:val="none"/>
        </w:rPr>
        <w:t>章“评标办法”的规定予以修正并要求投标人进行澄清；</w:t>
      </w:r>
    </w:p>
    <w:p w14:paraId="442FE00F">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对于本章第 1.12.3 项（2）目所述的细微偏差，可要求投标人对细微偏差进行澄清。</w:t>
      </w:r>
    </w:p>
    <w:p w14:paraId="1D28514D">
      <w:pPr>
        <w:pStyle w:val="7"/>
        <w:pageBreakBefore w:val="0"/>
        <w:widowControl w:val="0"/>
        <w:kinsoku/>
        <w:wordWrap/>
        <w:overflowPunct/>
        <w:topLinePunct w:val="0"/>
        <w:autoSpaceDE/>
        <w:autoSpaceDN/>
        <w:bidi w:val="0"/>
        <w:spacing w:beforeLines="50" w:afterLines="50" w:line="420" w:lineRule="exact"/>
        <w:ind w:firstLine="482" w:firstLineChars="200"/>
        <w:textAlignment w:val="auto"/>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 招标文件</w:t>
      </w:r>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14:paraId="0E545030">
      <w:pPr>
        <w:pStyle w:val="7"/>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238" w:name="_Toc15058859"/>
      <w:bookmarkStart w:id="239" w:name="_Toc35424900"/>
      <w:bookmarkStart w:id="240" w:name="_Toc152042319"/>
      <w:bookmarkStart w:id="241" w:name="_Toc35425066"/>
      <w:bookmarkStart w:id="242" w:name="_Toc246996931"/>
      <w:bookmarkStart w:id="243" w:name="_Toc152045543"/>
      <w:bookmarkStart w:id="244" w:name="_Toc246996188"/>
      <w:bookmarkStart w:id="245" w:name="_Toc247085702"/>
      <w:bookmarkStart w:id="246" w:name="_Toc506107282"/>
      <w:bookmarkStart w:id="247" w:name="_Toc179632561"/>
      <w:bookmarkStart w:id="248" w:name="_Toc144974511"/>
      <w:bookmarkStart w:id="249" w:name="_Toc296602433"/>
      <w:bookmarkStart w:id="250" w:name="_Toc13213"/>
      <w:bookmarkStart w:id="251" w:name="_Toc324404828"/>
      <w:bookmarkStart w:id="252" w:name="_Toc78803335"/>
      <w:r>
        <w:rPr>
          <w:rFonts w:hint="eastAsia" w:ascii="宋体" w:hAnsi="宋体" w:eastAsia="宋体" w:cs="宋体"/>
          <w:color w:val="auto"/>
          <w:highlight w:val="none"/>
        </w:rPr>
        <w:t>2.1 招标文件的组成</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1BE15D18">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2.1.1 本招标文件包括：</w:t>
      </w:r>
    </w:p>
    <w:p w14:paraId="645EA808">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（1）招标公告；</w:t>
      </w:r>
    </w:p>
    <w:p w14:paraId="78290387">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（2）投标人须知；</w:t>
      </w:r>
    </w:p>
    <w:p w14:paraId="4D1005A4">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（3）资格审查办法</w:t>
      </w:r>
    </w:p>
    <w:p w14:paraId="7980B891">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（4）评标办法；</w:t>
      </w:r>
    </w:p>
    <w:p w14:paraId="3384D77A">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（5）合同条款及格式；</w:t>
      </w:r>
    </w:p>
    <w:p w14:paraId="358C8E70">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（6）工程量清单；</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本项目无</w:t>
      </w: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rPr>
        <w:t xml:space="preserve"> </w:t>
      </w:r>
    </w:p>
    <w:p w14:paraId="0153DDEC">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（7）图纸；</w:t>
      </w:r>
    </w:p>
    <w:p w14:paraId="59E8AC22">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技术标准和要求</w:t>
      </w:r>
      <w:r>
        <w:rPr>
          <w:rFonts w:hint="eastAsia" w:ascii="宋体" w:hAnsi="宋体" w:cs="宋体"/>
          <w:color w:val="auto"/>
          <w:szCs w:val="21"/>
          <w:highlight w:val="none"/>
          <w:lang w:val="en-US" w:eastAsia="zh-CN"/>
        </w:rPr>
        <w:t>；</w:t>
      </w:r>
    </w:p>
    <w:p w14:paraId="5F15B323">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）投标文件格式；</w:t>
      </w:r>
    </w:p>
    <w:p w14:paraId="4BBD4C83">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10</w:t>
      </w:r>
      <w:r>
        <w:rPr>
          <w:rFonts w:hint="eastAsia" w:ascii="宋体" w:hAnsi="宋体" w:eastAsia="宋体" w:cs="宋体"/>
          <w:color w:val="auto"/>
          <w:szCs w:val="21"/>
          <w:highlight w:val="none"/>
        </w:rPr>
        <w:t>）投标人须知前附表规定的其他材料。</w:t>
      </w:r>
    </w:p>
    <w:p w14:paraId="01901C5C">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2.1.2 根据本章第1.10款、第2.2款和第2.3款对招标文件所作的澄清、修改，构成招标文件的组成部分。</w:t>
      </w:r>
    </w:p>
    <w:p w14:paraId="1DF96AFC">
      <w:pPr>
        <w:pStyle w:val="20"/>
        <w:pageBreakBefore w:val="0"/>
        <w:widowControl w:val="0"/>
        <w:kinsoku/>
        <w:wordWrap/>
        <w:overflowPunct/>
        <w:topLinePunct w:val="0"/>
        <w:autoSpaceDE/>
        <w:autoSpaceDN/>
        <w:bidi w:val="0"/>
        <w:adjustRightInd w:val="0"/>
        <w:snapToGrid w:val="0"/>
        <w:spacing w:after="0" w:line="420" w:lineRule="exact"/>
        <w:ind w:firstLine="420" w:firstLineChars="200"/>
        <w:textAlignment w:val="auto"/>
        <w:rPr>
          <w:color w:val="auto"/>
          <w:highlight w:val="none"/>
        </w:rPr>
      </w:pPr>
      <w:r>
        <w:rPr>
          <w:rFonts w:hint="eastAsia" w:ascii="宋体" w:hAnsi="宋体" w:cs="宋体"/>
          <w:color w:val="auto"/>
          <w:szCs w:val="21"/>
          <w:highlight w:val="none"/>
        </w:rPr>
        <w:t>2.1.3当招标文件、招标文件的澄清或修改等在同一内容的表述上不一致时，以最后发出的文件为准。</w:t>
      </w:r>
    </w:p>
    <w:p w14:paraId="1F9358BE">
      <w:pPr>
        <w:pStyle w:val="7"/>
        <w:pageBreakBefore w:val="0"/>
        <w:widowControl w:val="0"/>
        <w:kinsoku/>
        <w:wordWrap/>
        <w:overflowPunct/>
        <w:topLinePunct w:val="0"/>
        <w:autoSpaceDE/>
        <w:autoSpaceDN/>
        <w:bidi w:val="0"/>
        <w:spacing w:line="420" w:lineRule="exact"/>
        <w:ind w:firstLine="422" w:firstLineChars="200"/>
        <w:textAlignment w:val="auto"/>
        <w:rPr>
          <w:rFonts w:hint="eastAsia" w:ascii="宋体" w:hAnsi="宋体" w:eastAsia="宋体" w:cs="宋体"/>
          <w:color w:val="auto"/>
          <w:highlight w:val="none"/>
          <w:lang w:eastAsia="zh-CN"/>
        </w:rPr>
      </w:pPr>
      <w:bookmarkStart w:id="253" w:name="_Toc296602434"/>
      <w:bookmarkStart w:id="254" w:name="_Toc15058860"/>
      <w:bookmarkStart w:id="255" w:name="_Toc179632562"/>
      <w:bookmarkStart w:id="256" w:name="_Toc78803336"/>
      <w:bookmarkStart w:id="257" w:name="_Toc324404829"/>
      <w:bookmarkStart w:id="258" w:name="_Toc32239"/>
      <w:bookmarkStart w:id="259" w:name="_Toc35424901"/>
      <w:bookmarkStart w:id="260" w:name="_Toc247085703"/>
      <w:bookmarkStart w:id="261" w:name="_Toc152042320"/>
      <w:bookmarkStart w:id="262" w:name="_Toc246996189"/>
      <w:bookmarkStart w:id="263" w:name="_Toc506107283"/>
      <w:bookmarkStart w:id="264" w:name="_Toc35425067"/>
      <w:bookmarkStart w:id="265" w:name="_Toc144974512"/>
      <w:bookmarkStart w:id="266" w:name="_Toc246996932"/>
      <w:bookmarkStart w:id="267" w:name="_Toc152045544"/>
      <w:r>
        <w:rPr>
          <w:rFonts w:hint="eastAsia" w:ascii="宋体" w:hAnsi="宋体" w:eastAsia="宋体" w:cs="宋体"/>
          <w:color w:val="auto"/>
          <w:highlight w:val="none"/>
        </w:rPr>
        <w:t>2.2 招标文件的</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r>
        <w:rPr>
          <w:rFonts w:hint="eastAsia" w:ascii="宋体" w:hAnsi="宋体" w:eastAsia="宋体" w:cs="宋体"/>
          <w:color w:val="auto"/>
          <w:highlight w:val="none"/>
          <w:lang w:val="en-US" w:eastAsia="zh-CN"/>
        </w:rPr>
        <w:t>异议</w:t>
      </w:r>
    </w:p>
    <w:p w14:paraId="773E2078">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见投标须知前附表。</w:t>
      </w:r>
    </w:p>
    <w:p w14:paraId="5773C52D">
      <w:pPr>
        <w:pStyle w:val="7"/>
        <w:pageBreakBefore w:val="0"/>
        <w:widowControl w:val="0"/>
        <w:kinsoku/>
        <w:wordWrap/>
        <w:overflowPunct/>
        <w:topLinePunct w:val="0"/>
        <w:autoSpaceDE/>
        <w:autoSpaceDN/>
        <w:bidi w:val="0"/>
        <w:spacing w:line="420" w:lineRule="exact"/>
        <w:ind w:firstLine="422" w:firstLineChars="200"/>
        <w:textAlignment w:val="auto"/>
        <w:rPr>
          <w:rFonts w:hint="eastAsia" w:ascii="宋体" w:hAnsi="宋体" w:eastAsia="宋体" w:cs="宋体"/>
          <w:color w:val="auto"/>
          <w:highlight w:val="none"/>
          <w:lang w:eastAsia="zh-CN"/>
        </w:rPr>
      </w:pPr>
      <w:bookmarkStart w:id="268" w:name="_Toc35425068"/>
      <w:bookmarkStart w:id="269" w:name="_Toc24633"/>
      <w:bookmarkStart w:id="270" w:name="_Toc506107284"/>
      <w:bookmarkStart w:id="271" w:name="_Toc35424902"/>
      <w:bookmarkStart w:id="272" w:name="_Toc78803337"/>
      <w:bookmarkStart w:id="273" w:name="_Toc246996933"/>
      <w:bookmarkStart w:id="274" w:name="_Toc246996190"/>
      <w:bookmarkStart w:id="275" w:name="_Toc296602435"/>
      <w:bookmarkStart w:id="276" w:name="_Toc144974513"/>
      <w:bookmarkStart w:id="277" w:name="_Toc179632563"/>
      <w:bookmarkStart w:id="278" w:name="_Toc247085704"/>
      <w:bookmarkStart w:id="279" w:name="_Toc324404830"/>
      <w:bookmarkStart w:id="280" w:name="_Toc152045545"/>
      <w:bookmarkStart w:id="281" w:name="_Toc15058861"/>
      <w:bookmarkStart w:id="282" w:name="_Toc152042321"/>
      <w:r>
        <w:rPr>
          <w:rFonts w:hint="eastAsia" w:ascii="宋体" w:hAnsi="宋体" w:eastAsia="宋体" w:cs="宋体"/>
          <w:color w:val="auto"/>
          <w:highlight w:val="none"/>
        </w:rPr>
        <w:t>2.3 招标文件的</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r>
        <w:rPr>
          <w:rFonts w:hint="eastAsia" w:ascii="宋体" w:hAnsi="宋体" w:eastAsia="宋体" w:cs="宋体"/>
          <w:color w:val="auto"/>
          <w:highlight w:val="none"/>
          <w:lang w:val="en-US" w:eastAsia="zh-CN"/>
        </w:rPr>
        <w:t>澄清</w:t>
      </w:r>
    </w:p>
    <w:p w14:paraId="079A4727">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见投标须知前附表。</w:t>
      </w:r>
    </w:p>
    <w:p w14:paraId="3EFE51B9">
      <w:pPr>
        <w:pageBreakBefore w:val="0"/>
        <w:widowControl w:val="0"/>
        <w:kinsoku/>
        <w:wordWrap/>
        <w:overflowPunct/>
        <w:topLinePunct w:val="0"/>
        <w:autoSpaceDE/>
        <w:autoSpaceDN/>
        <w:bidi w:val="0"/>
        <w:spacing w:beforeLines="50" w:afterLines="50" w:line="420" w:lineRule="exact"/>
        <w:ind w:firstLine="422" w:firstLineChars="200"/>
        <w:textAlignment w:val="auto"/>
        <w:rPr>
          <w:rFonts w:hint="eastAsia" w:ascii="宋体" w:hAnsi="宋体" w:eastAsia="宋体" w:cs="宋体"/>
          <w:b/>
          <w:bCs/>
          <w:color w:val="auto"/>
          <w:sz w:val="21"/>
          <w:szCs w:val="32"/>
          <w:highlight w:val="none"/>
        </w:rPr>
      </w:pPr>
      <w:bookmarkStart w:id="283" w:name="_Toc247085705"/>
      <w:bookmarkStart w:id="284" w:name="_Toc15058863"/>
      <w:bookmarkStart w:id="285" w:name="_Toc246996934"/>
      <w:bookmarkStart w:id="286" w:name="_Toc152045546"/>
      <w:bookmarkStart w:id="287" w:name="_Toc35425070"/>
      <w:bookmarkStart w:id="288" w:name="_Toc6464"/>
      <w:bookmarkStart w:id="289" w:name="_Toc35424904"/>
      <w:bookmarkStart w:id="290" w:name="_Toc506107285"/>
      <w:bookmarkStart w:id="291" w:name="_Toc78803339"/>
      <w:bookmarkStart w:id="292" w:name="_Toc152042322"/>
      <w:bookmarkStart w:id="293" w:name="_Toc246996191"/>
      <w:bookmarkStart w:id="294" w:name="_Toc179632564"/>
      <w:bookmarkStart w:id="295" w:name="_Toc324404832"/>
      <w:bookmarkStart w:id="296" w:name="_Toc144974514"/>
      <w:r>
        <w:rPr>
          <w:rFonts w:hint="eastAsia" w:ascii="宋体" w:hAnsi="宋体" w:eastAsia="宋体" w:cs="宋体"/>
          <w:b/>
          <w:bCs/>
          <w:color w:val="auto"/>
          <w:sz w:val="21"/>
          <w:szCs w:val="32"/>
          <w:highlight w:val="none"/>
        </w:rPr>
        <w:t>3. 投标文件</w:t>
      </w:r>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p>
    <w:p w14:paraId="33CD9798">
      <w:pPr>
        <w:pStyle w:val="7"/>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297" w:name="_Toc78803340"/>
      <w:bookmarkStart w:id="298" w:name="_Toc35425071"/>
      <w:bookmarkStart w:id="299" w:name="_Toc246996935"/>
      <w:bookmarkStart w:id="300" w:name="_Toc246996192"/>
      <w:bookmarkStart w:id="301" w:name="_Toc15058864"/>
      <w:bookmarkStart w:id="302" w:name="_Toc152042323"/>
      <w:bookmarkStart w:id="303" w:name="_Toc144974515"/>
      <w:bookmarkStart w:id="304" w:name="_Toc247085706"/>
      <w:bookmarkStart w:id="305" w:name="_Toc296602437"/>
      <w:bookmarkStart w:id="306" w:name="_Toc179632565"/>
      <w:bookmarkStart w:id="307" w:name="_Toc157"/>
      <w:bookmarkStart w:id="308" w:name="_Toc324404833"/>
      <w:bookmarkStart w:id="309" w:name="_Toc35424905"/>
      <w:bookmarkStart w:id="310" w:name="_Toc152045547"/>
      <w:bookmarkStart w:id="311" w:name="_Toc506107286"/>
      <w:r>
        <w:rPr>
          <w:rFonts w:hint="eastAsia" w:ascii="宋体" w:hAnsi="宋体" w:eastAsia="宋体" w:cs="宋体"/>
          <w:color w:val="auto"/>
          <w:highlight w:val="none"/>
        </w:rPr>
        <w:t>3.1 投标文件的组成</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43530CCE">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投标文件的具体组成部分及材料要求详见本招标文件第</w:t>
      </w:r>
      <w:r>
        <w:rPr>
          <w:rFonts w:hint="eastAsia" w:ascii="宋体" w:hAnsi="宋体" w:cs="宋体"/>
          <w:color w:val="auto"/>
          <w:szCs w:val="21"/>
          <w:highlight w:val="none"/>
          <w:lang w:val="en-US" w:eastAsia="zh-CN"/>
        </w:rPr>
        <w:t>八</w:t>
      </w:r>
      <w:r>
        <w:rPr>
          <w:rFonts w:hint="eastAsia" w:ascii="宋体" w:hAnsi="宋体" w:cs="宋体"/>
          <w:color w:val="auto"/>
          <w:szCs w:val="21"/>
          <w:highlight w:val="none"/>
        </w:rPr>
        <w:t>章“投标文件格式”。</w:t>
      </w:r>
    </w:p>
    <w:p w14:paraId="47146548">
      <w:pPr>
        <w:pStyle w:val="7"/>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312" w:name="_Toc506107287"/>
      <w:bookmarkStart w:id="313" w:name="_Toc6829"/>
      <w:bookmarkStart w:id="314" w:name="_Toc296602438"/>
      <w:bookmarkStart w:id="315" w:name="_Toc144974516"/>
      <w:bookmarkStart w:id="316" w:name="_Toc35425072"/>
      <w:bookmarkStart w:id="317" w:name="_Toc35424906"/>
      <w:bookmarkStart w:id="318" w:name="_Toc152042324"/>
      <w:bookmarkStart w:id="319" w:name="_Toc15058865"/>
      <w:bookmarkStart w:id="320" w:name="_Toc152045548"/>
      <w:bookmarkStart w:id="321" w:name="_Toc324404834"/>
      <w:bookmarkStart w:id="322" w:name="_Toc78803341"/>
      <w:bookmarkStart w:id="323" w:name="_Toc247085707"/>
      <w:bookmarkStart w:id="324" w:name="_Toc246996193"/>
      <w:bookmarkStart w:id="325" w:name="_Toc246996936"/>
      <w:bookmarkStart w:id="326" w:name="_Toc179632566"/>
      <w:r>
        <w:rPr>
          <w:rFonts w:hint="eastAsia" w:ascii="宋体" w:hAnsi="宋体" w:eastAsia="宋体" w:cs="宋体"/>
          <w:color w:val="auto"/>
          <w:highlight w:val="none"/>
        </w:rPr>
        <w:t>3.2 投标报价</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p>
    <w:p w14:paraId="40A40F4B">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bookmarkStart w:id="327" w:name="_Toc35425073"/>
      <w:bookmarkStart w:id="328" w:name="_Toc247085708"/>
      <w:bookmarkStart w:id="329" w:name="_Toc152045549"/>
      <w:bookmarkStart w:id="330" w:name="_Toc246996194"/>
      <w:bookmarkStart w:id="331" w:name="_Toc296602439"/>
      <w:bookmarkStart w:id="332" w:name="_Toc324404835"/>
      <w:bookmarkStart w:id="333" w:name="_Toc15058866"/>
      <w:bookmarkStart w:id="334" w:name="_Toc78803342"/>
      <w:bookmarkStart w:id="335" w:name="_Toc179632567"/>
      <w:bookmarkStart w:id="336" w:name="_Toc35424907"/>
      <w:bookmarkStart w:id="337" w:name="_Toc152042325"/>
      <w:bookmarkStart w:id="338" w:name="_Toc506107288"/>
      <w:bookmarkStart w:id="339" w:name="_Toc31735"/>
      <w:bookmarkStart w:id="340" w:name="_Toc144974517"/>
      <w:bookmarkStart w:id="341" w:name="_Toc246996937"/>
      <w:r>
        <w:rPr>
          <w:rFonts w:hint="eastAsia" w:ascii="宋体" w:hAnsi="宋体" w:eastAsia="宋体" w:cs="宋体"/>
          <w:color w:val="auto"/>
          <w:szCs w:val="21"/>
          <w:highlight w:val="none"/>
        </w:rPr>
        <w:t>3.2.1投标报价应包括国家规定的增值税税金，除投标人须知前附表另有规定外，增值税税金按一般计税方法计算。投标人应按第</w:t>
      </w:r>
      <w:r>
        <w:rPr>
          <w:rFonts w:hint="eastAsia" w:ascii="宋体" w:hAnsi="宋体" w:cs="宋体"/>
          <w:color w:val="auto"/>
          <w:szCs w:val="21"/>
          <w:highlight w:val="none"/>
          <w:lang w:val="en-US" w:eastAsia="zh-CN"/>
        </w:rPr>
        <w:t>八</w:t>
      </w:r>
      <w:r>
        <w:rPr>
          <w:rFonts w:hint="eastAsia" w:ascii="宋体" w:hAnsi="宋体" w:eastAsia="宋体" w:cs="宋体"/>
          <w:color w:val="auto"/>
          <w:szCs w:val="21"/>
          <w:highlight w:val="none"/>
        </w:rPr>
        <w:t>章“投标文件格式”的要求在投标函中进行报价并填写工程量清单相应表格。</w:t>
      </w:r>
    </w:p>
    <w:p w14:paraId="5EF9D73E">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3.2.2投标人应充分了解本项目的总体情况以及影响投标报价的其他要素。</w:t>
      </w:r>
    </w:p>
    <w:p w14:paraId="1E25196E">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3.2.3招标人设有最高投标限价的，投标人的投标报价不得超过最高投标限价，最高投标限价在投标人须知前附表中载明。</w:t>
      </w:r>
    </w:p>
    <w:p w14:paraId="08234FFF">
      <w:pPr>
        <w:pStyle w:val="7"/>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3.3 投标有效期</w:t>
      </w:r>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14:paraId="05B1E410">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3.3.1 除投标人须知前附表另有规定外，投标有效期为90天。</w:t>
      </w:r>
    </w:p>
    <w:p w14:paraId="5A86A5C3">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3.3.2在投标有效期内，投标人撤销或修改其投标文件的，应承担招标文件和法律规定的责任。</w:t>
      </w:r>
    </w:p>
    <w:p w14:paraId="7F8D605D">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3.3.3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w:t>
      </w:r>
    </w:p>
    <w:p w14:paraId="25DF08A0">
      <w:pPr>
        <w:pStyle w:val="7"/>
        <w:pageBreakBefore w:val="0"/>
        <w:widowControl w:val="0"/>
        <w:kinsoku/>
        <w:wordWrap/>
        <w:overflowPunct/>
        <w:topLinePunct w:val="0"/>
        <w:autoSpaceDE/>
        <w:autoSpaceDN/>
        <w:bidi w:val="0"/>
        <w:spacing w:line="420" w:lineRule="exact"/>
        <w:ind w:firstLine="422" w:firstLineChars="200"/>
        <w:textAlignment w:val="auto"/>
        <w:rPr>
          <w:rFonts w:hint="eastAsia" w:ascii="宋体" w:hAnsi="宋体" w:eastAsia="宋体" w:cs="宋体"/>
          <w:color w:val="auto"/>
          <w:highlight w:val="none"/>
        </w:rPr>
      </w:pPr>
      <w:bookmarkStart w:id="342" w:name="_Toc246996938"/>
      <w:bookmarkStart w:id="343" w:name="_Toc324404836"/>
      <w:bookmarkStart w:id="344" w:name="_Toc246996195"/>
      <w:bookmarkStart w:id="345" w:name="_Toc35425074"/>
      <w:bookmarkStart w:id="346" w:name="_Toc152045550"/>
      <w:bookmarkStart w:id="347" w:name="_Toc247085709"/>
      <w:bookmarkStart w:id="348" w:name="_Toc296602440"/>
      <w:bookmarkStart w:id="349" w:name="_Toc506107289"/>
      <w:bookmarkStart w:id="350" w:name="_Toc15058867"/>
      <w:bookmarkStart w:id="351" w:name="_Toc144974518"/>
      <w:bookmarkStart w:id="352" w:name="_Toc152042326"/>
      <w:bookmarkStart w:id="353" w:name="_Toc10714"/>
      <w:bookmarkStart w:id="354" w:name="_Toc179632568"/>
      <w:bookmarkStart w:id="355" w:name="_Toc35424908"/>
      <w:bookmarkStart w:id="356" w:name="_Toc78803343"/>
      <w:r>
        <w:rPr>
          <w:rFonts w:hint="eastAsia" w:ascii="宋体" w:hAnsi="宋体" w:eastAsia="宋体" w:cs="宋体"/>
          <w:color w:val="auto"/>
          <w:highlight w:val="none"/>
        </w:rPr>
        <w:t>3.4 投标保证金</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p w14:paraId="1D96AFDD">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3.4.1 投标人须知前附表规定递交投标保证金的，投标人在递交投标文件的同时，应按投标人须知前附表规定的金额、担保形式规定的或者事先经过招标人认可的保证金格式递交保证金，并作为其投标文件的组成部分。联合体投标的，其投标保证金由牵头人递交，并应符合投标人须知前附表的规定。</w:t>
      </w:r>
    </w:p>
    <w:p w14:paraId="603A790C">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无论采取何种形式的投标保证金，投标保证金有效期均应与投标有效期一致（采用保函的保证期截止时间不得早于该项目投标有效期的截止时间）。招标人如果按本章第3.3.3项的规定延长了投标有效期，则投标保证金的有效期也相应延长。</w:t>
      </w:r>
    </w:p>
    <w:p w14:paraId="5C7E2DC9">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3.4.2 投标人不按本章第3.4.1项要求提交投标保证金的，评标委员会将否决其投标。</w:t>
      </w:r>
    </w:p>
    <w:p w14:paraId="55EB6D0D">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3.4.</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 xml:space="preserve">有下列情形之一的，投标保证金将不予退还： </w:t>
      </w:r>
    </w:p>
    <w:p w14:paraId="7E8040CB">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（1）投标截止后投标人撤销投标文件的；</w:t>
      </w:r>
    </w:p>
    <w:p w14:paraId="025E225F">
      <w:pPr>
        <w:pageBreakBefore w:val="0"/>
        <w:widowControl w:val="0"/>
        <w:kinsoku/>
        <w:wordWrap/>
        <w:overflowPunct/>
        <w:topLinePunct w:val="0"/>
        <w:autoSpaceDE/>
        <w:autoSpaceDN/>
        <w:bidi w:val="0"/>
        <w:spacing w:line="420" w:lineRule="exact"/>
        <w:ind w:firstLine="420" w:firstLineChars="200"/>
        <w:jc w:val="left"/>
        <w:textAlignment w:val="auto"/>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（2）中标人无正当理由不与招标人订立合同，在签订合同时向招标人提出附加条件，或者不按照招标文件要求提交履约保证金的。</w:t>
      </w:r>
    </w:p>
    <w:p w14:paraId="7B944C38">
      <w:pPr>
        <w:pStyle w:val="7"/>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357" w:name="_Toc324404837"/>
      <w:bookmarkStart w:id="358" w:name="_Toc35424909"/>
      <w:bookmarkStart w:id="359" w:name="_Toc15058868"/>
      <w:bookmarkStart w:id="360" w:name="_Toc35425075"/>
      <w:bookmarkStart w:id="361" w:name="_Toc19037"/>
      <w:bookmarkStart w:id="362" w:name="_Toc78803344"/>
      <w:bookmarkStart w:id="363" w:name="_Toc296602442"/>
      <w:bookmarkStart w:id="364" w:name="_Toc506107290"/>
      <w:bookmarkStart w:id="365" w:name="_Toc144974521"/>
      <w:bookmarkStart w:id="366" w:name="_Toc246996197"/>
      <w:bookmarkStart w:id="367" w:name="_Toc152045553"/>
      <w:bookmarkStart w:id="368" w:name="_Toc247085711"/>
      <w:bookmarkStart w:id="369" w:name="_Toc246996940"/>
      <w:bookmarkStart w:id="370" w:name="_Toc179632571"/>
      <w:bookmarkStart w:id="371" w:name="_Toc152042329"/>
      <w:r>
        <w:rPr>
          <w:rFonts w:hint="eastAsia" w:ascii="宋体" w:hAnsi="宋体" w:eastAsia="宋体" w:cs="宋体"/>
          <w:color w:val="auto"/>
          <w:highlight w:val="none"/>
        </w:rPr>
        <w:t>3.5投标文件的编制</w:t>
      </w:r>
      <w:bookmarkEnd w:id="357"/>
      <w:bookmarkEnd w:id="358"/>
      <w:bookmarkEnd w:id="359"/>
      <w:bookmarkEnd w:id="360"/>
      <w:bookmarkEnd w:id="361"/>
      <w:bookmarkEnd w:id="362"/>
      <w:bookmarkEnd w:id="363"/>
      <w:bookmarkEnd w:id="364"/>
    </w:p>
    <w:p w14:paraId="10358D27">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3.5.1投标文件应按第</w:t>
      </w:r>
      <w:r>
        <w:rPr>
          <w:rFonts w:hint="eastAsia" w:ascii="宋体" w:hAnsi="宋体" w:cs="宋体"/>
          <w:color w:val="auto"/>
          <w:szCs w:val="21"/>
          <w:highlight w:val="none"/>
          <w:lang w:val="en-US" w:eastAsia="zh-CN"/>
        </w:rPr>
        <w:t>八</w:t>
      </w:r>
      <w:r>
        <w:rPr>
          <w:rFonts w:hint="eastAsia" w:ascii="宋体" w:hAnsi="宋体" w:eastAsia="宋体" w:cs="宋体"/>
          <w:color w:val="auto"/>
          <w:szCs w:val="21"/>
          <w:highlight w:val="none"/>
        </w:rPr>
        <w:t>章“投标文件格式”进行编写，如有必要，可以增加附页，作为投标文件的组成部分。其中，投标函在满足招标文件实质性要求的基础上，可以提出比招标文件要求更有利于招标人的承诺。施工组织设计编制的特殊要求见投标人须知前附表。</w:t>
      </w:r>
    </w:p>
    <w:bookmarkEnd w:id="365"/>
    <w:bookmarkEnd w:id="366"/>
    <w:bookmarkEnd w:id="367"/>
    <w:bookmarkEnd w:id="368"/>
    <w:bookmarkEnd w:id="369"/>
    <w:bookmarkEnd w:id="370"/>
    <w:bookmarkEnd w:id="371"/>
    <w:p w14:paraId="3C943031">
      <w:pPr>
        <w:adjustRightInd/>
        <w:snapToGrid/>
        <w:spacing w:line="420" w:lineRule="exact"/>
        <w:ind w:firstLine="420" w:firstLineChars="200"/>
        <w:jc w:val="left"/>
        <w:rPr>
          <w:rFonts w:hint="eastAsia" w:ascii="宋体" w:hAnsi="宋体" w:cs="宋体"/>
          <w:color w:val="000000"/>
          <w:szCs w:val="21"/>
        </w:rPr>
      </w:pPr>
      <w:bookmarkStart w:id="372" w:name="_Toc246996199"/>
      <w:bookmarkStart w:id="373" w:name="_Toc152042331"/>
      <w:bookmarkStart w:id="374" w:name="_Toc179632573"/>
      <w:bookmarkStart w:id="375" w:name="_Toc246996942"/>
      <w:bookmarkStart w:id="376" w:name="_Toc152045555"/>
      <w:bookmarkStart w:id="377" w:name="_Toc324404838"/>
      <w:bookmarkStart w:id="378" w:name="_Toc247085713"/>
      <w:bookmarkStart w:id="379" w:name="_Toc144974523"/>
      <w:r>
        <w:rPr>
          <w:rFonts w:hint="eastAsia" w:ascii="宋体" w:hAnsi="宋体" w:eastAsia="宋体" w:cs="宋体"/>
          <w:color w:val="auto"/>
          <w:szCs w:val="21"/>
          <w:highlight w:val="none"/>
        </w:rPr>
        <w:t>3.5.2</w:t>
      </w:r>
      <w:r>
        <w:rPr>
          <w:rFonts w:hint="eastAsia" w:ascii="宋体" w:hAnsi="宋体" w:cs="宋体"/>
          <w:color w:val="000000"/>
          <w:szCs w:val="21"/>
        </w:rPr>
        <w:t>本次投标不需要提供纸质投标文件，投标人应按照电子招标投标的要求，在投标人的电子系统中制作、签章、上传加密的电子投标文件。</w:t>
      </w:r>
    </w:p>
    <w:p w14:paraId="41AC4657">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3.5.3投标文件应当对招标文件有关工期、投标有效期、质量要求、技术标准和要求、招标范围等实质性内容作出响应。</w:t>
      </w:r>
    </w:p>
    <w:p w14:paraId="1600049F">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3.5.</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招标人有权核查投标人在投标文件中提供的资料，若在评标期间发现投标人提供了虚假资料，其投标将被否决；若在签订合同前发现作为中标候选人的投标人提供了虚假资料，招标人有权取消其中标资格；如果签订合同后发现中标人提供了虚假材料，招标人有权解除合同。同时招标人将投标人上述弄虚作假行为上报</w:t>
      </w:r>
      <w:r>
        <w:rPr>
          <w:rFonts w:hint="eastAsia" w:ascii="宋体" w:hAnsi="宋体" w:eastAsia="宋体" w:cs="宋体"/>
          <w:color w:val="auto"/>
          <w:szCs w:val="21"/>
          <w:highlight w:val="none"/>
          <w:lang w:val="en-US" w:eastAsia="zh-CN"/>
        </w:rPr>
        <w:t>相关</w:t>
      </w:r>
      <w:r>
        <w:rPr>
          <w:rFonts w:hint="eastAsia" w:ascii="宋体" w:hAnsi="宋体" w:eastAsia="宋体" w:cs="宋体"/>
          <w:color w:val="auto"/>
          <w:szCs w:val="21"/>
          <w:highlight w:val="none"/>
        </w:rPr>
        <w:t>部门处理。</w:t>
      </w:r>
    </w:p>
    <w:p w14:paraId="1D0756B7">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3.5.</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投标文件的制作应满足以下规定：</w:t>
      </w:r>
    </w:p>
    <w:p w14:paraId="0BA1A14B">
      <w:pPr>
        <w:pageBreakBefore w:val="0"/>
        <w:widowControl w:val="0"/>
        <w:numPr>
          <w:ilvl w:val="0"/>
          <w:numId w:val="3"/>
        </w:numPr>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招标文件中“签章”是指签字或盖章。在第</w:t>
      </w:r>
      <w:r>
        <w:rPr>
          <w:rFonts w:hint="eastAsia" w:ascii="宋体" w:hAnsi="宋体" w:cs="宋体"/>
          <w:color w:val="auto"/>
          <w:szCs w:val="21"/>
          <w:highlight w:val="none"/>
          <w:lang w:val="en-US" w:eastAsia="zh-CN"/>
        </w:rPr>
        <w:t>八</w:t>
      </w:r>
      <w:r>
        <w:rPr>
          <w:rFonts w:hint="eastAsia" w:ascii="宋体" w:hAnsi="宋体" w:eastAsia="宋体" w:cs="宋体"/>
          <w:color w:val="auto"/>
          <w:szCs w:val="21"/>
          <w:highlight w:val="none"/>
        </w:rPr>
        <w:t>章“投标文件格式”</w:t>
      </w:r>
      <w:r>
        <w:rPr>
          <w:rFonts w:hint="eastAsia" w:ascii="宋体" w:hAnsi="宋体" w:cs="宋体"/>
          <w:color w:val="000000"/>
          <w:szCs w:val="21"/>
        </w:rPr>
        <w:t>中要求签章处，投标人应加盖投标人单位电子印章和法定代表人的个人电子印章/电子签名章或直接上传加盖投标人单位印章和法定代表人的印章（或签字）的原件彩色扫描件。</w:t>
      </w:r>
    </w:p>
    <w:p w14:paraId="7BC2F2FE">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cs="宋体"/>
          <w:color w:val="000000"/>
          <w:szCs w:val="21"/>
          <w:lang w:eastAsia="zh-CN"/>
        </w:rPr>
        <w:t>（</w:t>
      </w:r>
      <w:r>
        <w:rPr>
          <w:rFonts w:hint="eastAsia" w:ascii="宋体" w:hAnsi="宋体" w:cs="宋体"/>
          <w:color w:val="000000"/>
          <w:szCs w:val="21"/>
          <w:lang w:val="en-US" w:eastAsia="zh-CN"/>
        </w:rPr>
        <w:t>2</w:t>
      </w:r>
      <w:r>
        <w:rPr>
          <w:rFonts w:hint="eastAsia" w:ascii="宋体" w:hAnsi="宋体" w:cs="宋体"/>
          <w:color w:val="000000"/>
          <w:szCs w:val="21"/>
          <w:lang w:eastAsia="zh-CN"/>
        </w:rPr>
        <w:t>）</w:t>
      </w:r>
      <w:r>
        <w:rPr>
          <w:rFonts w:hint="eastAsia" w:ascii="宋体" w:hAnsi="宋体" w:cs="宋体"/>
          <w:color w:val="000000"/>
          <w:szCs w:val="21"/>
        </w:rPr>
        <w:t>投标文件制作完成后，投标人应对投标文件进行文件加密，形成加密的投标文件。采用CA数字证书加密的，加密时投标文件的所有内容均只能使用同一把CA数字证书进行加密，否则引起的解密失败责任由投标人自行承担。</w:t>
      </w:r>
    </w:p>
    <w:p w14:paraId="04434AD4">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3.5.</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因投标人自身原因而导致投标文件无法</w:t>
      </w:r>
      <w:r>
        <w:rPr>
          <w:rFonts w:hint="eastAsia" w:ascii="宋体" w:hAnsi="宋体" w:eastAsia="宋体" w:cs="宋体"/>
          <w:color w:val="auto"/>
          <w:szCs w:val="21"/>
          <w:highlight w:val="none"/>
          <w:lang w:val="en-US" w:eastAsia="zh-CN"/>
        </w:rPr>
        <w:t>打开、读取</w:t>
      </w:r>
      <w:r>
        <w:rPr>
          <w:rFonts w:hint="eastAsia" w:ascii="宋体" w:hAnsi="宋体" w:eastAsia="宋体" w:cs="宋体"/>
          <w:color w:val="auto"/>
          <w:szCs w:val="21"/>
          <w:highlight w:val="none"/>
        </w:rPr>
        <w:t>，该投标视为无效投标，投标人自行承担由此导致的全部责任。</w:t>
      </w:r>
    </w:p>
    <w:p w14:paraId="77B7F7FC">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3.5.</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投标人中标后须递交与网上电子投标文件完全一致的纸质版投标文件，在领取中标通知书时，一并递交给招标代理机构</w:t>
      </w:r>
      <w:r>
        <w:rPr>
          <w:rFonts w:hint="eastAsia" w:ascii="宋体" w:hAnsi="宋体" w:eastAsia="宋体" w:cs="宋体"/>
          <w:color w:val="auto"/>
          <w:szCs w:val="21"/>
          <w:highlight w:val="none"/>
          <w:lang w:eastAsia="zh-CN"/>
        </w:rPr>
        <w:t>。</w:t>
      </w:r>
    </w:p>
    <w:p w14:paraId="2FB30CA0">
      <w:pPr>
        <w:pStyle w:val="7"/>
        <w:pageBreakBefore w:val="0"/>
        <w:widowControl w:val="0"/>
        <w:kinsoku/>
        <w:wordWrap/>
        <w:overflowPunct/>
        <w:topLinePunct w:val="0"/>
        <w:autoSpaceDE/>
        <w:autoSpaceDN/>
        <w:bidi w:val="0"/>
        <w:spacing w:line="420" w:lineRule="exact"/>
        <w:ind w:firstLine="422"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rPr>
        <w:t>3.6 备选投标方案</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本项目不采用</w:t>
      </w:r>
      <w:r>
        <w:rPr>
          <w:rFonts w:hint="eastAsia" w:ascii="宋体" w:hAnsi="宋体" w:eastAsia="宋体" w:cs="宋体"/>
          <w:color w:val="auto"/>
          <w:highlight w:val="none"/>
          <w:lang w:eastAsia="zh-CN"/>
        </w:rPr>
        <w:t>）</w:t>
      </w:r>
    </w:p>
    <w:p w14:paraId="0B6BA989">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3.6.1除投标人须知前附表规定允许外，投标人不得递交备选投标方案，否则其投标将被否决。</w:t>
      </w:r>
    </w:p>
    <w:p w14:paraId="14F114A8">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3.6.2允许投标人递交备选投标方案的，只有中标人所递交的备选投标方案方可予以考虑。评标委员会认为中标人的备选投标方案优于其按照招标文件要求编制的投标方案的，招标人可以接受该备选投标方案。</w:t>
      </w:r>
    </w:p>
    <w:p w14:paraId="1C196C2B">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3.6.3投标人提供两个或两个以上投标报价，或在投标文件中提供一个报价，但同时提供两个或两个以上施工组织设计的，视为提供备选方案。</w:t>
      </w:r>
    </w:p>
    <w:p w14:paraId="5F7C6D9C">
      <w:pPr>
        <w:pStyle w:val="7"/>
        <w:pageBreakBefore w:val="0"/>
        <w:widowControl w:val="0"/>
        <w:kinsoku/>
        <w:wordWrap/>
        <w:overflowPunct/>
        <w:topLinePunct w:val="0"/>
        <w:autoSpaceDE/>
        <w:autoSpaceDN/>
        <w:bidi w:val="0"/>
        <w:spacing w:beforeLines="50" w:afterLines="50" w:line="420" w:lineRule="exact"/>
        <w:ind w:firstLine="482" w:firstLineChars="200"/>
        <w:textAlignment w:val="auto"/>
        <w:rPr>
          <w:rFonts w:ascii="宋体" w:hAnsi="宋体" w:eastAsia="宋体" w:cs="宋体"/>
          <w:color w:val="auto"/>
          <w:sz w:val="24"/>
          <w:szCs w:val="24"/>
          <w:highlight w:val="none"/>
        </w:rPr>
      </w:pPr>
      <w:bookmarkStart w:id="380" w:name="_Toc19455"/>
      <w:bookmarkStart w:id="381" w:name="_Toc35425076"/>
      <w:bookmarkStart w:id="382" w:name="_Toc78803345"/>
      <w:bookmarkStart w:id="383" w:name="_Toc35424910"/>
      <w:bookmarkStart w:id="384" w:name="_Toc506107291"/>
      <w:bookmarkStart w:id="385" w:name="_Toc15058869"/>
      <w:r>
        <w:rPr>
          <w:rFonts w:hint="eastAsia" w:ascii="宋体" w:hAnsi="宋体" w:eastAsia="宋体" w:cs="宋体"/>
          <w:color w:val="auto"/>
          <w:sz w:val="24"/>
          <w:szCs w:val="24"/>
          <w:highlight w:val="none"/>
        </w:rPr>
        <w:t>4.投标</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 w14:paraId="7AD0F353">
      <w:pPr>
        <w:pStyle w:val="7"/>
        <w:pageBreakBefore w:val="0"/>
        <w:widowControl w:val="0"/>
        <w:kinsoku/>
        <w:wordWrap/>
        <w:overflowPunct/>
        <w:topLinePunct w:val="0"/>
        <w:autoSpaceDE/>
        <w:autoSpaceDN/>
        <w:bidi w:val="0"/>
        <w:spacing w:line="420" w:lineRule="exact"/>
        <w:ind w:firstLine="422" w:firstLineChars="200"/>
        <w:textAlignment w:val="auto"/>
        <w:rPr>
          <w:rFonts w:hint="default" w:ascii="宋体" w:hAnsi="宋体" w:eastAsia="宋体" w:cs="宋体"/>
          <w:color w:val="auto"/>
          <w:highlight w:val="none"/>
          <w:lang w:val="en-US" w:eastAsia="zh-CN"/>
        </w:rPr>
      </w:pPr>
      <w:bookmarkStart w:id="386" w:name="_Toc14473"/>
      <w:bookmarkStart w:id="387" w:name="_Toc35424911"/>
      <w:bookmarkStart w:id="388" w:name="_Toc35425077"/>
      <w:bookmarkStart w:id="389" w:name="_Toc15058870"/>
      <w:bookmarkStart w:id="390" w:name="_Toc78803346"/>
      <w:r>
        <w:rPr>
          <w:rFonts w:hint="eastAsia" w:ascii="宋体" w:hAnsi="宋体" w:eastAsia="宋体" w:cs="宋体"/>
          <w:color w:val="auto"/>
          <w:highlight w:val="none"/>
        </w:rPr>
        <w:t>4.1投标文件</w:t>
      </w:r>
      <w:bookmarkEnd w:id="386"/>
      <w:bookmarkEnd w:id="387"/>
      <w:bookmarkEnd w:id="388"/>
      <w:bookmarkEnd w:id="389"/>
      <w:bookmarkEnd w:id="390"/>
      <w:r>
        <w:rPr>
          <w:rFonts w:hint="eastAsia" w:ascii="宋体" w:hAnsi="宋体" w:eastAsia="宋体" w:cs="宋体"/>
          <w:color w:val="auto"/>
          <w:highlight w:val="none"/>
          <w:lang w:val="en-US" w:eastAsia="zh-CN"/>
        </w:rPr>
        <w:t>的提交</w:t>
      </w:r>
    </w:p>
    <w:p w14:paraId="124E3821">
      <w:pPr>
        <w:pageBreakBefore w:val="0"/>
        <w:widowControl w:val="0"/>
        <w:kinsoku/>
        <w:wordWrap w:val="0"/>
        <w:overflowPunct/>
        <w:topLinePunct w:val="0"/>
        <w:autoSpaceDE/>
        <w:autoSpaceDN/>
        <w:bidi w:val="0"/>
        <w:adjustRightInd w:val="0"/>
        <w:snapToGrid w:val="0"/>
        <w:spacing w:line="440" w:lineRule="exact"/>
        <w:ind w:firstLine="210" w:firstLineChars="1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4.1.1加密电子投标文件投标人应在投标截止时间前通过新点电子交易平台后在【滁州专区】（https://www.etrading.cn/BREpointSSO/login/oauth2login?regioncode=DQ_ChuZhou）交易系统递交电子投标文件。</w:t>
      </w:r>
    </w:p>
    <w:p w14:paraId="25A27B0C">
      <w:pPr>
        <w:pStyle w:val="7"/>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391" w:name="_Toc246996202"/>
      <w:bookmarkStart w:id="392" w:name="_Toc246996945"/>
      <w:bookmarkStart w:id="393" w:name="_Toc324404841"/>
      <w:bookmarkStart w:id="394" w:name="_Toc152042334"/>
      <w:bookmarkStart w:id="395" w:name="_Toc35424914"/>
      <w:bookmarkStart w:id="396" w:name="_Toc19572"/>
      <w:bookmarkStart w:id="397" w:name="_Toc179632576"/>
      <w:bookmarkStart w:id="398" w:name="_Toc78803347"/>
      <w:bookmarkStart w:id="399" w:name="_Toc152045558"/>
      <w:bookmarkStart w:id="400" w:name="_Toc144974526"/>
      <w:bookmarkStart w:id="401" w:name="_Toc296602446"/>
      <w:bookmarkStart w:id="402" w:name="_Toc247085716"/>
      <w:bookmarkStart w:id="403" w:name="_Toc506107294"/>
      <w:bookmarkStart w:id="404" w:name="_Toc15058873"/>
      <w:bookmarkStart w:id="405" w:name="_Toc35425080"/>
      <w:r>
        <w:rPr>
          <w:rFonts w:hint="eastAsia" w:ascii="宋体" w:hAnsi="宋体" w:eastAsia="宋体" w:cs="宋体"/>
          <w:color w:val="auto"/>
          <w:highlight w:val="none"/>
        </w:rPr>
        <w:t>4.</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 xml:space="preserve"> 投标文件的修改与撤回</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14:paraId="37A9E08B">
      <w:pPr>
        <w:pageBreakBefore w:val="0"/>
        <w:widowControl w:val="0"/>
        <w:kinsoku/>
        <w:wordWrap/>
        <w:overflowPunct/>
        <w:topLinePunct w:val="0"/>
        <w:autoSpaceDE/>
        <w:autoSpaceDN/>
        <w:bidi w:val="0"/>
        <w:spacing w:line="420" w:lineRule="exact"/>
        <w:ind w:firstLine="422" w:firstLineChars="200"/>
        <w:jc w:val="left"/>
        <w:textAlignment w:val="auto"/>
        <w:rPr>
          <w:rFonts w:hint="eastAsia" w:ascii="宋体" w:hAnsi="宋体" w:eastAsia="宋体" w:cs="宋体"/>
          <w:color w:val="auto"/>
          <w:szCs w:val="21"/>
          <w:highlight w:val="none"/>
          <w:lang w:val="en-US" w:eastAsia="zh-CN"/>
        </w:rPr>
      </w:pPr>
      <w:r>
        <w:rPr>
          <w:rFonts w:hint="eastAsia" w:ascii="宋体" w:hAnsi="宋体" w:cs="宋体"/>
          <w:b/>
          <w:color w:val="auto"/>
          <w:szCs w:val="21"/>
          <w:highlight w:val="none"/>
        </w:rPr>
        <w:t>4.</w:t>
      </w:r>
      <w:r>
        <w:rPr>
          <w:rFonts w:hint="eastAsia" w:ascii="宋体" w:hAnsi="宋体" w:cs="宋体"/>
          <w:b/>
          <w:color w:val="auto"/>
          <w:szCs w:val="21"/>
          <w:highlight w:val="none"/>
          <w:lang w:val="en-US" w:eastAsia="zh-CN"/>
        </w:rPr>
        <w:t>2</w:t>
      </w:r>
      <w:r>
        <w:rPr>
          <w:rFonts w:hint="eastAsia" w:ascii="宋体" w:hAnsi="宋体" w:cs="宋体"/>
          <w:b/>
          <w:color w:val="auto"/>
          <w:szCs w:val="21"/>
          <w:highlight w:val="none"/>
        </w:rPr>
        <w:t xml:space="preserve">.1 </w:t>
      </w:r>
      <w:r>
        <w:rPr>
          <w:rFonts w:hint="eastAsia" w:ascii="宋体" w:hAnsi="宋体" w:eastAsia="宋体" w:cs="宋体"/>
          <w:color w:val="auto"/>
          <w:szCs w:val="21"/>
          <w:highlight w:val="none"/>
          <w:lang w:val="en-US" w:eastAsia="zh-CN"/>
        </w:rPr>
        <w:t>除投标人须知前附表另有规定外，投标人所递交的投标文件不予退还。</w:t>
      </w:r>
    </w:p>
    <w:p w14:paraId="079E8C54">
      <w:pPr>
        <w:pageBreakBefore w:val="0"/>
        <w:widowControl w:val="0"/>
        <w:kinsoku/>
        <w:wordWrap/>
        <w:overflowPunct/>
        <w:topLinePunct w:val="0"/>
        <w:autoSpaceDE/>
        <w:autoSpaceDN/>
        <w:bidi w:val="0"/>
        <w:spacing w:line="420" w:lineRule="exact"/>
        <w:ind w:firstLine="422" w:firstLineChars="200"/>
        <w:jc w:val="left"/>
        <w:textAlignment w:val="auto"/>
        <w:rPr>
          <w:rFonts w:ascii="宋体" w:hAnsi="宋体" w:cs="宋体"/>
          <w:color w:val="auto"/>
          <w:szCs w:val="21"/>
          <w:highlight w:val="none"/>
        </w:rPr>
      </w:pPr>
      <w:r>
        <w:rPr>
          <w:rFonts w:hint="eastAsia" w:ascii="宋体" w:hAnsi="宋体" w:eastAsia="宋体" w:cs="宋体"/>
          <w:b/>
          <w:color w:val="auto"/>
          <w:szCs w:val="21"/>
          <w:highlight w:val="none"/>
          <w:lang w:val="en-US" w:eastAsia="zh-CN"/>
        </w:rPr>
        <w:t>4.2.2</w:t>
      </w:r>
      <w:r>
        <w:rPr>
          <w:rFonts w:hint="eastAsia" w:ascii="宋体" w:hAnsi="宋体" w:eastAsia="宋体" w:cs="宋体"/>
          <w:color w:val="auto"/>
          <w:szCs w:val="21"/>
          <w:highlight w:val="none"/>
          <w:lang w:val="en-US" w:eastAsia="zh-CN"/>
        </w:rPr>
        <w:t xml:space="preserve"> 在规定的投标截止时间前，投标人可以撤回已递交的投标文件，并可修改后重新递交，开标时以投标截止时间前投标人最终递交的投标文件为准。</w:t>
      </w:r>
    </w:p>
    <w:p w14:paraId="1CD7EE7F">
      <w:pPr>
        <w:pStyle w:val="7"/>
        <w:pageBreakBefore w:val="0"/>
        <w:widowControl w:val="0"/>
        <w:kinsoku/>
        <w:wordWrap/>
        <w:overflowPunct/>
        <w:topLinePunct w:val="0"/>
        <w:autoSpaceDE/>
        <w:autoSpaceDN/>
        <w:bidi w:val="0"/>
        <w:spacing w:beforeLines="50" w:afterLines="50" w:line="420" w:lineRule="exact"/>
        <w:ind w:firstLine="482" w:firstLineChars="200"/>
        <w:textAlignment w:val="auto"/>
        <w:rPr>
          <w:rFonts w:ascii="宋体" w:hAnsi="宋体" w:eastAsia="宋体" w:cs="宋体"/>
          <w:color w:val="auto"/>
          <w:sz w:val="24"/>
          <w:szCs w:val="24"/>
          <w:highlight w:val="none"/>
        </w:rPr>
      </w:pPr>
      <w:bookmarkStart w:id="406" w:name="_Toc29639"/>
      <w:bookmarkStart w:id="407" w:name="_Toc144974527"/>
      <w:bookmarkStart w:id="408" w:name="_Toc506107295"/>
      <w:bookmarkStart w:id="409" w:name="_Toc15058874"/>
      <w:bookmarkStart w:id="410" w:name="_Toc152042335"/>
      <w:bookmarkStart w:id="411" w:name="_Toc246996203"/>
      <w:bookmarkStart w:id="412" w:name="_Toc246996946"/>
      <w:bookmarkStart w:id="413" w:name="_Toc179632577"/>
      <w:bookmarkStart w:id="414" w:name="_Toc247085717"/>
      <w:bookmarkStart w:id="415" w:name="_Toc152045559"/>
      <w:bookmarkStart w:id="416" w:name="_Toc78803348"/>
      <w:bookmarkStart w:id="417" w:name="_Toc324404842"/>
      <w:bookmarkStart w:id="418" w:name="_Toc35424915"/>
      <w:bookmarkStart w:id="419" w:name="_Toc35425081"/>
      <w:r>
        <w:rPr>
          <w:rFonts w:hint="eastAsia" w:ascii="宋体" w:hAnsi="宋体" w:eastAsia="宋体" w:cs="宋体"/>
          <w:color w:val="auto"/>
          <w:sz w:val="24"/>
          <w:szCs w:val="24"/>
          <w:highlight w:val="none"/>
        </w:rPr>
        <w:t>5. 开标</w:t>
      </w:r>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p w14:paraId="62C0E7AF">
      <w:pPr>
        <w:pStyle w:val="7"/>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420" w:name="_Toc15058875"/>
      <w:bookmarkStart w:id="421" w:name="_Toc35424916"/>
      <w:bookmarkStart w:id="422" w:name="_Toc152042336"/>
      <w:bookmarkStart w:id="423" w:name="_Toc13691"/>
      <w:bookmarkStart w:id="424" w:name="_Toc35425082"/>
      <w:bookmarkStart w:id="425" w:name="_Toc152045560"/>
      <w:bookmarkStart w:id="426" w:name="_Toc506107296"/>
      <w:bookmarkStart w:id="427" w:name="_Toc179632578"/>
      <w:bookmarkStart w:id="428" w:name="_Toc324404843"/>
      <w:bookmarkStart w:id="429" w:name="_Toc296602448"/>
      <w:bookmarkStart w:id="430" w:name="_Toc247085718"/>
      <w:bookmarkStart w:id="431" w:name="_Toc144974528"/>
      <w:bookmarkStart w:id="432" w:name="_Toc246996947"/>
      <w:bookmarkStart w:id="433" w:name="_Toc246996204"/>
      <w:bookmarkStart w:id="434" w:name="_Toc78803349"/>
      <w:r>
        <w:rPr>
          <w:rFonts w:hint="eastAsia" w:ascii="宋体" w:hAnsi="宋体" w:eastAsia="宋体" w:cs="宋体"/>
          <w:color w:val="auto"/>
          <w:highlight w:val="none"/>
        </w:rPr>
        <w:t>5.1 开标时间和地点</w:t>
      </w:r>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14:paraId="445C1425">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招标人在投标人须知前附表规定的投标截止时间（开标时间）和地点公开开标。</w:t>
      </w:r>
    </w:p>
    <w:p w14:paraId="18D6029D">
      <w:pPr>
        <w:pStyle w:val="7"/>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435" w:name="_Toc179632579"/>
      <w:bookmarkStart w:id="436" w:name="_Toc247085719"/>
      <w:bookmarkStart w:id="437" w:name="_Toc246996205"/>
      <w:bookmarkStart w:id="438" w:name="_Toc246996948"/>
      <w:bookmarkStart w:id="439" w:name="_Toc15058876"/>
      <w:bookmarkStart w:id="440" w:name="_Toc35425083"/>
      <w:bookmarkStart w:id="441" w:name="_Toc324404844"/>
      <w:bookmarkStart w:id="442" w:name="_Toc296602449"/>
      <w:bookmarkStart w:id="443" w:name="_Toc506107297"/>
      <w:bookmarkStart w:id="444" w:name="_Toc78803350"/>
      <w:bookmarkStart w:id="445" w:name="_Toc32451"/>
      <w:bookmarkStart w:id="446" w:name="_Toc152042337"/>
      <w:bookmarkStart w:id="447" w:name="_Toc35424917"/>
      <w:bookmarkStart w:id="448" w:name="_Toc144974529"/>
      <w:bookmarkStart w:id="449" w:name="_Toc152045561"/>
      <w:r>
        <w:rPr>
          <w:rFonts w:hint="eastAsia" w:ascii="宋体" w:hAnsi="宋体" w:eastAsia="宋体" w:cs="宋体"/>
          <w:color w:val="auto"/>
          <w:highlight w:val="none"/>
        </w:rPr>
        <w:t>5.2 开标程序</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p w14:paraId="117BD37E">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主持人按下列程序进行开标：</w:t>
      </w:r>
      <w:bookmarkStart w:id="450" w:name="_Toc324404845"/>
      <w:bookmarkStart w:id="451" w:name="_Toc296602450"/>
    </w:p>
    <w:p w14:paraId="79A2ECF2">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bookmarkStart w:id="452" w:name="_Toc15058877"/>
      <w:bookmarkStart w:id="453" w:name="_Toc506107298"/>
      <w:r>
        <w:rPr>
          <w:rFonts w:hint="eastAsia" w:ascii="宋体" w:hAnsi="宋体" w:cs="宋体"/>
          <w:color w:val="auto"/>
          <w:szCs w:val="21"/>
          <w:highlight w:val="none"/>
        </w:rPr>
        <w:t>（1）宣布开标纪律；</w:t>
      </w:r>
      <w:bookmarkEnd w:id="452"/>
    </w:p>
    <w:p w14:paraId="45407462">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bookmarkStart w:id="454" w:name="_Toc15058878"/>
      <w:r>
        <w:rPr>
          <w:rFonts w:hint="eastAsia" w:ascii="宋体" w:hAnsi="宋体" w:cs="宋体"/>
          <w:color w:val="auto"/>
          <w:szCs w:val="21"/>
          <w:highlight w:val="none"/>
        </w:rPr>
        <w:t>（2）宣布招标人、代理机构主持人等有关人员姓名；</w:t>
      </w:r>
      <w:bookmarkEnd w:id="454"/>
    </w:p>
    <w:p w14:paraId="5D45E6AE">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bookmarkStart w:id="455" w:name="_Toc15058881"/>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）公布投标人投标报价、质量目标、工期及其他内容，并记录在案；</w:t>
      </w:r>
      <w:bookmarkEnd w:id="455"/>
    </w:p>
    <w:p w14:paraId="4E2BAF23">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bookmarkStart w:id="456" w:name="_Toc15058882"/>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）开标结束。</w:t>
      </w:r>
      <w:bookmarkEnd w:id="456"/>
    </w:p>
    <w:bookmarkEnd w:id="450"/>
    <w:bookmarkEnd w:id="451"/>
    <w:bookmarkEnd w:id="453"/>
    <w:p w14:paraId="316F3050">
      <w:pPr>
        <w:pStyle w:val="7"/>
        <w:pageBreakBefore w:val="0"/>
        <w:widowControl w:val="0"/>
        <w:kinsoku/>
        <w:wordWrap/>
        <w:overflowPunct/>
        <w:topLinePunct w:val="0"/>
        <w:autoSpaceDE/>
        <w:autoSpaceDN/>
        <w:bidi w:val="0"/>
        <w:spacing w:beforeLines="50" w:afterLines="50" w:line="420" w:lineRule="exact"/>
        <w:ind w:firstLine="482" w:firstLineChars="200"/>
        <w:textAlignment w:val="auto"/>
        <w:rPr>
          <w:rFonts w:ascii="宋体" w:hAnsi="宋体" w:eastAsia="宋体" w:cs="宋体"/>
          <w:color w:val="auto"/>
          <w:sz w:val="24"/>
          <w:szCs w:val="24"/>
          <w:highlight w:val="none"/>
        </w:rPr>
      </w:pPr>
      <w:bookmarkStart w:id="457" w:name="_Toc324404846"/>
      <w:bookmarkStart w:id="458" w:name="_Toc152045562"/>
      <w:bookmarkStart w:id="459" w:name="_Toc144974530"/>
      <w:bookmarkStart w:id="460" w:name="_Toc35425085"/>
      <w:bookmarkStart w:id="461" w:name="_Toc152042338"/>
      <w:bookmarkStart w:id="462" w:name="_Toc35424919"/>
      <w:bookmarkStart w:id="463" w:name="_Toc179632580"/>
      <w:bookmarkStart w:id="464" w:name="_Toc20689"/>
      <w:bookmarkStart w:id="465" w:name="_Toc15058884"/>
      <w:bookmarkStart w:id="466" w:name="_Toc246996206"/>
      <w:bookmarkStart w:id="467" w:name="_Toc78803352"/>
      <w:bookmarkStart w:id="468" w:name="_Toc506107299"/>
      <w:bookmarkStart w:id="469" w:name="_Toc246996949"/>
      <w:bookmarkStart w:id="470" w:name="_Toc247085720"/>
      <w:r>
        <w:rPr>
          <w:rFonts w:hint="eastAsia" w:ascii="宋体" w:hAnsi="宋体" w:eastAsia="宋体" w:cs="宋体"/>
          <w:color w:val="auto"/>
          <w:sz w:val="24"/>
          <w:szCs w:val="24"/>
          <w:highlight w:val="none"/>
        </w:rPr>
        <w:t>6. 评标</w:t>
      </w:r>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p w14:paraId="45307A43">
      <w:pPr>
        <w:pStyle w:val="7"/>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471" w:name="_Toc144974531"/>
      <w:bookmarkStart w:id="472" w:name="_Toc78803353"/>
      <w:bookmarkStart w:id="473" w:name="_Toc14249"/>
      <w:bookmarkStart w:id="474" w:name="_Toc246996207"/>
      <w:bookmarkStart w:id="475" w:name="_Toc296602452"/>
      <w:bookmarkStart w:id="476" w:name="_Toc506107300"/>
      <w:bookmarkStart w:id="477" w:name="_Toc15058885"/>
      <w:bookmarkStart w:id="478" w:name="_Toc35425086"/>
      <w:bookmarkStart w:id="479" w:name="_Toc152042339"/>
      <w:bookmarkStart w:id="480" w:name="_Toc246996950"/>
      <w:bookmarkStart w:id="481" w:name="_Toc247085721"/>
      <w:bookmarkStart w:id="482" w:name="_Toc152045563"/>
      <w:bookmarkStart w:id="483" w:name="_Toc324404847"/>
      <w:bookmarkStart w:id="484" w:name="_Toc179632581"/>
      <w:bookmarkStart w:id="485" w:name="_Toc35424920"/>
      <w:r>
        <w:rPr>
          <w:rFonts w:hint="eastAsia" w:ascii="宋体" w:hAnsi="宋体" w:eastAsia="宋体" w:cs="宋体"/>
          <w:color w:val="auto"/>
          <w:highlight w:val="none"/>
        </w:rPr>
        <w:t>6.1 评标委员会</w:t>
      </w:r>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p>
    <w:p w14:paraId="24157F77">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6.1.1 评标由招标人依法组建的评标委员会负责。评标委员会由招标人或其委托的招标代理机构熟悉相关业务的代表，以及有关技术、经济等方面的专家组成。</w:t>
      </w:r>
    </w:p>
    <w:p w14:paraId="149AA567">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6.1.2 评标委员会成员有下列情形之一的，应当回避：</w:t>
      </w:r>
    </w:p>
    <w:p w14:paraId="40FE6B47">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（1）投标人或投标人主要负责人的近亲属；</w:t>
      </w:r>
    </w:p>
    <w:p w14:paraId="4A50F27F">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（2）项目主管部门或者行政监督部门的人员；</w:t>
      </w:r>
    </w:p>
    <w:p w14:paraId="4D5349CA">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（3）与投标人有经济利益关系；</w:t>
      </w:r>
    </w:p>
    <w:p w14:paraId="15257CA9">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（4）曾因在招标、评标以及其他与招标投标有关活动中从事违法行为而受过行政处罚或刑事处罚的；</w:t>
      </w:r>
    </w:p>
    <w:p w14:paraId="11E251C6">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（5）与投标人有其他利害关系。</w:t>
      </w:r>
    </w:p>
    <w:p w14:paraId="28F07C2B">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6.1.3评标过程中，评标委员会成员有回避事由、擅离职守或因健康等原因不能继续评标的， 招标人有权更换。被更换的评标委员会成员作出的评审结论无效，由更换后的评标委员会成员重新进行评审。</w:t>
      </w:r>
    </w:p>
    <w:p w14:paraId="395AEF17">
      <w:pPr>
        <w:pStyle w:val="7"/>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486" w:name="_Toc35424921"/>
      <w:bookmarkStart w:id="487" w:name="_Toc179632582"/>
      <w:bookmarkStart w:id="488" w:name="_Toc246996208"/>
      <w:bookmarkStart w:id="489" w:name="_Toc246996951"/>
      <w:bookmarkStart w:id="490" w:name="_Toc78803354"/>
      <w:bookmarkStart w:id="491" w:name="_Toc15058886"/>
      <w:bookmarkStart w:id="492" w:name="_Toc296602453"/>
      <w:bookmarkStart w:id="493" w:name="_Toc152045564"/>
      <w:bookmarkStart w:id="494" w:name="_Toc247085722"/>
      <w:bookmarkStart w:id="495" w:name="_Toc506107301"/>
      <w:bookmarkStart w:id="496" w:name="_Toc152042340"/>
      <w:bookmarkStart w:id="497" w:name="_Toc324404848"/>
      <w:bookmarkStart w:id="498" w:name="_Toc35425087"/>
      <w:bookmarkStart w:id="499" w:name="_Toc144974532"/>
      <w:bookmarkStart w:id="500" w:name="_Toc12948"/>
      <w:r>
        <w:rPr>
          <w:rFonts w:hint="eastAsia" w:ascii="宋体" w:hAnsi="宋体" w:eastAsia="宋体" w:cs="宋体"/>
          <w:color w:val="auto"/>
          <w:highlight w:val="none"/>
        </w:rPr>
        <w:t>6.2 评标原则</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14:paraId="3A50CAA4">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评标活动遵循公平、公正、科学和择优的原则。</w:t>
      </w:r>
    </w:p>
    <w:p w14:paraId="5B34F13A">
      <w:pPr>
        <w:pStyle w:val="7"/>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501" w:name="_Toc35424922"/>
      <w:bookmarkStart w:id="502" w:name="_Toc324404849"/>
      <w:bookmarkStart w:id="503" w:name="_Toc246996952"/>
      <w:bookmarkStart w:id="504" w:name="_Toc144974533"/>
      <w:bookmarkStart w:id="505" w:name="_Toc78803355"/>
      <w:bookmarkStart w:id="506" w:name="_Toc152042341"/>
      <w:bookmarkStart w:id="507" w:name="_Toc247085723"/>
      <w:bookmarkStart w:id="508" w:name="_Toc246996209"/>
      <w:bookmarkStart w:id="509" w:name="_Toc152045565"/>
      <w:bookmarkStart w:id="510" w:name="_Toc15058887"/>
      <w:bookmarkStart w:id="511" w:name="_Toc14892"/>
      <w:bookmarkStart w:id="512" w:name="_Toc296602454"/>
      <w:bookmarkStart w:id="513" w:name="_Toc506107302"/>
      <w:bookmarkStart w:id="514" w:name="_Toc179632583"/>
      <w:bookmarkStart w:id="515" w:name="_Toc35425088"/>
      <w:r>
        <w:rPr>
          <w:rFonts w:hint="eastAsia" w:ascii="宋体" w:hAnsi="宋体" w:eastAsia="宋体" w:cs="宋体"/>
          <w:color w:val="auto"/>
          <w:highlight w:val="none"/>
        </w:rPr>
        <w:t>6.3 评标</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14:paraId="6BD91017">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bookmarkStart w:id="516" w:name="_Toc246996953"/>
      <w:bookmarkStart w:id="517" w:name="_Toc152045566"/>
      <w:bookmarkStart w:id="518" w:name="_Toc324404850"/>
      <w:bookmarkStart w:id="519" w:name="_Toc144974534"/>
      <w:bookmarkStart w:id="520" w:name="_Toc247085724"/>
      <w:bookmarkStart w:id="521" w:name="_Toc179632584"/>
      <w:bookmarkStart w:id="522" w:name="_Toc152042342"/>
      <w:bookmarkStart w:id="523" w:name="_Toc246996210"/>
      <w:r>
        <w:rPr>
          <w:rFonts w:hint="eastAsia" w:ascii="宋体" w:hAnsi="宋体" w:cs="宋体"/>
          <w:color w:val="auto"/>
          <w:szCs w:val="21"/>
          <w:highlight w:val="none"/>
        </w:rPr>
        <w:t>6.3.1评标委员会按照第三章“评标办法”规定的方法、评审因素、标准和程序对投标文件进行评审。第三章“评标办法”没有规定的方法、评审因素和标准，不作为评标依据。</w:t>
      </w:r>
    </w:p>
    <w:p w14:paraId="0E5D3CE9">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6.3.2评标完成后，评标委员会应向招标人提交书面评标报告和中标候选人名单。评标委员会推荐中标候选人的人数见投标人须知前附表。</w:t>
      </w:r>
    </w:p>
    <w:p w14:paraId="4E4A6590">
      <w:pPr>
        <w:pStyle w:val="7"/>
        <w:pageBreakBefore w:val="0"/>
        <w:widowControl w:val="0"/>
        <w:kinsoku/>
        <w:wordWrap/>
        <w:overflowPunct/>
        <w:topLinePunct w:val="0"/>
        <w:autoSpaceDE/>
        <w:autoSpaceDN/>
        <w:bidi w:val="0"/>
        <w:spacing w:beforeLines="50" w:afterLines="50" w:line="420" w:lineRule="exact"/>
        <w:ind w:firstLine="482" w:firstLineChars="200"/>
        <w:textAlignment w:val="auto"/>
        <w:rPr>
          <w:rFonts w:ascii="宋体" w:hAnsi="宋体" w:eastAsia="宋体" w:cs="宋体"/>
          <w:color w:val="auto"/>
          <w:sz w:val="24"/>
          <w:szCs w:val="24"/>
          <w:highlight w:val="none"/>
        </w:rPr>
      </w:pPr>
      <w:bookmarkStart w:id="524" w:name="_Toc15058888"/>
      <w:bookmarkStart w:id="525" w:name="_Toc26182"/>
      <w:bookmarkStart w:id="526" w:name="_Toc78803356"/>
      <w:bookmarkStart w:id="527" w:name="_Toc35424923"/>
      <w:bookmarkStart w:id="528" w:name="_Toc506107303"/>
      <w:bookmarkStart w:id="529" w:name="_Toc35425089"/>
      <w:r>
        <w:rPr>
          <w:rFonts w:hint="eastAsia" w:ascii="宋体" w:hAnsi="宋体" w:eastAsia="宋体" w:cs="宋体"/>
          <w:color w:val="auto"/>
          <w:sz w:val="24"/>
          <w:szCs w:val="24"/>
          <w:highlight w:val="none"/>
        </w:rPr>
        <w:t>7. 合同授予</w:t>
      </w:r>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p w14:paraId="3863688F">
      <w:pPr>
        <w:pStyle w:val="7"/>
        <w:pageBreakBefore w:val="0"/>
        <w:widowControl w:val="0"/>
        <w:kinsoku/>
        <w:wordWrap/>
        <w:overflowPunct/>
        <w:topLinePunct w:val="0"/>
        <w:autoSpaceDE/>
        <w:autoSpaceDN/>
        <w:bidi w:val="0"/>
        <w:spacing w:line="420" w:lineRule="exact"/>
        <w:ind w:firstLine="422" w:firstLineChars="200"/>
        <w:textAlignment w:val="auto"/>
        <w:rPr>
          <w:rFonts w:hint="eastAsia" w:ascii="宋体" w:hAnsi="宋体" w:eastAsia="宋体" w:cs="宋体"/>
          <w:color w:val="auto"/>
          <w:highlight w:val="none"/>
        </w:rPr>
      </w:pPr>
      <w:bookmarkStart w:id="530" w:name="_Toc15058890"/>
      <w:bookmarkStart w:id="531" w:name="_Toc506107305"/>
      <w:bookmarkStart w:id="532" w:name="_Toc324404852"/>
      <w:bookmarkStart w:id="533" w:name="_Toc83301726"/>
      <w:bookmarkStart w:id="534" w:name="_Toc296602457"/>
      <w:bookmarkStart w:id="535" w:name="_Toc60061472"/>
      <w:bookmarkStart w:id="536" w:name="_Toc95223374"/>
      <w:bookmarkStart w:id="537" w:name="_Toc4204"/>
      <w:bookmarkStart w:id="538" w:name="_Toc35425093"/>
      <w:bookmarkStart w:id="539" w:name="_Toc324404853"/>
      <w:bookmarkStart w:id="540" w:name="_Toc15058891"/>
      <w:bookmarkStart w:id="541" w:name="_Toc246996955"/>
      <w:bookmarkStart w:id="542" w:name="_Toc35424927"/>
      <w:bookmarkStart w:id="543" w:name="_Toc78803360"/>
      <w:bookmarkStart w:id="544" w:name="_Toc179632586"/>
      <w:bookmarkStart w:id="545" w:name="_Toc14692"/>
      <w:bookmarkStart w:id="546" w:name="_Toc506107306"/>
      <w:bookmarkStart w:id="547" w:name="_Toc152042344"/>
      <w:bookmarkStart w:id="548" w:name="_Toc152045568"/>
      <w:bookmarkStart w:id="549" w:name="_Toc144974536"/>
      <w:bookmarkStart w:id="550" w:name="_Toc247085726"/>
      <w:bookmarkStart w:id="551" w:name="_Toc246996212"/>
      <w:bookmarkStart w:id="552" w:name="_Toc296602458"/>
      <w:r>
        <w:rPr>
          <w:rFonts w:hint="eastAsia" w:ascii="宋体" w:hAnsi="宋体" w:eastAsia="宋体" w:cs="宋体"/>
          <w:color w:val="auto"/>
          <w:highlight w:val="none"/>
        </w:rPr>
        <w:t>7.1 中标候选人公示</w:t>
      </w:r>
      <w:bookmarkEnd w:id="530"/>
      <w:bookmarkEnd w:id="531"/>
      <w:bookmarkEnd w:id="532"/>
      <w:bookmarkEnd w:id="533"/>
      <w:bookmarkEnd w:id="534"/>
      <w:bookmarkEnd w:id="535"/>
      <w:bookmarkEnd w:id="536"/>
    </w:p>
    <w:p w14:paraId="102BDE27">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招标人在收到评标报告之日起3日内，按照投标人须知前附表规定的公示媒介和期限依法公示。中标候选人公示期不得少于3日。</w:t>
      </w:r>
    </w:p>
    <w:p w14:paraId="46AB7F4D">
      <w:pPr>
        <w:pStyle w:val="7"/>
        <w:pageBreakBefore w:val="0"/>
        <w:widowControl w:val="0"/>
        <w:kinsoku/>
        <w:wordWrap/>
        <w:overflowPunct/>
        <w:topLinePunct w:val="0"/>
        <w:autoSpaceDE/>
        <w:autoSpaceDN/>
        <w:bidi w:val="0"/>
        <w:spacing w:line="420" w:lineRule="exact"/>
        <w:ind w:firstLine="422"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7.2 评标结果异议</w:t>
      </w:r>
    </w:p>
    <w:p w14:paraId="2F371335">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投标人或其他利害关系人对评标结果有异议的，应在中标候选人公示期内提出。招标人将在收到异议之日起3日内作出答复；作出答复前，将暂停招标投标活动。</w:t>
      </w:r>
    </w:p>
    <w:bookmarkEnd w:id="537"/>
    <w:p w14:paraId="547C84D9">
      <w:pPr>
        <w:pStyle w:val="7"/>
        <w:pageBreakBefore w:val="0"/>
        <w:widowControl w:val="0"/>
        <w:kinsoku/>
        <w:wordWrap/>
        <w:overflowPunct/>
        <w:topLinePunct w:val="0"/>
        <w:autoSpaceDE/>
        <w:autoSpaceDN/>
        <w:bidi w:val="0"/>
        <w:spacing w:line="420" w:lineRule="exact"/>
        <w:ind w:firstLine="422"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7.3 中标候选人履约能力审查</w:t>
      </w:r>
    </w:p>
    <w:p w14:paraId="23540BE6">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中标候选人的经营、财务状况发生较大变化或者存在违法行为，招标人认为可能影响其履约能力的，应当在发出中标通知书前由原评标委员会按照招标文件规定的标准和方法审查确认。</w:t>
      </w:r>
    </w:p>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14:paraId="09307C57">
      <w:pPr>
        <w:pStyle w:val="7"/>
        <w:pageBreakBefore w:val="0"/>
        <w:widowControl w:val="0"/>
        <w:kinsoku/>
        <w:wordWrap/>
        <w:overflowPunct/>
        <w:topLinePunct w:val="0"/>
        <w:autoSpaceDE/>
        <w:autoSpaceDN/>
        <w:bidi w:val="0"/>
        <w:spacing w:line="420" w:lineRule="exact"/>
        <w:ind w:firstLine="422" w:firstLineChars="200"/>
        <w:textAlignment w:val="auto"/>
        <w:rPr>
          <w:rFonts w:hint="eastAsia" w:ascii="宋体" w:hAnsi="宋体" w:eastAsia="宋体" w:cs="宋体"/>
          <w:color w:val="auto"/>
          <w:highlight w:val="none"/>
        </w:rPr>
      </w:pPr>
      <w:bookmarkStart w:id="553" w:name="_Toc95223375"/>
      <w:bookmarkStart w:id="554" w:name="_Toc83301727"/>
      <w:bookmarkStart w:id="555" w:name="_Toc60061474"/>
      <w:bookmarkStart w:id="556" w:name="_Toc35424930"/>
      <w:bookmarkStart w:id="557" w:name="_Toc11010"/>
      <w:bookmarkStart w:id="558" w:name="_Toc506107308"/>
      <w:bookmarkStart w:id="559" w:name="_Toc179632588"/>
      <w:bookmarkStart w:id="560" w:name="_Toc78803363"/>
      <w:bookmarkStart w:id="561" w:name="_Toc35425096"/>
      <w:bookmarkStart w:id="562" w:name="_Toc15058893"/>
      <w:bookmarkStart w:id="563" w:name="_Toc296602460"/>
      <w:bookmarkStart w:id="564" w:name="_Toc152045570"/>
      <w:bookmarkStart w:id="565" w:name="_Toc246996214"/>
      <w:bookmarkStart w:id="566" w:name="_Toc246996957"/>
      <w:bookmarkStart w:id="567" w:name="_Toc152042346"/>
      <w:bookmarkStart w:id="568" w:name="_Toc144974538"/>
      <w:bookmarkStart w:id="569" w:name="_Toc324404855"/>
      <w:bookmarkStart w:id="570" w:name="_Toc247085728"/>
      <w:r>
        <w:rPr>
          <w:rFonts w:hint="eastAsia" w:ascii="宋体" w:hAnsi="宋体" w:eastAsia="宋体" w:cs="宋体"/>
          <w:color w:val="auto"/>
          <w:highlight w:val="none"/>
        </w:rPr>
        <w:t>7.</w:t>
      </w:r>
      <w:r>
        <w:rPr>
          <w:rFonts w:hint="eastAsia" w:ascii="宋体" w:hAnsi="宋体" w:eastAsia="宋体" w:cs="宋体"/>
          <w:color w:val="auto"/>
          <w:highlight w:val="none"/>
          <w:lang w:val="en-US" w:eastAsia="zh-CN"/>
        </w:rPr>
        <w:t xml:space="preserve">4 </w:t>
      </w:r>
      <w:r>
        <w:rPr>
          <w:rFonts w:hint="eastAsia" w:ascii="宋体" w:hAnsi="宋体" w:eastAsia="宋体" w:cs="宋体"/>
          <w:color w:val="auto"/>
          <w:highlight w:val="none"/>
        </w:rPr>
        <w:t>定标</w:t>
      </w:r>
      <w:bookmarkEnd w:id="553"/>
      <w:bookmarkEnd w:id="554"/>
    </w:p>
    <w:p w14:paraId="2ED17000">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按照投标人须知前附表的规定，招标人或招标人授权的评标委员会依法确定中标人。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14:paraId="498394EB">
      <w:pPr>
        <w:pStyle w:val="7"/>
        <w:pageBreakBefore w:val="0"/>
        <w:widowControl w:val="0"/>
        <w:kinsoku/>
        <w:wordWrap/>
        <w:overflowPunct/>
        <w:topLinePunct w:val="0"/>
        <w:autoSpaceDE/>
        <w:autoSpaceDN/>
        <w:bidi w:val="0"/>
        <w:spacing w:line="420" w:lineRule="exact"/>
        <w:ind w:firstLine="422" w:firstLineChars="200"/>
        <w:textAlignment w:val="auto"/>
        <w:rPr>
          <w:rFonts w:hint="eastAsia" w:ascii="宋体" w:hAnsi="宋体" w:eastAsia="宋体" w:cs="宋体"/>
          <w:color w:val="auto"/>
          <w:highlight w:val="none"/>
        </w:rPr>
      </w:pPr>
      <w:bookmarkStart w:id="571" w:name="_Toc95223376"/>
      <w:bookmarkStart w:id="572" w:name="_Toc83301728"/>
      <w:r>
        <w:rPr>
          <w:rFonts w:hint="eastAsia" w:ascii="宋体" w:hAnsi="宋体" w:eastAsia="宋体" w:cs="宋体"/>
          <w:color w:val="auto"/>
          <w:highlight w:val="none"/>
        </w:rPr>
        <w:t>7.</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 xml:space="preserve"> 中标通知</w:t>
      </w:r>
      <w:bookmarkEnd w:id="555"/>
      <w:bookmarkEnd w:id="571"/>
      <w:bookmarkEnd w:id="572"/>
    </w:p>
    <w:p w14:paraId="7EF5C742">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在本招标文件规定的投标有效期内，招标人向中标人发出中标通知书，同时将中标结果通知未中标的投标人。</w:t>
      </w:r>
    </w:p>
    <w:p w14:paraId="5450A6BB">
      <w:pPr>
        <w:pStyle w:val="7"/>
        <w:pageBreakBefore w:val="0"/>
        <w:widowControl w:val="0"/>
        <w:kinsoku/>
        <w:wordWrap/>
        <w:overflowPunct/>
        <w:topLinePunct w:val="0"/>
        <w:autoSpaceDE/>
        <w:autoSpaceDN/>
        <w:bidi w:val="0"/>
        <w:spacing w:line="420" w:lineRule="exact"/>
        <w:ind w:firstLine="422" w:firstLineChars="200"/>
        <w:textAlignment w:val="auto"/>
        <w:rPr>
          <w:rFonts w:hint="eastAsia" w:ascii="宋体" w:hAnsi="宋体" w:eastAsia="宋体" w:cs="宋体"/>
          <w:color w:val="auto"/>
          <w:highlight w:val="none"/>
        </w:rPr>
      </w:pPr>
      <w:bookmarkStart w:id="573" w:name="_Toc95223377"/>
      <w:r>
        <w:rPr>
          <w:rFonts w:hint="eastAsia" w:ascii="宋体" w:hAnsi="宋体" w:eastAsia="宋体" w:cs="宋体"/>
          <w:color w:val="auto"/>
          <w:highlight w:val="none"/>
        </w:rPr>
        <w:t>7.</w:t>
      </w:r>
      <w:r>
        <w:rPr>
          <w:rFonts w:hint="eastAsia" w:ascii="宋体" w:hAnsi="宋体" w:eastAsia="宋体" w:cs="宋体"/>
          <w:color w:val="auto"/>
          <w:highlight w:val="none"/>
          <w:lang w:val="en-US" w:eastAsia="zh-CN"/>
        </w:rPr>
        <w:t xml:space="preserve">6 </w:t>
      </w:r>
      <w:r>
        <w:rPr>
          <w:rFonts w:hint="eastAsia" w:ascii="宋体" w:hAnsi="宋体" w:eastAsia="宋体" w:cs="宋体"/>
          <w:color w:val="auto"/>
          <w:highlight w:val="none"/>
        </w:rPr>
        <w:t>中标结果公示</w:t>
      </w:r>
      <w:bookmarkEnd w:id="573"/>
    </w:p>
    <w:p w14:paraId="2C7AD834">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招标人在确定中标人之日起3日内，按照投标人须知前附表规定的公示媒介和期限依法公示中标结果。</w:t>
      </w:r>
    </w:p>
    <w:p w14:paraId="054492CA">
      <w:pPr>
        <w:pStyle w:val="7"/>
        <w:pageBreakBefore w:val="0"/>
        <w:widowControl w:val="0"/>
        <w:kinsoku/>
        <w:wordWrap/>
        <w:overflowPunct/>
        <w:topLinePunct w:val="0"/>
        <w:autoSpaceDE/>
        <w:autoSpaceDN/>
        <w:bidi w:val="0"/>
        <w:spacing w:line="420" w:lineRule="exact"/>
        <w:ind w:firstLine="422" w:firstLineChars="200"/>
        <w:textAlignment w:val="auto"/>
        <w:rPr>
          <w:rFonts w:hint="eastAsia" w:ascii="宋体" w:hAnsi="宋体" w:eastAsia="宋体" w:cs="宋体"/>
          <w:color w:val="auto"/>
          <w:highlight w:val="none"/>
        </w:rPr>
      </w:pPr>
      <w:bookmarkStart w:id="574" w:name="_Toc296602459"/>
      <w:bookmarkStart w:id="575" w:name="_Toc506107307"/>
      <w:bookmarkStart w:id="576" w:name="_Toc60061476"/>
      <w:bookmarkStart w:id="577" w:name="_Toc83301730"/>
      <w:bookmarkStart w:id="578" w:name="_Toc95223378"/>
      <w:bookmarkStart w:id="579" w:name="_Toc324404854"/>
      <w:bookmarkStart w:id="580" w:name="_Toc144974537"/>
      <w:bookmarkStart w:id="581" w:name="_Toc152045569"/>
      <w:bookmarkStart w:id="582" w:name="_Toc152042345"/>
      <w:bookmarkStart w:id="583" w:name="_Toc246996213"/>
      <w:bookmarkStart w:id="584" w:name="_Toc247085727"/>
      <w:bookmarkStart w:id="585" w:name="_Toc179632587"/>
      <w:bookmarkStart w:id="586" w:name="_Toc15058892"/>
      <w:bookmarkStart w:id="587" w:name="_Toc246996956"/>
      <w:r>
        <w:rPr>
          <w:rFonts w:hint="eastAsia" w:ascii="宋体" w:hAnsi="宋体" w:eastAsia="宋体" w:cs="宋体"/>
          <w:color w:val="auto"/>
          <w:highlight w:val="none"/>
        </w:rPr>
        <w:t>7.8 履约担保</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p>
    <w:p w14:paraId="51C53638">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7.8.1在签订合同前，中标人应按投标人须知前附表规定的担保形式和招标文件第</w:t>
      </w:r>
      <w:r>
        <w:rPr>
          <w:rFonts w:hint="eastAsia" w:ascii="宋体" w:hAnsi="宋体" w:eastAsia="宋体" w:cs="宋体"/>
          <w:color w:val="auto"/>
          <w:szCs w:val="21"/>
          <w:highlight w:val="none"/>
          <w:lang w:val="en-US" w:eastAsia="zh-CN"/>
        </w:rPr>
        <w:t>四</w:t>
      </w:r>
      <w:r>
        <w:rPr>
          <w:rFonts w:hint="eastAsia" w:ascii="宋体" w:hAnsi="宋体" w:eastAsia="宋体" w:cs="宋体"/>
          <w:color w:val="auto"/>
          <w:szCs w:val="21"/>
          <w:highlight w:val="none"/>
        </w:rPr>
        <w:t>章“合同条款及格式”规定的或者事先经过招标人书面认可的履约担保格式向招标人提交履约担保。联合体中标的，其履约担保应符合投标人须知前附表规定的金额、担保形式和招标文件第</w:t>
      </w:r>
      <w:r>
        <w:rPr>
          <w:rFonts w:hint="eastAsia" w:ascii="宋体" w:hAnsi="宋体" w:eastAsia="宋体" w:cs="宋体"/>
          <w:color w:val="auto"/>
          <w:szCs w:val="21"/>
          <w:highlight w:val="none"/>
          <w:lang w:val="en-US" w:eastAsia="zh-CN"/>
        </w:rPr>
        <w:t>四</w:t>
      </w:r>
      <w:r>
        <w:rPr>
          <w:rFonts w:hint="eastAsia" w:ascii="宋体" w:hAnsi="宋体" w:eastAsia="宋体" w:cs="宋体"/>
          <w:color w:val="auto"/>
          <w:szCs w:val="21"/>
          <w:highlight w:val="none"/>
        </w:rPr>
        <w:t>章“合同条款及格式”规定的履约担保格式要求。</w:t>
      </w:r>
    </w:p>
    <w:p w14:paraId="675710B6">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7.8.2 中标人不能按本章第7.8.1项要求提交履约担保的，视为放弃中标，其投标保证金不予退还，给招标人造成的损失超过投标保证金数额的，中标人还应当对超过部分予以赔偿。</w:t>
      </w:r>
    </w:p>
    <w:p w14:paraId="43642630">
      <w:pPr>
        <w:pStyle w:val="7"/>
        <w:pageBreakBefore w:val="0"/>
        <w:widowControl w:val="0"/>
        <w:kinsoku/>
        <w:wordWrap/>
        <w:overflowPunct/>
        <w:topLinePunct w:val="0"/>
        <w:autoSpaceDE/>
        <w:autoSpaceDN/>
        <w:bidi w:val="0"/>
        <w:spacing w:line="420" w:lineRule="exact"/>
        <w:ind w:firstLine="422" w:firstLineChars="200"/>
        <w:textAlignment w:val="auto"/>
        <w:rPr>
          <w:rFonts w:hint="eastAsia" w:ascii="宋体" w:hAnsi="宋体" w:eastAsia="宋体" w:cs="宋体"/>
          <w:color w:val="auto"/>
          <w:highlight w:val="none"/>
        </w:rPr>
      </w:pPr>
      <w:bookmarkStart w:id="588" w:name="_Toc60061477"/>
      <w:bookmarkStart w:id="589" w:name="_Toc83301731"/>
      <w:bookmarkStart w:id="590" w:name="_Toc95223379"/>
      <w:r>
        <w:rPr>
          <w:rFonts w:hint="eastAsia" w:ascii="宋体" w:hAnsi="宋体" w:eastAsia="宋体" w:cs="宋体"/>
          <w:color w:val="auto"/>
          <w:highlight w:val="none"/>
        </w:rPr>
        <w:t>7.9 签订合同</w:t>
      </w:r>
      <w:bookmarkEnd w:id="588"/>
      <w:bookmarkEnd w:id="589"/>
      <w:bookmarkEnd w:id="590"/>
    </w:p>
    <w:p w14:paraId="2E234E49">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7.9.1本招标工程的施工合同将授予按本须知第7.</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款规定所确定的中标人。</w:t>
      </w:r>
    </w:p>
    <w:p w14:paraId="35251914">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7.9.2招标人和中标人应当自中标通知书发出之日起30天内，根据招标文件和中标人的投标文件订立书面合同。中标人无正当理由拒签合同的，在签订合同时向招标人提出附加条件，或不按照招标文件要求提交履约保证金的，招标人取消其中标资格，其投标保证金不予退还；给招标人造成的损失超过投标保证金数额的，中标人还应当对超过部分予以赔偿。</w:t>
      </w:r>
    </w:p>
    <w:p w14:paraId="1EB108EC">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7.9.3 发出中标通知书后，招标人无正当理由拒签合同的，招标人向中标人退还投标保证金；给中标人造成损失的，还应当赔偿损失。</w:t>
      </w:r>
    </w:p>
    <w:p w14:paraId="4E095579">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7.9.4 除法定情形外，建设工程合同履行期间项目经理（建造师）不得更换。项目经理（建造师）确需变更的，应根据招标文件要求，变更后的项目经理（建造师）不低于投标文件中拟派项目经理（建造师）的资格条件。</w:t>
      </w:r>
    </w:p>
    <w:p w14:paraId="0E119012">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7.9.5 联合体中标的，联合体各方应当共同与招标人签订合同，就中标项目向招标人承担连带责任。</w:t>
      </w:r>
    </w:p>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14:paraId="48C80B54">
      <w:pPr>
        <w:pStyle w:val="7"/>
        <w:pageBreakBefore w:val="0"/>
        <w:widowControl w:val="0"/>
        <w:kinsoku/>
        <w:wordWrap/>
        <w:overflowPunct/>
        <w:topLinePunct w:val="0"/>
        <w:autoSpaceDE/>
        <w:autoSpaceDN/>
        <w:bidi w:val="0"/>
        <w:spacing w:beforeLines="50" w:afterLines="50" w:line="420" w:lineRule="exact"/>
        <w:ind w:firstLine="422" w:firstLineChars="200"/>
        <w:textAlignment w:val="auto"/>
        <w:rPr>
          <w:rFonts w:hint="eastAsia" w:ascii="宋体" w:hAnsi="宋体" w:eastAsia="宋体" w:cs="宋体"/>
          <w:color w:val="auto"/>
          <w:highlight w:val="none"/>
        </w:rPr>
      </w:pPr>
      <w:bookmarkStart w:id="591" w:name="_Toc144974539"/>
      <w:bookmarkStart w:id="592" w:name="_Toc152042347"/>
      <w:bookmarkStart w:id="593" w:name="_Toc179632589"/>
      <w:bookmarkStart w:id="594" w:name="_Toc60061478"/>
      <w:bookmarkStart w:id="595" w:name="_Toc83301732"/>
      <w:bookmarkStart w:id="596" w:name="_Toc152045571"/>
      <w:bookmarkStart w:id="597" w:name="_Toc95223381"/>
      <w:bookmarkStart w:id="598" w:name="_Toc26974"/>
      <w:bookmarkStart w:id="599" w:name="_Toc25375"/>
      <w:bookmarkStart w:id="600" w:name="_Toc31686"/>
      <w:bookmarkStart w:id="601" w:name="_Toc78803367"/>
      <w:bookmarkStart w:id="602" w:name="_Toc35424931"/>
      <w:bookmarkStart w:id="603" w:name="_Toc35425097"/>
      <w:bookmarkStart w:id="604" w:name="_Toc324404864"/>
      <w:bookmarkStart w:id="605" w:name="_Toc35425105"/>
      <w:bookmarkStart w:id="606" w:name="_Toc15058902"/>
      <w:bookmarkStart w:id="607" w:name="_Toc506107317"/>
      <w:bookmarkStart w:id="608" w:name="_Toc35424939"/>
      <w:bookmarkStart w:id="609" w:name="_Toc296602475"/>
      <w:r>
        <w:rPr>
          <w:rFonts w:hint="eastAsia" w:ascii="宋体" w:hAnsi="宋体" w:eastAsia="宋体" w:cs="宋体"/>
          <w:color w:val="auto"/>
          <w:highlight w:val="none"/>
        </w:rPr>
        <w:t>8. 重新招标和不再招标</w:t>
      </w:r>
      <w:bookmarkEnd w:id="591"/>
      <w:bookmarkEnd w:id="592"/>
      <w:bookmarkEnd w:id="593"/>
      <w:bookmarkEnd w:id="594"/>
      <w:bookmarkEnd w:id="595"/>
      <w:bookmarkEnd w:id="596"/>
      <w:bookmarkEnd w:id="597"/>
    </w:p>
    <w:p w14:paraId="28CCD208">
      <w:pPr>
        <w:pStyle w:val="7"/>
        <w:pageBreakBefore w:val="0"/>
        <w:widowControl w:val="0"/>
        <w:kinsoku/>
        <w:wordWrap/>
        <w:overflowPunct/>
        <w:topLinePunct w:val="0"/>
        <w:autoSpaceDE/>
        <w:autoSpaceDN/>
        <w:bidi w:val="0"/>
        <w:spacing w:line="420" w:lineRule="exact"/>
        <w:ind w:firstLine="422" w:firstLineChars="200"/>
        <w:textAlignment w:val="auto"/>
        <w:rPr>
          <w:rFonts w:hint="eastAsia" w:ascii="宋体" w:hAnsi="宋体" w:eastAsia="宋体" w:cs="宋体"/>
          <w:color w:val="auto"/>
          <w:highlight w:val="none"/>
        </w:rPr>
      </w:pPr>
      <w:bookmarkStart w:id="610" w:name="_Toc60061479"/>
      <w:bookmarkStart w:id="611" w:name="_Toc179632590"/>
      <w:bookmarkStart w:id="612" w:name="_Toc95223382"/>
      <w:bookmarkStart w:id="613" w:name="_Toc83301733"/>
      <w:bookmarkStart w:id="614" w:name="_Toc144974540"/>
      <w:bookmarkStart w:id="615" w:name="_Toc152045572"/>
      <w:bookmarkStart w:id="616" w:name="_Toc152042348"/>
      <w:r>
        <w:rPr>
          <w:rFonts w:hint="eastAsia" w:ascii="宋体" w:hAnsi="宋体" w:eastAsia="宋体" w:cs="宋体"/>
          <w:color w:val="auto"/>
          <w:highlight w:val="none"/>
        </w:rPr>
        <w:t>8.1 重新招标</w:t>
      </w:r>
      <w:bookmarkEnd w:id="610"/>
      <w:bookmarkEnd w:id="611"/>
      <w:bookmarkEnd w:id="612"/>
      <w:bookmarkEnd w:id="613"/>
      <w:bookmarkEnd w:id="614"/>
      <w:bookmarkEnd w:id="615"/>
      <w:bookmarkEnd w:id="616"/>
    </w:p>
    <w:p w14:paraId="0FD05EB3">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依法必须招标的项目有下列情形之一的，招标人将重新招标：</w:t>
      </w:r>
    </w:p>
    <w:p w14:paraId="6E941A5B">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（1）投标截止时间止，投标人少于3个的；</w:t>
      </w:r>
    </w:p>
    <w:p w14:paraId="5A4090B5">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（2）经评标委员会评审后否决所有投标的；</w:t>
      </w:r>
    </w:p>
    <w:p w14:paraId="3D9D7EAF">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（3）中标候选人均未与招标人签订合同的；</w:t>
      </w:r>
    </w:p>
    <w:p w14:paraId="26FB91E0">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（4）法律、法规规定的其他情形。</w:t>
      </w:r>
    </w:p>
    <w:p w14:paraId="0DABE59E">
      <w:pPr>
        <w:pStyle w:val="7"/>
        <w:pageBreakBefore w:val="0"/>
        <w:widowControl w:val="0"/>
        <w:kinsoku/>
        <w:wordWrap/>
        <w:overflowPunct/>
        <w:topLinePunct w:val="0"/>
        <w:autoSpaceDE/>
        <w:autoSpaceDN/>
        <w:bidi w:val="0"/>
        <w:spacing w:line="420" w:lineRule="exact"/>
        <w:ind w:firstLine="422" w:firstLineChars="200"/>
        <w:textAlignment w:val="auto"/>
        <w:rPr>
          <w:rFonts w:hint="eastAsia" w:ascii="宋体" w:hAnsi="宋体" w:eastAsia="宋体" w:cs="宋体"/>
          <w:color w:val="auto"/>
          <w:highlight w:val="none"/>
        </w:rPr>
      </w:pPr>
      <w:bookmarkStart w:id="617" w:name="_Toc152045573"/>
      <w:bookmarkStart w:id="618" w:name="_Toc95223383"/>
      <w:bookmarkStart w:id="619" w:name="_Toc152042349"/>
      <w:bookmarkStart w:id="620" w:name="_Toc60061480"/>
      <w:bookmarkStart w:id="621" w:name="_Toc144974541"/>
      <w:bookmarkStart w:id="622" w:name="_Toc83301734"/>
      <w:bookmarkStart w:id="623" w:name="_Toc179632591"/>
      <w:r>
        <w:rPr>
          <w:rFonts w:hint="eastAsia" w:ascii="宋体" w:hAnsi="宋体" w:eastAsia="宋体" w:cs="宋体"/>
          <w:color w:val="auto"/>
          <w:highlight w:val="none"/>
        </w:rPr>
        <w:t>8.2 不再招标</w:t>
      </w:r>
      <w:bookmarkEnd w:id="617"/>
      <w:bookmarkEnd w:id="618"/>
      <w:bookmarkEnd w:id="619"/>
      <w:bookmarkEnd w:id="620"/>
      <w:bookmarkEnd w:id="621"/>
      <w:bookmarkEnd w:id="622"/>
      <w:bookmarkEnd w:id="623"/>
    </w:p>
    <w:p w14:paraId="2EC49E51">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重新招标后投标人仍少于3个或者所有投标被否决的，属于必须审批或核准的工程建设项目，经原审批或核准部门批准后不再进行招标。</w:t>
      </w:r>
    </w:p>
    <w:p w14:paraId="3B4B8029">
      <w:pPr>
        <w:pStyle w:val="7"/>
        <w:pageBreakBefore w:val="0"/>
        <w:widowControl w:val="0"/>
        <w:kinsoku/>
        <w:wordWrap/>
        <w:overflowPunct/>
        <w:topLinePunct w:val="0"/>
        <w:autoSpaceDE/>
        <w:autoSpaceDN/>
        <w:bidi w:val="0"/>
        <w:spacing w:beforeLines="50" w:afterLines="50" w:line="420" w:lineRule="exact"/>
        <w:ind w:firstLine="422"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9. 纪律和监督</w:t>
      </w:r>
      <w:bookmarkEnd w:id="598"/>
      <w:bookmarkEnd w:id="599"/>
      <w:bookmarkEnd w:id="600"/>
      <w:bookmarkEnd w:id="601"/>
      <w:bookmarkEnd w:id="602"/>
      <w:bookmarkEnd w:id="603"/>
    </w:p>
    <w:p w14:paraId="09D49004">
      <w:pPr>
        <w:pStyle w:val="7"/>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624" w:name="_Toc246996219"/>
      <w:bookmarkStart w:id="625" w:name="_Toc152045575"/>
      <w:bookmarkStart w:id="626" w:name="_Toc144974543"/>
      <w:bookmarkStart w:id="627" w:name="_Toc15058895"/>
      <w:bookmarkStart w:id="628" w:name="_Toc35424932"/>
      <w:bookmarkStart w:id="629" w:name="_Toc296602462"/>
      <w:bookmarkStart w:id="630" w:name="_Toc246996962"/>
      <w:bookmarkStart w:id="631" w:name="_Toc247085733"/>
      <w:bookmarkStart w:id="632" w:name="_Toc179632593"/>
      <w:bookmarkStart w:id="633" w:name="_Toc324404857"/>
      <w:bookmarkStart w:id="634" w:name="_Toc506107310"/>
      <w:bookmarkStart w:id="635" w:name="_Toc15607"/>
      <w:bookmarkStart w:id="636" w:name="_Toc35425098"/>
      <w:bookmarkStart w:id="637" w:name="_Toc78803368"/>
      <w:bookmarkStart w:id="638" w:name="_Toc296590983"/>
      <w:bookmarkStart w:id="639" w:name="_Toc2855"/>
      <w:bookmarkStart w:id="640" w:name="_Toc152042351"/>
      <w:r>
        <w:rPr>
          <w:rFonts w:hint="eastAsia" w:ascii="宋体" w:hAnsi="宋体" w:eastAsia="宋体" w:cs="宋体"/>
          <w:color w:val="auto"/>
          <w:highlight w:val="none"/>
        </w:rPr>
        <w:t>9.1 对招标人的纪律要求</w:t>
      </w:r>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p>
    <w:p w14:paraId="170D43EA">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招标人不得泄漏招标投标活动中应当保密的情况和资料，不得与投标人串通损害国家利益、社会公共利益或者他人合法权益。</w:t>
      </w:r>
    </w:p>
    <w:p w14:paraId="7D253F21">
      <w:pPr>
        <w:pStyle w:val="7"/>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641" w:name="_Toc32177"/>
      <w:bookmarkStart w:id="642" w:name="_Toc246996963"/>
      <w:bookmarkStart w:id="643" w:name="_Toc144974544"/>
      <w:bookmarkStart w:id="644" w:name="_Toc152042352"/>
      <w:bookmarkStart w:id="645" w:name="_Toc296602463"/>
      <w:bookmarkStart w:id="646" w:name="_Toc247085734"/>
      <w:bookmarkStart w:id="647" w:name="_Toc78803369"/>
      <w:bookmarkStart w:id="648" w:name="_Toc246996220"/>
      <w:bookmarkStart w:id="649" w:name="_Toc35424933"/>
      <w:bookmarkStart w:id="650" w:name="_Toc324404858"/>
      <w:bookmarkStart w:id="651" w:name="_Toc152045576"/>
      <w:bookmarkStart w:id="652" w:name="_Toc35425099"/>
      <w:bookmarkStart w:id="653" w:name="_Toc179632594"/>
      <w:bookmarkStart w:id="654" w:name="_Toc506107311"/>
      <w:bookmarkStart w:id="655" w:name="_Toc19779"/>
      <w:bookmarkStart w:id="656" w:name="_Toc15058896"/>
      <w:r>
        <w:rPr>
          <w:rFonts w:hint="eastAsia" w:ascii="宋体" w:hAnsi="宋体" w:eastAsia="宋体" w:cs="宋体"/>
          <w:color w:val="auto"/>
          <w:highlight w:val="none"/>
        </w:rPr>
        <w:t>9.2 对投标人的纪律要求</w:t>
      </w:r>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p>
    <w:p w14:paraId="0E4DF7FD">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0BAF9F43">
      <w:pPr>
        <w:pStyle w:val="7"/>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657" w:name="_Toc296602464"/>
      <w:bookmarkStart w:id="658" w:name="_Toc78803370"/>
      <w:bookmarkStart w:id="659" w:name="_Toc179632595"/>
      <w:bookmarkStart w:id="660" w:name="_Toc152042353"/>
      <w:bookmarkStart w:id="661" w:name="_Toc247085735"/>
      <w:bookmarkStart w:id="662" w:name="_Toc144974545"/>
      <w:bookmarkStart w:id="663" w:name="_Toc35425100"/>
      <w:bookmarkStart w:id="664" w:name="_Toc35424934"/>
      <w:bookmarkStart w:id="665" w:name="_Toc12564"/>
      <w:bookmarkStart w:id="666" w:name="_Toc13043"/>
      <w:bookmarkStart w:id="667" w:name="_Toc324404859"/>
      <w:bookmarkStart w:id="668" w:name="_Toc15058897"/>
      <w:bookmarkStart w:id="669" w:name="_Toc506107312"/>
      <w:bookmarkStart w:id="670" w:name="_Toc246996221"/>
      <w:bookmarkStart w:id="671" w:name="_Toc152045577"/>
      <w:bookmarkStart w:id="672" w:name="_Toc246996964"/>
      <w:r>
        <w:rPr>
          <w:rFonts w:hint="eastAsia" w:ascii="宋体" w:hAnsi="宋体" w:eastAsia="宋体" w:cs="宋体"/>
          <w:color w:val="auto"/>
          <w:highlight w:val="none"/>
        </w:rPr>
        <w:t>9.3 对评标委员会成员的纪律要求</w:t>
      </w:r>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14:paraId="3E16DF1D">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评标委员会成员不得收受他人的财物或者其他好处，不得向他人透漏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14:paraId="61301B8A">
      <w:pPr>
        <w:pStyle w:val="7"/>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673" w:name="_Toc247085736"/>
      <w:bookmarkStart w:id="674" w:name="_Toc18329"/>
      <w:bookmarkStart w:id="675" w:name="_Toc296602465"/>
      <w:bookmarkStart w:id="676" w:name="_Toc32214"/>
      <w:bookmarkStart w:id="677" w:name="_Toc35425101"/>
      <w:bookmarkStart w:id="678" w:name="_Toc324404860"/>
      <w:bookmarkStart w:id="679" w:name="_Toc152045578"/>
      <w:bookmarkStart w:id="680" w:name="_Toc15058898"/>
      <w:bookmarkStart w:id="681" w:name="_Toc35424935"/>
      <w:bookmarkStart w:id="682" w:name="_Toc506107313"/>
      <w:bookmarkStart w:id="683" w:name="_Toc246996222"/>
      <w:bookmarkStart w:id="684" w:name="_Toc179632596"/>
      <w:bookmarkStart w:id="685" w:name="_Toc78803371"/>
      <w:bookmarkStart w:id="686" w:name="_Toc246996965"/>
      <w:bookmarkStart w:id="687" w:name="_Toc152042354"/>
      <w:bookmarkStart w:id="688" w:name="_Toc144974546"/>
      <w:r>
        <w:rPr>
          <w:rFonts w:hint="eastAsia" w:ascii="宋体" w:hAnsi="宋体" w:eastAsia="宋体" w:cs="宋体"/>
          <w:color w:val="auto"/>
          <w:highlight w:val="none"/>
        </w:rPr>
        <w:t>9.4 对与评标活动有关的工作人员的纪律要求</w:t>
      </w:r>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p>
    <w:p w14:paraId="7C740F37">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bookmarkStart w:id="689" w:name="_Toc152042355"/>
      <w:r>
        <w:rPr>
          <w:rFonts w:hint="eastAsia" w:ascii="宋体" w:hAnsi="宋体" w:cs="宋体"/>
          <w:color w:val="auto"/>
          <w:szCs w:val="21"/>
          <w:highlight w:val="none"/>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bookmarkEnd w:id="689"/>
    </w:p>
    <w:p w14:paraId="3EC02F44">
      <w:pPr>
        <w:pStyle w:val="7"/>
        <w:pageBreakBefore w:val="0"/>
        <w:widowControl w:val="0"/>
        <w:kinsoku/>
        <w:wordWrap/>
        <w:overflowPunct/>
        <w:topLinePunct w:val="0"/>
        <w:autoSpaceDE/>
        <w:autoSpaceDN/>
        <w:bidi w:val="0"/>
        <w:spacing w:line="420" w:lineRule="exact"/>
        <w:ind w:firstLine="422" w:firstLineChars="200"/>
        <w:textAlignment w:val="auto"/>
        <w:rPr>
          <w:rFonts w:ascii="宋体" w:hAnsi="宋体" w:eastAsia="宋体" w:cs="宋体"/>
          <w:color w:val="auto"/>
          <w:highlight w:val="none"/>
        </w:rPr>
      </w:pPr>
      <w:bookmarkStart w:id="690" w:name="_Toc35425102"/>
      <w:bookmarkStart w:id="691" w:name="_Toc324404861"/>
      <w:bookmarkStart w:id="692" w:name="_Toc246996966"/>
      <w:bookmarkStart w:id="693" w:name="_Toc152045579"/>
      <w:bookmarkStart w:id="694" w:name="_Toc15058899"/>
      <w:bookmarkStart w:id="695" w:name="_Toc35424936"/>
      <w:bookmarkStart w:id="696" w:name="_Toc23607"/>
      <w:bookmarkStart w:id="697" w:name="_Toc152042356"/>
      <w:bookmarkStart w:id="698" w:name="_Toc246996223"/>
      <w:bookmarkStart w:id="699" w:name="_Toc296602466"/>
      <w:bookmarkStart w:id="700" w:name="_Toc179632597"/>
      <w:bookmarkStart w:id="701" w:name="_Toc78803372"/>
      <w:bookmarkStart w:id="702" w:name="_Toc506107314"/>
      <w:bookmarkStart w:id="703" w:name="_Toc247085737"/>
      <w:bookmarkStart w:id="704" w:name="_Toc2811"/>
      <w:r>
        <w:rPr>
          <w:rFonts w:hint="eastAsia" w:ascii="宋体" w:hAnsi="宋体" w:eastAsia="宋体" w:cs="宋体"/>
          <w:color w:val="auto"/>
          <w:highlight w:val="none"/>
        </w:rPr>
        <w:t>9.5 投诉</w:t>
      </w:r>
      <w:bookmarkEnd w:id="688"/>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
    <w:p w14:paraId="70D21C16">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bookmarkStart w:id="705" w:name="_Toc31643"/>
      <w:bookmarkStart w:id="706" w:name="_Toc247085738"/>
      <w:bookmarkStart w:id="707" w:name="_Toc152042357"/>
      <w:bookmarkStart w:id="708" w:name="_Toc506107315"/>
      <w:bookmarkStart w:id="709" w:name="_Toc246996224"/>
      <w:bookmarkStart w:id="710" w:name="_Toc324404862"/>
      <w:bookmarkStart w:id="711" w:name="_Toc20669"/>
      <w:bookmarkStart w:id="712" w:name="_Toc15058900"/>
      <w:bookmarkStart w:id="713" w:name="_Toc246996967"/>
      <w:bookmarkStart w:id="714" w:name="_Toc78803373"/>
      <w:bookmarkStart w:id="715" w:name="_Toc144974547"/>
      <w:bookmarkStart w:id="716" w:name="_Toc179632598"/>
      <w:bookmarkStart w:id="717" w:name="_Toc16463"/>
      <w:bookmarkStart w:id="718" w:name="_Toc35425103"/>
      <w:bookmarkStart w:id="719" w:name="_Toc35424937"/>
      <w:bookmarkStart w:id="720" w:name="_Toc152045580"/>
      <w:r>
        <w:rPr>
          <w:rFonts w:hint="eastAsia" w:ascii="宋体" w:hAnsi="宋体" w:eastAsia="宋体" w:cs="宋体"/>
          <w:color w:val="auto"/>
          <w:szCs w:val="21"/>
          <w:highlight w:val="none"/>
        </w:rPr>
        <w:t>9.5.1投标人或者其他利害关系人认为招标投标活动违反法律、法规和规章规定的，有权向相关行政监督部门投诉。投诉应当有明确的请求和必要的证明材料。</w:t>
      </w:r>
    </w:p>
    <w:p w14:paraId="3DDB8AF7">
      <w:pPr>
        <w:pageBreakBefore w:val="0"/>
        <w:widowControl w:val="0"/>
        <w:kinsoku/>
        <w:wordWrap/>
        <w:overflowPunct/>
        <w:topLinePunct w:val="0"/>
        <w:autoSpaceDE/>
        <w:autoSpaceDN/>
        <w:bidi w:val="0"/>
        <w:spacing w:line="42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9.5.2投标人和其他利害关系人对招标文件、开标和评标结果事项投诉的，应当按照投标人须知的规定先向招标人提出异议。异议答复期间不计算在第9.5.1项规定的期限内。</w:t>
      </w:r>
    </w:p>
    <w:p w14:paraId="30249FCB">
      <w:pPr>
        <w:pStyle w:val="7"/>
        <w:pageBreakBefore w:val="0"/>
        <w:widowControl w:val="0"/>
        <w:kinsoku/>
        <w:wordWrap/>
        <w:overflowPunct/>
        <w:topLinePunct w:val="0"/>
        <w:autoSpaceDE/>
        <w:autoSpaceDN/>
        <w:bidi w:val="0"/>
        <w:spacing w:beforeLines="50" w:afterLines="50" w:line="420" w:lineRule="exact"/>
        <w:ind w:firstLine="422"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10.需要补充的其他内容</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p w14:paraId="79CE2B5A">
      <w:pPr>
        <w:pageBreakBefore w:val="0"/>
        <w:widowControl w:val="0"/>
        <w:kinsoku/>
        <w:wordWrap/>
        <w:overflowPunct/>
        <w:topLinePunct w:val="0"/>
        <w:autoSpaceDE/>
        <w:autoSpaceDN/>
        <w:bidi w:val="0"/>
        <w:spacing w:line="420" w:lineRule="exact"/>
        <w:ind w:firstLine="420" w:firstLineChars="200"/>
        <w:jc w:val="left"/>
        <w:textAlignment w:val="auto"/>
        <w:rPr>
          <w:rFonts w:ascii="宋体" w:hAnsi="宋体" w:cs="宋体"/>
          <w:color w:val="auto"/>
          <w:szCs w:val="21"/>
          <w:highlight w:val="none"/>
        </w:rPr>
      </w:pPr>
      <w:bookmarkStart w:id="721" w:name="_Toc15058901"/>
      <w:r>
        <w:rPr>
          <w:rFonts w:hint="eastAsia" w:ascii="宋体" w:hAnsi="宋体" w:cs="宋体"/>
          <w:color w:val="auto"/>
          <w:szCs w:val="21"/>
          <w:highlight w:val="none"/>
        </w:rPr>
        <w:t>需要补充的其他内容：见投标人须知前附表。</w:t>
      </w:r>
      <w:bookmarkEnd w:id="721"/>
    </w:p>
    <w:p w14:paraId="691B4D99">
      <w:pPr>
        <w:spacing w:line="440" w:lineRule="exact"/>
        <w:jc w:val="left"/>
        <w:rPr>
          <w:rFonts w:ascii="宋体" w:hAnsi="宋体" w:cs="宋体"/>
          <w:color w:val="auto"/>
          <w:szCs w:val="21"/>
          <w:highlight w:val="none"/>
        </w:rPr>
      </w:pPr>
    </w:p>
    <w:p w14:paraId="7D88AD52">
      <w:pPr>
        <w:pageBreakBefore/>
        <w:spacing w:beforeLines="80" w:afterLines="80" w:line="440" w:lineRule="exact"/>
        <w:jc w:val="center"/>
        <w:outlineLvl w:val="0"/>
        <w:rPr>
          <w:rFonts w:ascii="宋体"/>
          <w:b/>
          <w:color w:val="auto"/>
          <w:sz w:val="32"/>
          <w:szCs w:val="32"/>
          <w:highlight w:val="none"/>
        </w:rPr>
      </w:pPr>
      <w:bookmarkStart w:id="722" w:name="_Toc10676"/>
      <w:bookmarkStart w:id="723" w:name="_Toc5501"/>
      <w:bookmarkStart w:id="724" w:name="_Toc78803375"/>
      <w:r>
        <w:rPr>
          <w:rFonts w:hint="eastAsia" w:ascii="宋体"/>
          <w:b/>
          <w:color w:val="auto"/>
          <w:sz w:val="32"/>
          <w:szCs w:val="32"/>
          <w:highlight w:val="none"/>
        </w:rPr>
        <w:t>第二章  资格审查</w:t>
      </w:r>
      <w:bookmarkEnd w:id="604"/>
      <w:r>
        <w:rPr>
          <w:rFonts w:hint="eastAsia" w:ascii="宋体"/>
          <w:b/>
          <w:color w:val="auto"/>
          <w:sz w:val="32"/>
          <w:szCs w:val="32"/>
          <w:highlight w:val="none"/>
        </w:rPr>
        <w:t>办法</w:t>
      </w:r>
      <w:bookmarkEnd w:id="605"/>
      <w:bookmarkEnd w:id="606"/>
      <w:bookmarkEnd w:id="607"/>
      <w:bookmarkEnd w:id="608"/>
      <w:bookmarkEnd w:id="722"/>
      <w:bookmarkEnd w:id="723"/>
      <w:bookmarkEnd w:id="724"/>
    </w:p>
    <w:p w14:paraId="017C7EF3">
      <w:pPr>
        <w:spacing w:beforeLines="50" w:afterLines="50" w:line="440" w:lineRule="exact"/>
        <w:jc w:val="center"/>
        <w:rPr>
          <w:rFonts w:ascii="宋体" w:hAnsi="宋体" w:cs="宋体"/>
          <w:b/>
          <w:bCs/>
          <w:color w:val="auto"/>
          <w:sz w:val="28"/>
          <w:szCs w:val="22"/>
          <w:highlight w:val="none"/>
        </w:rPr>
      </w:pPr>
      <w:bookmarkStart w:id="725" w:name="_Toc35425106"/>
      <w:bookmarkStart w:id="726" w:name="_Toc35424940"/>
      <w:bookmarkStart w:id="727" w:name="_Toc15058903"/>
      <w:bookmarkStart w:id="728" w:name="_Toc324404865"/>
      <w:bookmarkStart w:id="729" w:name="_Toc506107318"/>
      <w:r>
        <w:rPr>
          <w:rFonts w:hint="eastAsia" w:ascii="宋体" w:hAnsi="宋体" w:cs="宋体"/>
          <w:b/>
          <w:bCs/>
          <w:color w:val="auto"/>
          <w:sz w:val="28"/>
          <w:szCs w:val="22"/>
          <w:highlight w:val="none"/>
        </w:rPr>
        <w:t>资格审查办法前附表</w:t>
      </w:r>
      <w:bookmarkEnd w:id="725"/>
      <w:bookmarkEnd w:id="726"/>
      <w:bookmarkEnd w:id="727"/>
      <w:bookmarkEnd w:id="728"/>
      <w:bookmarkEnd w:id="729"/>
    </w:p>
    <w:p w14:paraId="003D4ACD">
      <w:pPr>
        <w:spacing w:beforeLines="50" w:afterLines="50" w:line="440" w:lineRule="exact"/>
        <w:jc w:val="center"/>
        <w:rPr>
          <w:b/>
          <w:bCs/>
          <w:color w:val="auto"/>
          <w:sz w:val="24"/>
          <w:highlight w:val="none"/>
        </w:rPr>
      </w:pPr>
      <w:r>
        <w:rPr>
          <w:rFonts w:hint="eastAsia"/>
          <w:b/>
          <w:bCs/>
          <w:color w:val="auto"/>
          <w:sz w:val="24"/>
          <w:highlight w:val="none"/>
        </w:rPr>
        <w:t>资信证明文件评审</w:t>
      </w:r>
    </w:p>
    <w:tbl>
      <w:tblPr>
        <w:tblStyle w:val="46"/>
        <w:tblW w:w="100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258"/>
        <w:gridCol w:w="6183"/>
        <w:gridCol w:w="1860"/>
      </w:tblGrid>
      <w:tr w14:paraId="4299E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023" w:type="dxa"/>
            <w:gridSpan w:val="2"/>
            <w:noWrap/>
            <w:vAlign w:val="center"/>
          </w:tcPr>
          <w:p w14:paraId="666F0931">
            <w:pPr>
              <w:keepNext w:val="0"/>
              <w:keepLines w:val="0"/>
              <w:suppressLineNumbers w:val="0"/>
              <w:spacing w:before="0" w:beforeAutospacing="0" w:after="0" w:afterAutospacing="0" w:line="440" w:lineRule="exact"/>
              <w:ind w:left="0" w:right="0"/>
              <w:jc w:val="center"/>
              <w:rPr>
                <w:rFonts w:hint="default" w:ascii="宋体" w:hAnsi="宋体" w:cs="宋体"/>
                <w:b/>
                <w:bCs/>
                <w:color w:val="auto"/>
                <w:szCs w:val="21"/>
                <w:highlight w:val="none"/>
              </w:rPr>
            </w:pPr>
            <w:r>
              <w:rPr>
                <w:rFonts w:hint="eastAsia" w:ascii="宋体" w:hAnsi="宋体" w:cs="宋体"/>
                <w:b/>
                <w:bCs/>
                <w:color w:val="auto"/>
                <w:szCs w:val="21"/>
                <w:highlight w:val="none"/>
              </w:rPr>
              <w:t>序号</w:t>
            </w:r>
          </w:p>
        </w:tc>
        <w:tc>
          <w:tcPr>
            <w:tcW w:w="6183" w:type="dxa"/>
            <w:noWrap/>
            <w:vAlign w:val="center"/>
          </w:tcPr>
          <w:p w14:paraId="00849658">
            <w:pPr>
              <w:keepNext w:val="0"/>
              <w:keepLines w:val="0"/>
              <w:suppressLineNumbers w:val="0"/>
              <w:spacing w:before="0" w:beforeAutospacing="0" w:after="0" w:afterAutospacing="0" w:line="440" w:lineRule="exact"/>
              <w:ind w:left="0" w:right="0"/>
              <w:jc w:val="center"/>
              <w:rPr>
                <w:rFonts w:hint="default" w:ascii="宋体" w:hAnsi="宋体" w:cs="宋体"/>
                <w:b/>
                <w:bCs/>
                <w:color w:val="auto"/>
                <w:szCs w:val="21"/>
                <w:highlight w:val="none"/>
              </w:rPr>
            </w:pPr>
            <w:r>
              <w:rPr>
                <w:rFonts w:hint="eastAsia" w:ascii="宋体" w:hAnsi="宋体" w:cs="宋体"/>
                <w:b/>
                <w:bCs/>
                <w:color w:val="auto"/>
                <w:szCs w:val="21"/>
                <w:highlight w:val="none"/>
              </w:rPr>
              <w:t>审查内容</w:t>
            </w:r>
          </w:p>
        </w:tc>
        <w:tc>
          <w:tcPr>
            <w:tcW w:w="1860" w:type="dxa"/>
            <w:noWrap/>
            <w:vAlign w:val="center"/>
          </w:tcPr>
          <w:p w14:paraId="77C92695">
            <w:pPr>
              <w:keepNext w:val="0"/>
              <w:keepLines w:val="0"/>
              <w:suppressLineNumbers w:val="0"/>
              <w:spacing w:before="0" w:beforeAutospacing="0" w:after="0" w:afterAutospacing="0" w:line="440" w:lineRule="exact"/>
              <w:ind w:left="0" w:right="0"/>
              <w:jc w:val="center"/>
              <w:rPr>
                <w:rFonts w:hint="default" w:ascii="宋体" w:hAnsi="宋体" w:cs="宋体"/>
                <w:b/>
                <w:bCs/>
                <w:color w:val="auto"/>
                <w:szCs w:val="21"/>
                <w:highlight w:val="none"/>
              </w:rPr>
            </w:pPr>
            <w:r>
              <w:rPr>
                <w:rFonts w:hint="eastAsia" w:ascii="宋体" w:hAnsi="宋体" w:cs="宋体"/>
                <w:b/>
                <w:bCs/>
                <w:color w:val="auto"/>
                <w:szCs w:val="21"/>
                <w:highlight w:val="none"/>
              </w:rPr>
              <w:t>评审标准</w:t>
            </w:r>
          </w:p>
        </w:tc>
      </w:tr>
      <w:tr w14:paraId="79A8A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65" w:type="dxa"/>
            <w:vMerge w:val="restart"/>
            <w:noWrap/>
            <w:vAlign w:val="center"/>
          </w:tcPr>
          <w:p w14:paraId="291E1AEC">
            <w:pPr>
              <w:keepNext w:val="0"/>
              <w:keepLines w:val="0"/>
              <w:suppressLineNumbers w:val="0"/>
              <w:spacing w:before="0" w:beforeAutospacing="0" w:after="0" w:afterAutospacing="0" w:line="440" w:lineRule="exact"/>
              <w:ind w:left="0" w:right="0"/>
              <w:jc w:val="center"/>
              <w:rPr>
                <w:rFonts w:hint="default" w:ascii="宋体" w:hAnsi="宋体" w:cs="宋体"/>
                <w:color w:val="auto"/>
                <w:szCs w:val="21"/>
                <w:highlight w:val="none"/>
              </w:rPr>
            </w:pPr>
            <w:r>
              <w:rPr>
                <w:rFonts w:hint="eastAsia" w:ascii="宋体" w:hAnsi="宋体" w:cs="宋体"/>
                <w:color w:val="auto"/>
                <w:szCs w:val="21"/>
                <w:highlight w:val="none"/>
              </w:rPr>
              <w:t>1</w:t>
            </w:r>
          </w:p>
        </w:tc>
        <w:tc>
          <w:tcPr>
            <w:tcW w:w="1258" w:type="dxa"/>
            <w:vMerge w:val="restart"/>
            <w:noWrap/>
            <w:vAlign w:val="center"/>
          </w:tcPr>
          <w:p w14:paraId="746102EB">
            <w:pPr>
              <w:keepNext w:val="0"/>
              <w:keepLines w:val="0"/>
              <w:suppressLineNumbers w:val="0"/>
              <w:spacing w:before="0" w:beforeAutospacing="0" w:after="0" w:afterAutospacing="0" w:line="440" w:lineRule="exact"/>
              <w:ind w:left="0" w:right="0"/>
              <w:jc w:val="center"/>
              <w:rPr>
                <w:rFonts w:hint="default" w:ascii="宋体" w:hAnsi="宋体" w:cs="宋体"/>
                <w:b/>
                <w:bCs/>
                <w:color w:val="auto"/>
                <w:szCs w:val="21"/>
                <w:highlight w:val="none"/>
              </w:rPr>
            </w:pPr>
            <w:r>
              <w:rPr>
                <w:rFonts w:hint="eastAsia" w:ascii="宋体" w:hAnsi="宋体" w:cs="宋体"/>
                <w:b/>
                <w:bCs/>
                <w:color w:val="auto"/>
                <w:szCs w:val="21"/>
                <w:highlight w:val="none"/>
              </w:rPr>
              <w:t>审查资料</w:t>
            </w:r>
          </w:p>
        </w:tc>
        <w:tc>
          <w:tcPr>
            <w:tcW w:w="6183" w:type="dxa"/>
            <w:noWrap/>
            <w:vAlign w:val="center"/>
          </w:tcPr>
          <w:p w14:paraId="154B5D62">
            <w:pPr>
              <w:keepNext w:val="0"/>
              <w:keepLines w:val="0"/>
              <w:suppressLineNumbers w:val="0"/>
              <w:spacing w:before="0" w:beforeAutospacing="0" w:after="0" w:afterAutospacing="0" w:line="440" w:lineRule="exact"/>
              <w:ind w:left="0" w:leftChars="0" w:right="0" w:rightChars="0"/>
              <w:rPr>
                <w:rFonts w:hint="default" w:ascii="宋体" w:hAnsi="宋体" w:cs="宋体"/>
                <w:color w:val="auto"/>
                <w:szCs w:val="21"/>
                <w:highlight w:val="none"/>
              </w:rPr>
            </w:pPr>
            <w:r>
              <w:rPr>
                <w:rFonts w:hint="eastAsia" w:ascii="宋体" w:hAnsi="宋体" w:cs="宋体"/>
                <w:color w:val="auto"/>
                <w:szCs w:val="21"/>
                <w:highlight w:val="none"/>
              </w:rPr>
              <w:t>法定代表人身份证明文件和本人有效身份证(或法定代表人授权委托书和委托代理人有效身份证)</w:t>
            </w:r>
            <w:r>
              <w:rPr>
                <w:rFonts w:hint="eastAsia" w:ascii="宋体" w:hAnsi="宋体" w:eastAsia="宋体" w:cs="宋体"/>
                <w:color w:val="auto"/>
                <w:sz w:val="21"/>
                <w:szCs w:val="21"/>
                <w:highlight w:val="none"/>
              </w:rPr>
              <w:t>（如为联合体，仅需联合体牵头人提供）</w:t>
            </w:r>
          </w:p>
        </w:tc>
        <w:tc>
          <w:tcPr>
            <w:tcW w:w="1860" w:type="dxa"/>
            <w:noWrap/>
            <w:vAlign w:val="center"/>
          </w:tcPr>
          <w:p w14:paraId="247B076F">
            <w:pPr>
              <w:keepNext w:val="0"/>
              <w:keepLines w:val="0"/>
              <w:suppressLineNumbers w:val="0"/>
              <w:spacing w:before="0" w:beforeAutospacing="0" w:after="0" w:afterAutospacing="0" w:line="440" w:lineRule="exact"/>
              <w:ind w:left="0" w:right="0"/>
              <w:jc w:val="center"/>
              <w:rPr>
                <w:rFonts w:hint="default" w:ascii="宋体" w:hAnsi="宋体" w:cs="宋体"/>
                <w:b/>
                <w:color w:val="auto"/>
                <w:szCs w:val="21"/>
                <w:highlight w:val="none"/>
              </w:rPr>
            </w:pPr>
            <w:r>
              <w:rPr>
                <w:rFonts w:hint="eastAsia" w:ascii="宋体" w:hAnsi="宋体" w:cs="宋体"/>
                <w:b/>
                <w:color w:val="auto"/>
                <w:szCs w:val="21"/>
                <w:highlight w:val="none"/>
              </w:rPr>
              <w:t>检验电子标书</w:t>
            </w:r>
          </w:p>
        </w:tc>
      </w:tr>
      <w:tr w14:paraId="68A55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765" w:type="dxa"/>
            <w:vMerge w:val="continue"/>
            <w:noWrap/>
            <w:vAlign w:val="center"/>
          </w:tcPr>
          <w:p w14:paraId="4D10D223">
            <w:pPr>
              <w:keepNext w:val="0"/>
              <w:keepLines w:val="0"/>
              <w:suppressLineNumbers w:val="0"/>
              <w:spacing w:before="0" w:beforeAutospacing="0" w:after="0" w:afterAutospacing="0" w:line="440" w:lineRule="exact"/>
              <w:ind w:left="0" w:right="0"/>
              <w:jc w:val="center"/>
              <w:rPr>
                <w:rFonts w:hint="default" w:ascii="宋体" w:hAnsi="宋体" w:cs="宋体"/>
                <w:color w:val="auto"/>
                <w:szCs w:val="21"/>
                <w:highlight w:val="none"/>
              </w:rPr>
            </w:pPr>
          </w:p>
        </w:tc>
        <w:tc>
          <w:tcPr>
            <w:tcW w:w="1258" w:type="dxa"/>
            <w:vMerge w:val="continue"/>
            <w:noWrap/>
            <w:vAlign w:val="center"/>
          </w:tcPr>
          <w:p w14:paraId="6799A446">
            <w:pPr>
              <w:keepNext w:val="0"/>
              <w:keepLines w:val="0"/>
              <w:suppressLineNumbers w:val="0"/>
              <w:spacing w:before="0" w:beforeAutospacing="0" w:after="0" w:afterAutospacing="0" w:line="440" w:lineRule="exact"/>
              <w:ind w:left="0" w:right="0"/>
              <w:jc w:val="center"/>
              <w:rPr>
                <w:rFonts w:hint="default" w:ascii="宋体" w:hAnsi="宋体" w:cs="宋体"/>
                <w:b/>
                <w:bCs/>
                <w:color w:val="auto"/>
                <w:szCs w:val="21"/>
                <w:highlight w:val="none"/>
              </w:rPr>
            </w:pPr>
          </w:p>
        </w:tc>
        <w:tc>
          <w:tcPr>
            <w:tcW w:w="6183" w:type="dxa"/>
            <w:noWrap/>
            <w:vAlign w:val="center"/>
          </w:tcPr>
          <w:p w14:paraId="55762A62">
            <w:pPr>
              <w:keepNext w:val="0"/>
              <w:keepLines w:val="0"/>
              <w:suppressLineNumbers w:val="0"/>
              <w:spacing w:before="0" w:beforeAutospacing="0" w:after="0" w:afterAutospacing="0" w:line="440" w:lineRule="exact"/>
              <w:ind w:left="0" w:leftChars="0" w:right="0" w:rightChars="0"/>
              <w:rPr>
                <w:rFonts w:hint="default" w:ascii="宋体" w:hAnsi="宋体" w:cs="宋体"/>
                <w:color w:val="auto"/>
                <w:szCs w:val="21"/>
                <w:highlight w:val="none"/>
              </w:rPr>
            </w:pPr>
            <w:r>
              <w:rPr>
                <w:rFonts w:hint="eastAsia" w:ascii="宋体" w:hAnsi="宋体" w:cs="宋体"/>
                <w:color w:val="auto"/>
                <w:szCs w:val="21"/>
                <w:highlight w:val="none"/>
              </w:rPr>
              <w:t>诚信投标承诺书</w:t>
            </w:r>
            <w:r>
              <w:rPr>
                <w:rFonts w:hint="eastAsia" w:ascii="宋体" w:hAnsi="宋体" w:eastAsia="宋体" w:cs="宋体"/>
                <w:color w:val="auto"/>
                <w:sz w:val="21"/>
                <w:szCs w:val="21"/>
                <w:highlight w:val="none"/>
              </w:rPr>
              <w:t>（如为联合体的，各方均需提供，格式见附件）</w:t>
            </w:r>
          </w:p>
        </w:tc>
        <w:tc>
          <w:tcPr>
            <w:tcW w:w="1860" w:type="dxa"/>
            <w:vMerge w:val="restart"/>
            <w:noWrap/>
            <w:vAlign w:val="center"/>
          </w:tcPr>
          <w:p w14:paraId="2F88F5C6">
            <w:pPr>
              <w:keepNext w:val="0"/>
              <w:keepLines w:val="0"/>
              <w:suppressLineNumbers w:val="0"/>
              <w:spacing w:before="0" w:beforeAutospacing="0" w:after="0" w:afterAutospacing="0" w:line="440" w:lineRule="exact"/>
              <w:ind w:left="0" w:right="0"/>
              <w:jc w:val="center"/>
              <w:rPr>
                <w:rFonts w:hint="default" w:ascii="宋体" w:hAnsi="宋体" w:cs="宋体"/>
                <w:b/>
                <w:color w:val="auto"/>
                <w:szCs w:val="21"/>
                <w:highlight w:val="none"/>
              </w:rPr>
            </w:pPr>
            <w:r>
              <w:rPr>
                <w:rFonts w:hint="eastAsia" w:ascii="宋体" w:hAnsi="宋体" w:cs="宋体"/>
                <w:b/>
                <w:color w:val="auto"/>
                <w:szCs w:val="21"/>
                <w:highlight w:val="none"/>
              </w:rPr>
              <w:t>检验电子标书</w:t>
            </w:r>
          </w:p>
        </w:tc>
      </w:tr>
      <w:tr w14:paraId="0819F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765" w:type="dxa"/>
            <w:vMerge w:val="continue"/>
            <w:noWrap/>
            <w:vAlign w:val="center"/>
          </w:tcPr>
          <w:p w14:paraId="3B0AA6D2">
            <w:pPr>
              <w:keepNext w:val="0"/>
              <w:keepLines w:val="0"/>
              <w:suppressLineNumbers w:val="0"/>
              <w:spacing w:before="0" w:beforeAutospacing="0" w:after="0" w:afterAutospacing="0" w:line="440" w:lineRule="exact"/>
              <w:ind w:left="0" w:right="0"/>
              <w:jc w:val="center"/>
              <w:rPr>
                <w:rFonts w:hint="default" w:ascii="宋体" w:hAnsi="宋体" w:cs="宋体"/>
                <w:color w:val="auto"/>
                <w:szCs w:val="21"/>
                <w:highlight w:val="none"/>
              </w:rPr>
            </w:pPr>
          </w:p>
        </w:tc>
        <w:tc>
          <w:tcPr>
            <w:tcW w:w="1258" w:type="dxa"/>
            <w:vMerge w:val="continue"/>
            <w:noWrap/>
            <w:vAlign w:val="center"/>
          </w:tcPr>
          <w:p w14:paraId="59AA38FC">
            <w:pPr>
              <w:keepNext w:val="0"/>
              <w:keepLines w:val="0"/>
              <w:suppressLineNumbers w:val="0"/>
              <w:spacing w:before="0" w:beforeAutospacing="0" w:after="0" w:afterAutospacing="0" w:line="440" w:lineRule="exact"/>
              <w:ind w:left="0" w:right="0"/>
              <w:jc w:val="center"/>
              <w:rPr>
                <w:rFonts w:hint="default" w:ascii="宋体" w:hAnsi="宋体" w:cs="宋体"/>
                <w:b/>
                <w:bCs/>
                <w:color w:val="auto"/>
                <w:szCs w:val="21"/>
                <w:highlight w:val="none"/>
              </w:rPr>
            </w:pPr>
          </w:p>
        </w:tc>
        <w:tc>
          <w:tcPr>
            <w:tcW w:w="6183" w:type="dxa"/>
            <w:noWrap/>
            <w:vAlign w:val="center"/>
          </w:tcPr>
          <w:p w14:paraId="7193A846">
            <w:pPr>
              <w:keepNext w:val="0"/>
              <w:keepLines w:val="0"/>
              <w:suppressLineNumbers w:val="0"/>
              <w:spacing w:before="0" w:beforeAutospacing="0" w:after="0" w:afterAutospacing="0" w:line="440" w:lineRule="exact"/>
              <w:ind w:left="0" w:leftChars="0" w:right="0" w:rightChars="0"/>
              <w:rPr>
                <w:rFonts w:hint="default" w:ascii="宋体" w:hAnsi="宋体" w:cs="宋体"/>
                <w:color w:val="auto"/>
                <w:szCs w:val="21"/>
                <w:highlight w:val="none"/>
              </w:rPr>
            </w:pPr>
            <w:r>
              <w:rPr>
                <w:rFonts w:hint="eastAsia" w:ascii="宋体" w:hAnsi="宋体" w:cs="宋体"/>
                <w:color w:val="auto"/>
                <w:szCs w:val="21"/>
                <w:highlight w:val="none"/>
              </w:rPr>
              <w:t>企业法人营业执照</w:t>
            </w:r>
            <w:r>
              <w:rPr>
                <w:rFonts w:hint="eastAsia" w:ascii="宋体" w:hAnsi="宋体" w:eastAsia="宋体" w:cs="宋体"/>
                <w:color w:val="auto"/>
                <w:sz w:val="21"/>
                <w:szCs w:val="21"/>
                <w:highlight w:val="none"/>
              </w:rPr>
              <w:t>（如为联合体的，各方均需提供）</w:t>
            </w:r>
          </w:p>
        </w:tc>
        <w:tc>
          <w:tcPr>
            <w:tcW w:w="1860" w:type="dxa"/>
            <w:vMerge w:val="continue"/>
            <w:noWrap/>
            <w:vAlign w:val="center"/>
          </w:tcPr>
          <w:p w14:paraId="677EFFB4">
            <w:pPr>
              <w:keepNext w:val="0"/>
              <w:keepLines w:val="0"/>
              <w:suppressLineNumbers w:val="0"/>
              <w:spacing w:before="0" w:beforeAutospacing="0" w:after="0" w:afterAutospacing="0" w:line="440" w:lineRule="exact"/>
              <w:ind w:left="0" w:right="0"/>
              <w:rPr>
                <w:rFonts w:hint="default" w:ascii="宋体" w:hAnsi="宋体" w:cs="宋体"/>
                <w:b/>
                <w:color w:val="auto"/>
                <w:szCs w:val="21"/>
                <w:highlight w:val="none"/>
              </w:rPr>
            </w:pPr>
          </w:p>
        </w:tc>
      </w:tr>
      <w:tr w14:paraId="1CDA9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765" w:type="dxa"/>
            <w:vMerge w:val="continue"/>
            <w:noWrap/>
            <w:vAlign w:val="center"/>
          </w:tcPr>
          <w:p w14:paraId="0E5F390D">
            <w:pPr>
              <w:keepNext w:val="0"/>
              <w:keepLines w:val="0"/>
              <w:suppressLineNumbers w:val="0"/>
              <w:spacing w:before="0" w:beforeAutospacing="0" w:after="0" w:afterAutospacing="0" w:line="440" w:lineRule="exact"/>
              <w:ind w:left="0" w:right="0"/>
              <w:jc w:val="center"/>
              <w:rPr>
                <w:rFonts w:hint="default" w:ascii="宋体" w:hAnsi="宋体" w:cs="宋体"/>
                <w:color w:val="auto"/>
                <w:szCs w:val="21"/>
                <w:highlight w:val="none"/>
              </w:rPr>
            </w:pPr>
          </w:p>
        </w:tc>
        <w:tc>
          <w:tcPr>
            <w:tcW w:w="1258" w:type="dxa"/>
            <w:vMerge w:val="continue"/>
            <w:noWrap/>
            <w:vAlign w:val="center"/>
          </w:tcPr>
          <w:p w14:paraId="3614C1D7">
            <w:pPr>
              <w:keepNext w:val="0"/>
              <w:keepLines w:val="0"/>
              <w:suppressLineNumbers w:val="0"/>
              <w:spacing w:before="0" w:beforeAutospacing="0" w:after="0" w:afterAutospacing="0" w:line="440" w:lineRule="exact"/>
              <w:ind w:left="0" w:right="0"/>
              <w:jc w:val="center"/>
              <w:rPr>
                <w:rFonts w:hint="default" w:ascii="宋体" w:hAnsi="宋体" w:cs="宋体"/>
                <w:b/>
                <w:bCs/>
                <w:color w:val="auto"/>
                <w:szCs w:val="21"/>
                <w:highlight w:val="none"/>
              </w:rPr>
            </w:pPr>
          </w:p>
        </w:tc>
        <w:tc>
          <w:tcPr>
            <w:tcW w:w="6183" w:type="dxa"/>
            <w:noWrap/>
            <w:vAlign w:val="center"/>
          </w:tcPr>
          <w:p w14:paraId="3CCFCEC6">
            <w:pPr>
              <w:keepNext w:val="0"/>
              <w:keepLines w:val="0"/>
              <w:suppressLineNumbers w:val="0"/>
              <w:spacing w:before="0" w:beforeAutospacing="0" w:after="0" w:afterAutospacing="0" w:line="440" w:lineRule="exact"/>
              <w:ind w:left="0" w:leftChars="0" w:right="0" w:rightChars="0"/>
              <w:rPr>
                <w:rFonts w:hint="default" w:ascii="宋体" w:hAnsi="宋体" w:cs="宋体"/>
                <w:color w:val="auto"/>
                <w:szCs w:val="21"/>
                <w:highlight w:val="none"/>
              </w:rPr>
            </w:pPr>
            <w:r>
              <w:rPr>
                <w:rFonts w:hint="eastAsia" w:ascii="宋体" w:hAnsi="宋体" w:cs="宋体"/>
                <w:color w:val="auto"/>
                <w:szCs w:val="21"/>
                <w:highlight w:val="none"/>
              </w:rPr>
              <w:t>企业资质证书</w:t>
            </w:r>
            <w:r>
              <w:rPr>
                <w:rFonts w:hint="eastAsia" w:ascii="宋体" w:hAnsi="宋体" w:eastAsia="宋体" w:cs="宋体"/>
                <w:color w:val="auto"/>
                <w:sz w:val="21"/>
                <w:szCs w:val="21"/>
                <w:highlight w:val="none"/>
              </w:rPr>
              <w:t>（按</w:t>
            </w:r>
            <w:r>
              <w:rPr>
                <w:rFonts w:hint="eastAsia" w:ascii="宋体" w:hAnsi="宋体" w:eastAsia="宋体" w:cs="宋体"/>
                <w:color w:val="auto"/>
                <w:sz w:val="21"/>
                <w:szCs w:val="21"/>
                <w:highlight w:val="none"/>
                <w:lang w:val="en-US" w:eastAsia="zh-CN"/>
              </w:rPr>
              <w:t>联合体协议中分工任务提供对应资质</w:t>
            </w:r>
            <w:r>
              <w:rPr>
                <w:rFonts w:hint="eastAsia" w:ascii="宋体" w:hAnsi="宋体" w:eastAsia="宋体" w:cs="宋体"/>
                <w:color w:val="auto"/>
                <w:sz w:val="21"/>
                <w:szCs w:val="21"/>
                <w:highlight w:val="none"/>
              </w:rPr>
              <w:t>）</w:t>
            </w:r>
          </w:p>
        </w:tc>
        <w:tc>
          <w:tcPr>
            <w:tcW w:w="1860" w:type="dxa"/>
            <w:vMerge w:val="continue"/>
            <w:noWrap/>
            <w:vAlign w:val="center"/>
          </w:tcPr>
          <w:p w14:paraId="3ABCBA04">
            <w:pPr>
              <w:keepNext w:val="0"/>
              <w:keepLines w:val="0"/>
              <w:suppressLineNumbers w:val="0"/>
              <w:spacing w:before="0" w:beforeAutospacing="0" w:after="0" w:afterAutospacing="0" w:line="440" w:lineRule="exact"/>
              <w:ind w:left="0" w:right="0"/>
              <w:rPr>
                <w:rFonts w:hint="default" w:ascii="宋体" w:hAnsi="宋体" w:cs="宋体"/>
                <w:color w:val="auto"/>
                <w:szCs w:val="21"/>
                <w:highlight w:val="none"/>
              </w:rPr>
            </w:pPr>
          </w:p>
        </w:tc>
      </w:tr>
      <w:tr w14:paraId="2BD91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765" w:type="dxa"/>
            <w:vMerge w:val="continue"/>
            <w:noWrap/>
            <w:vAlign w:val="center"/>
          </w:tcPr>
          <w:p w14:paraId="3B334B59">
            <w:pPr>
              <w:keepNext w:val="0"/>
              <w:keepLines w:val="0"/>
              <w:suppressLineNumbers w:val="0"/>
              <w:spacing w:before="0" w:beforeAutospacing="0" w:after="0" w:afterAutospacing="0" w:line="440" w:lineRule="exact"/>
              <w:ind w:left="0" w:right="0"/>
              <w:jc w:val="center"/>
              <w:rPr>
                <w:rFonts w:hint="default" w:ascii="宋体" w:hAnsi="宋体" w:cs="宋体"/>
                <w:color w:val="auto"/>
                <w:szCs w:val="21"/>
                <w:highlight w:val="none"/>
              </w:rPr>
            </w:pPr>
          </w:p>
        </w:tc>
        <w:tc>
          <w:tcPr>
            <w:tcW w:w="1258" w:type="dxa"/>
            <w:vMerge w:val="continue"/>
            <w:noWrap/>
            <w:vAlign w:val="center"/>
          </w:tcPr>
          <w:p w14:paraId="4D89E479">
            <w:pPr>
              <w:keepNext w:val="0"/>
              <w:keepLines w:val="0"/>
              <w:suppressLineNumbers w:val="0"/>
              <w:spacing w:before="0" w:beforeAutospacing="0" w:after="0" w:afterAutospacing="0" w:line="440" w:lineRule="exact"/>
              <w:ind w:left="0" w:right="0"/>
              <w:jc w:val="center"/>
              <w:rPr>
                <w:rFonts w:hint="default" w:ascii="宋体" w:hAnsi="宋体" w:cs="宋体"/>
                <w:b/>
                <w:bCs/>
                <w:color w:val="auto"/>
                <w:szCs w:val="21"/>
                <w:highlight w:val="none"/>
              </w:rPr>
            </w:pPr>
          </w:p>
        </w:tc>
        <w:tc>
          <w:tcPr>
            <w:tcW w:w="6183" w:type="dxa"/>
            <w:noWrap/>
            <w:vAlign w:val="top"/>
          </w:tcPr>
          <w:p w14:paraId="49DAA466">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leftChars="0" w:right="0" w:rightChars="0"/>
              <w:textAlignment w:val="auto"/>
              <w:rPr>
                <w:rFonts w:hint="eastAsia" w:ascii="宋体" w:hAnsi="宋体" w:cs="宋体"/>
                <w:color w:val="auto"/>
                <w:szCs w:val="21"/>
                <w:highlight w:val="none"/>
              </w:rPr>
            </w:pPr>
            <w:r>
              <w:rPr>
                <w:rFonts w:hint="eastAsia" w:ascii="宋体" w:hAnsi="宋体" w:cs="宋体"/>
                <w:color w:val="auto"/>
                <w:szCs w:val="21"/>
                <w:highlight w:val="none"/>
              </w:rPr>
              <w:t>企业安全生产许可证</w:t>
            </w:r>
            <w:r>
              <w:rPr>
                <w:rFonts w:hint="eastAsia" w:ascii="宋体" w:hAnsi="宋体" w:eastAsia="宋体" w:cs="宋体"/>
                <w:color w:val="auto"/>
                <w:sz w:val="21"/>
                <w:szCs w:val="21"/>
                <w:highlight w:val="none"/>
              </w:rPr>
              <w:t>（如为联合体，施工方需提供）</w:t>
            </w:r>
          </w:p>
        </w:tc>
        <w:tc>
          <w:tcPr>
            <w:tcW w:w="1860" w:type="dxa"/>
            <w:vMerge w:val="continue"/>
            <w:noWrap/>
            <w:vAlign w:val="center"/>
          </w:tcPr>
          <w:p w14:paraId="4D2F71AA">
            <w:pPr>
              <w:keepNext w:val="0"/>
              <w:keepLines w:val="0"/>
              <w:suppressLineNumbers w:val="0"/>
              <w:spacing w:before="0" w:beforeAutospacing="0" w:after="0" w:afterAutospacing="0" w:line="440" w:lineRule="exact"/>
              <w:ind w:left="0" w:right="0"/>
              <w:rPr>
                <w:rFonts w:hint="default" w:ascii="宋体" w:hAnsi="宋体" w:cs="宋体"/>
                <w:color w:val="auto"/>
                <w:szCs w:val="21"/>
                <w:highlight w:val="none"/>
              </w:rPr>
            </w:pPr>
          </w:p>
        </w:tc>
      </w:tr>
      <w:tr w14:paraId="4E992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65" w:type="dxa"/>
            <w:vMerge w:val="continue"/>
            <w:noWrap/>
            <w:vAlign w:val="center"/>
          </w:tcPr>
          <w:p w14:paraId="3164B256">
            <w:pPr>
              <w:keepNext w:val="0"/>
              <w:keepLines w:val="0"/>
              <w:suppressLineNumbers w:val="0"/>
              <w:spacing w:before="0" w:beforeAutospacing="0" w:after="0" w:afterAutospacing="0" w:line="440" w:lineRule="exact"/>
              <w:ind w:left="0" w:right="0"/>
              <w:jc w:val="center"/>
              <w:rPr>
                <w:rFonts w:hint="default" w:ascii="宋体" w:hAnsi="宋体" w:cs="宋体"/>
                <w:color w:val="auto"/>
                <w:szCs w:val="21"/>
                <w:highlight w:val="none"/>
              </w:rPr>
            </w:pPr>
          </w:p>
        </w:tc>
        <w:tc>
          <w:tcPr>
            <w:tcW w:w="1258" w:type="dxa"/>
            <w:vMerge w:val="continue"/>
            <w:noWrap/>
            <w:vAlign w:val="center"/>
          </w:tcPr>
          <w:p w14:paraId="154CB48C">
            <w:pPr>
              <w:keepNext w:val="0"/>
              <w:keepLines w:val="0"/>
              <w:suppressLineNumbers w:val="0"/>
              <w:spacing w:before="0" w:beforeAutospacing="0" w:after="0" w:afterAutospacing="0" w:line="440" w:lineRule="exact"/>
              <w:ind w:left="0" w:right="0"/>
              <w:jc w:val="center"/>
              <w:rPr>
                <w:rFonts w:hint="default" w:ascii="宋体" w:hAnsi="宋体" w:cs="宋体"/>
                <w:b/>
                <w:bCs/>
                <w:color w:val="auto"/>
                <w:szCs w:val="21"/>
                <w:highlight w:val="none"/>
              </w:rPr>
            </w:pPr>
          </w:p>
        </w:tc>
        <w:tc>
          <w:tcPr>
            <w:tcW w:w="6183" w:type="dxa"/>
            <w:noWrap/>
            <w:vAlign w:val="top"/>
          </w:tcPr>
          <w:p w14:paraId="35F791F2">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400" w:lineRule="exact"/>
              <w:ind w:left="0" w:leftChars="0" w:right="0" w:rightChars="0"/>
              <w:textAlignment w:val="auto"/>
              <w:rPr>
                <w:rFonts w:hint="default" w:ascii="宋体" w:hAnsi="宋体" w:cs="宋体"/>
                <w:color w:val="auto"/>
                <w:szCs w:val="21"/>
                <w:highlight w:val="none"/>
              </w:rPr>
            </w:pPr>
            <w:r>
              <w:rPr>
                <w:rFonts w:hint="eastAsia" w:ascii="宋体" w:hAnsi="宋体" w:cs="宋体"/>
                <w:color w:val="auto"/>
                <w:szCs w:val="21"/>
                <w:highlight w:val="none"/>
              </w:rPr>
              <w:t>项目经理（建造师）有效身份证、注册证书以及安全生产考核合格证书（B证）</w:t>
            </w:r>
          </w:p>
        </w:tc>
        <w:tc>
          <w:tcPr>
            <w:tcW w:w="1860" w:type="dxa"/>
            <w:vMerge w:val="continue"/>
            <w:noWrap/>
            <w:vAlign w:val="center"/>
          </w:tcPr>
          <w:p w14:paraId="3A3B1234">
            <w:pPr>
              <w:keepNext w:val="0"/>
              <w:keepLines w:val="0"/>
              <w:suppressLineNumbers w:val="0"/>
              <w:spacing w:before="0" w:beforeAutospacing="0" w:after="0" w:afterAutospacing="0" w:line="440" w:lineRule="exact"/>
              <w:ind w:left="0" w:right="0"/>
              <w:rPr>
                <w:rFonts w:hint="default" w:ascii="宋体" w:hAnsi="宋体" w:cs="宋体"/>
                <w:color w:val="auto"/>
                <w:szCs w:val="21"/>
                <w:highlight w:val="none"/>
              </w:rPr>
            </w:pPr>
          </w:p>
        </w:tc>
      </w:tr>
      <w:tr w14:paraId="19E30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3" w:hRule="atLeast"/>
          <w:jc w:val="center"/>
        </w:trPr>
        <w:tc>
          <w:tcPr>
            <w:tcW w:w="765" w:type="dxa"/>
            <w:vMerge w:val="continue"/>
            <w:noWrap/>
            <w:vAlign w:val="center"/>
          </w:tcPr>
          <w:p w14:paraId="1E2EA713">
            <w:pPr>
              <w:keepNext w:val="0"/>
              <w:keepLines w:val="0"/>
              <w:suppressLineNumbers w:val="0"/>
              <w:spacing w:before="0" w:beforeAutospacing="0" w:after="0" w:afterAutospacing="0" w:line="440" w:lineRule="exact"/>
              <w:ind w:left="0" w:right="0"/>
              <w:jc w:val="center"/>
              <w:rPr>
                <w:rFonts w:hint="default" w:ascii="宋体" w:hAnsi="宋体" w:cs="宋体"/>
                <w:color w:val="auto"/>
                <w:szCs w:val="21"/>
                <w:highlight w:val="none"/>
              </w:rPr>
            </w:pPr>
          </w:p>
        </w:tc>
        <w:tc>
          <w:tcPr>
            <w:tcW w:w="1258" w:type="dxa"/>
            <w:vMerge w:val="continue"/>
            <w:noWrap/>
            <w:vAlign w:val="center"/>
          </w:tcPr>
          <w:p w14:paraId="4C0FB513">
            <w:pPr>
              <w:keepNext w:val="0"/>
              <w:keepLines w:val="0"/>
              <w:suppressLineNumbers w:val="0"/>
              <w:spacing w:before="0" w:beforeAutospacing="0" w:after="0" w:afterAutospacing="0" w:line="440" w:lineRule="exact"/>
              <w:ind w:left="0" w:right="0"/>
              <w:jc w:val="center"/>
              <w:rPr>
                <w:rFonts w:hint="default" w:ascii="宋体" w:hAnsi="宋体" w:cs="宋体"/>
                <w:b/>
                <w:bCs/>
                <w:color w:val="auto"/>
                <w:szCs w:val="21"/>
                <w:highlight w:val="none"/>
              </w:rPr>
            </w:pPr>
          </w:p>
        </w:tc>
        <w:tc>
          <w:tcPr>
            <w:tcW w:w="6183" w:type="dxa"/>
            <w:noWrap/>
            <w:vAlign w:val="top"/>
          </w:tcPr>
          <w:p w14:paraId="571C313C">
            <w:pPr>
              <w:keepNext w:val="0"/>
              <w:keepLines w:val="0"/>
              <w:suppressLineNumbers w:val="0"/>
              <w:spacing w:before="0" w:beforeAutospacing="0" w:after="0" w:afterAutospacing="0" w:line="440" w:lineRule="exact"/>
              <w:ind w:left="0" w:leftChars="0" w:right="0" w:rightChars="0"/>
              <w:rPr>
                <w:rFonts w:hint="default" w:ascii="宋体" w:hAnsi="宋体" w:cs="宋体"/>
                <w:color w:val="auto"/>
                <w:highlight w:val="none"/>
              </w:rPr>
            </w:pPr>
            <w:r>
              <w:rPr>
                <w:rFonts w:hint="eastAsia" w:ascii="宋体" w:hAnsi="宋体" w:cs="宋体"/>
                <w:color w:val="auto"/>
                <w:szCs w:val="21"/>
                <w:highlight w:val="none"/>
              </w:rPr>
              <w:t>投标人的法定代表人(或委托代理人)和拟任项目经理（建造师）须持有社保部门出具的本单位为其缴纳的投标前近三个月连续的养老保险证明（证明文件两个月内有效）（同一人担任不同公司法定代表人的，该法定代表人参加本项目投标时须提供本人在其他公司任法定代表人的营业执照及为其缴纳养老保险证明材料），投标人是事业单位的，暂未缴纳养老保险的，须由其主管部门出具证明；</w:t>
            </w:r>
          </w:p>
        </w:tc>
        <w:tc>
          <w:tcPr>
            <w:tcW w:w="1860" w:type="dxa"/>
            <w:vMerge w:val="continue"/>
            <w:noWrap/>
            <w:vAlign w:val="center"/>
          </w:tcPr>
          <w:p w14:paraId="75FF34F1">
            <w:pPr>
              <w:keepNext w:val="0"/>
              <w:keepLines w:val="0"/>
              <w:suppressLineNumbers w:val="0"/>
              <w:spacing w:before="0" w:beforeAutospacing="0" w:after="0" w:afterAutospacing="0" w:line="440" w:lineRule="exact"/>
              <w:ind w:left="0" w:right="0"/>
              <w:rPr>
                <w:rFonts w:hint="default" w:ascii="宋体" w:hAnsi="宋体" w:cs="宋体"/>
                <w:color w:val="auto"/>
                <w:szCs w:val="21"/>
                <w:highlight w:val="none"/>
              </w:rPr>
            </w:pPr>
          </w:p>
        </w:tc>
      </w:tr>
      <w:tr w14:paraId="33F64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765" w:type="dxa"/>
            <w:vMerge w:val="continue"/>
            <w:noWrap/>
            <w:vAlign w:val="center"/>
          </w:tcPr>
          <w:p w14:paraId="2B87250A">
            <w:pPr>
              <w:keepNext w:val="0"/>
              <w:keepLines w:val="0"/>
              <w:suppressLineNumbers w:val="0"/>
              <w:spacing w:before="0" w:beforeAutospacing="0" w:after="0" w:afterAutospacing="0" w:line="440" w:lineRule="exact"/>
              <w:ind w:left="0" w:right="0"/>
              <w:jc w:val="center"/>
              <w:rPr>
                <w:rFonts w:hint="default" w:ascii="宋体" w:hAnsi="宋体" w:cs="宋体"/>
                <w:color w:val="auto"/>
                <w:szCs w:val="21"/>
                <w:highlight w:val="none"/>
              </w:rPr>
            </w:pPr>
          </w:p>
        </w:tc>
        <w:tc>
          <w:tcPr>
            <w:tcW w:w="1258" w:type="dxa"/>
            <w:vMerge w:val="continue"/>
            <w:noWrap/>
            <w:vAlign w:val="center"/>
          </w:tcPr>
          <w:p w14:paraId="704FB514">
            <w:pPr>
              <w:keepNext w:val="0"/>
              <w:keepLines w:val="0"/>
              <w:suppressLineNumbers w:val="0"/>
              <w:spacing w:before="0" w:beforeAutospacing="0" w:after="0" w:afterAutospacing="0" w:line="440" w:lineRule="exact"/>
              <w:ind w:left="0" w:right="0"/>
              <w:jc w:val="center"/>
              <w:rPr>
                <w:rFonts w:hint="default" w:ascii="宋体" w:hAnsi="宋体" w:cs="宋体"/>
                <w:b/>
                <w:bCs/>
                <w:color w:val="auto"/>
                <w:szCs w:val="21"/>
                <w:highlight w:val="none"/>
              </w:rPr>
            </w:pPr>
          </w:p>
        </w:tc>
        <w:tc>
          <w:tcPr>
            <w:tcW w:w="6183" w:type="dxa"/>
            <w:noWrap/>
            <w:vAlign w:val="top"/>
          </w:tcPr>
          <w:p w14:paraId="3BD81BA9">
            <w:pPr>
              <w:keepNext w:val="0"/>
              <w:keepLines w:val="0"/>
              <w:suppressLineNumbers w:val="0"/>
              <w:adjustRightInd w:val="0"/>
              <w:snapToGrid w:val="0"/>
              <w:spacing w:before="0" w:beforeAutospacing="0" w:after="0" w:afterAutospacing="0" w:line="560" w:lineRule="exact"/>
              <w:ind w:left="0" w:leftChars="0" w:right="0" w:rightChars="0"/>
              <w:rPr>
                <w:rFonts w:hint="eastAsia" w:ascii="宋体" w:hAnsi="宋体" w:cs="宋体"/>
                <w:color w:val="auto"/>
                <w:szCs w:val="21"/>
                <w:highlight w:val="none"/>
              </w:rPr>
            </w:pPr>
            <w:r>
              <w:rPr>
                <w:rFonts w:hint="eastAsia" w:ascii="宋体" w:hAnsi="宋体" w:cs="宋体"/>
                <w:color w:val="auto"/>
                <w:szCs w:val="21"/>
                <w:highlight w:val="none"/>
              </w:rPr>
              <w:t>项目管理机构。查看项目管理机构主要人员组成表</w:t>
            </w:r>
          </w:p>
        </w:tc>
        <w:tc>
          <w:tcPr>
            <w:tcW w:w="1860" w:type="dxa"/>
            <w:vMerge w:val="continue"/>
            <w:noWrap/>
            <w:vAlign w:val="center"/>
          </w:tcPr>
          <w:p w14:paraId="01DA4C63">
            <w:pPr>
              <w:keepNext w:val="0"/>
              <w:keepLines w:val="0"/>
              <w:suppressLineNumbers w:val="0"/>
              <w:spacing w:before="0" w:beforeAutospacing="0" w:after="0" w:afterAutospacing="0" w:line="440" w:lineRule="exact"/>
              <w:ind w:left="0" w:right="0"/>
              <w:rPr>
                <w:rFonts w:hint="default" w:ascii="宋体" w:hAnsi="宋体" w:cs="宋体"/>
                <w:color w:val="auto"/>
                <w:szCs w:val="21"/>
                <w:highlight w:val="none"/>
              </w:rPr>
            </w:pPr>
          </w:p>
        </w:tc>
      </w:tr>
      <w:tr w14:paraId="55B42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8" w:hRule="atLeast"/>
          <w:jc w:val="center"/>
        </w:trPr>
        <w:tc>
          <w:tcPr>
            <w:tcW w:w="765" w:type="dxa"/>
            <w:vMerge w:val="continue"/>
            <w:noWrap/>
            <w:vAlign w:val="center"/>
          </w:tcPr>
          <w:p w14:paraId="36A467B4">
            <w:pPr>
              <w:keepNext w:val="0"/>
              <w:keepLines w:val="0"/>
              <w:suppressLineNumbers w:val="0"/>
              <w:spacing w:before="0" w:beforeAutospacing="0" w:after="0" w:afterAutospacing="0" w:line="440" w:lineRule="exact"/>
              <w:ind w:left="0" w:right="0"/>
              <w:jc w:val="center"/>
              <w:rPr>
                <w:rFonts w:hint="default" w:ascii="宋体" w:hAnsi="宋体" w:cs="宋体"/>
                <w:color w:val="auto"/>
                <w:szCs w:val="21"/>
                <w:highlight w:val="none"/>
              </w:rPr>
            </w:pPr>
          </w:p>
        </w:tc>
        <w:tc>
          <w:tcPr>
            <w:tcW w:w="1258" w:type="dxa"/>
            <w:vMerge w:val="continue"/>
            <w:noWrap/>
            <w:vAlign w:val="center"/>
          </w:tcPr>
          <w:p w14:paraId="561E8E64">
            <w:pPr>
              <w:keepNext w:val="0"/>
              <w:keepLines w:val="0"/>
              <w:suppressLineNumbers w:val="0"/>
              <w:spacing w:before="0" w:beforeAutospacing="0" w:after="0" w:afterAutospacing="0" w:line="440" w:lineRule="exact"/>
              <w:ind w:left="0" w:right="0"/>
              <w:jc w:val="center"/>
              <w:rPr>
                <w:rFonts w:hint="default" w:ascii="宋体" w:hAnsi="宋体" w:cs="宋体"/>
                <w:b/>
                <w:bCs/>
                <w:color w:val="auto"/>
                <w:szCs w:val="21"/>
                <w:highlight w:val="none"/>
              </w:rPr>
            </w:pPr>
          </w:p>
        </w:tc>
        <w:tc>
          <w:tcPr>
            <w:tcW w:w="6183" w:type="dxa"/>
            <w:noWrap/>
            <w:vAlign w:val="top"/>
          </w:tcPr>
          <w:p w14:paraId="5B9E5046">
            <w:pPr>
              <w:keepNext w:val="0"/>
              <w:keepLines w:val="0"/>
              <w:suppressLineNumbers w:val="0"/>
              <w:adjustRightInd w:val="0"/>
              <w:snapToGrid w:val="0"/>
              <w:spacing w:before="0" w:beforeAutospacing="0" w:after="0" w:afterAutospacing="0" w:line="560" w:lineRule="exact"/>
              <w:ind w:left="0" w:leftChars="0" w:right="0" w:rightChars="0"/>
              <w:rPr>
                <w:rFonts w:hint="eastAsia" w:ascii="宋体" w:hAnsi="宋体" w:cs="宋体"/>
                <w:color w:val="auto"/>
                <w:szCs w:val="21"/>
                <w:highlight w:val="none"/>
              </w:rPr>
            </w:pPr>
            <w:r>
              <w:rPr>
                <w:rFonts w:hint="eastAsia" w:ascii="宋体" w:hAnsi="宋体" w:eastAsia="宋体" w:cs="宋体"/>
                <w:color w:val="auto"/>
                <w:szCs w:val="21"/>
                <w:highlight w:val="none"/>
                <w:lang w:val="en-US" w:eastAsia="zh-CN"/>
              </w:rPr>
              <w:t>承诺函：现场施工人员必须有50%以上是承包人单位自有人员，否则，按照10000元/人进行处罚。承诺函格式见附件</w:t>
            </w:r>
          </w:p>
        </w:tc>
        <w:tc>
          <w:tcPr>
            <w:tcW w:w="1860" w:type="dxa"/>
            <w:vMerge w:val="continue"/>
            <w:noWrap/>
            <w:vAlign w:val="center"/>
          </w:tcPr>
          <w:p w14:paraId="2114A9FF">
            <w:pPr>
              <w:keepNext w:val="0"/>
              <w:keepLines w:val="0"/>
              <w:suppressLineNumbers w:val="0"/>
              <w:spacing w:before="0" w:beforeAutospacing="0" w:after="0" w:afterAutospacing="0" w:line="440" w:lineRule="exact"/>
              <w:ind w:left="0" w:right="0"/>
              <w:rPr>
                <w:rFonts w:hint="default" w:ascii="宋体" w:hAnsi="宋体" w:cs="宋体"/>
                <w:color w:val="auto"/>
                <w:szCs w:val="21"/>
                <w:highlight w:val="none"/>
              </w:rPr>
            </w:pPr>
          </w:p>
        </w:tc>
      </w:tr>
    </w:tbl>
    <w:p w14:paraId="7EA3EB87">
      <w:pPr>
        <w:spacing w:line="440" w:lineRule="exact"/>
        <w:ind w:firstLine="422" w:firstLineChars="200"/>
        <w:jc w:val="left"/>
        <w:rPr>
          <w:rFonts w:ascii="宋体" w:hAnsi="宋体" w:cs="宋体"/>
          <w:b/>
          <w:bCs/>
          <w:color w:val="auto"/>
          <w:szCs w:val="21"/>
          <w:highlight w:val="none"/>
        </w:rPr>
      </w:pPr>
      <w:r>
        <w:rPr>
          <w:rFonts w:hint="eastAsia" w:ascii="宋体" w:hAnsi="宋体" w:cs="宋体"/>
          <w:b/>
          <w:bCs/>
          <w:color w:val="auto"/>
          <w:szCs w:val="21"/>
          <w:highlight w:val="none"/>
        </w:rPr>
        <w:t>重要提示：</w:t>
      </w:r>
    </w:p>
    <w:p w14:paraId="6B4CD40F">
      <w:pPr>
        <w:spacing w:line="440" w:lineRule="exact"/>
        <w:ind w:firstLine="422" w:firstLineChars="200"/>
        <w:jc w:val="left"/>
        <w:rPr>
          <w:rFonts w:hint="eastAsia" w:ascii="宋体" w:hAnsi="宋体" w:cs="宋体"/>
          <w:b/>
          <w:bCs/>
          <w:color w:val="auto"/>
          <w:szCs w:val="21"/>
          <w:highlight w:val="none"/>
          <w:lang w:eastAsia="zh-CN"/>
        </w:rPr>
      </w:pPr>
      <w:r>
        <w:rPr>
          <w:rFonts w:hint="eastAsia" w:ascii="宋体" w:hAnsi="宋体" w:cs="宋体"/>
          <w:b/>
          <w:bCs/>
          <w:color w:val="auto"/>
          <w:szCs w:val="21"/>
          <w:highlight w:val="none"/>
        </w:rPr>
        <w:t>（</w:t>
      </w:r>
      <w:r>
        <w:rPr>
          <w:rFonts w:hint="eastAsia" w:ascii="宋体" w:hAnsi="宋体" w:cs="宋体"/>
          <w:b/>
          <w:bCs/>
          <w:color w:val="auto"/>
          <w:szCs w:val="21"/>
          <w:highlight w:val="none"/>
          <w:lang w:val="en-US" w:eastAsia="zh-CN"/>
        </w:rPr>
        <w:t>1</w:t>
      </w:r>
      <w:r>
        <w:rPr>
          <w:rFonts w:hint="eastAsia" w:ascii="宋体" w:hAnsi="宋体" w:cs="宋体"/>
          <w:b/>
          <w:bCs/>
          <w:color w:val="auto"/>
          <w:szCs w:val="21"/>
          <w:highlight w:val="none"/>
        </w:rPr>
        <w:t>）评标专家在检验电子投标文件过程中，如果由于投标人自身原因导致评标专家无法查看并检验电子投标文件中相关资料的，视为无效标处理。即使投标人将原件携带至现场的，同样按无效标处理</w:t>
      </w:r>
      <w:r>
        <w:rPr>
          <w:rFonts w:hint="eastAsia" w:ascii="宋体" w:hAnsi="宋体" w:cs="宋体"/>
          <w:b/>
          <w:bCs/>
          <w:color w:val="auto"/>
          <w:szCs w:val="21"/>
          <w:highlight w:val="none"/>
          <w:lang w:eastAsia="zh-CN"/>
        </w:rPr>
        <w:t>。</w:t>
      </w:r>
    </w:p>
    <w:p w14:paraId="35DEA403">
      <w:pPr>
        <w:spacing w:line="440" w:lineRule="exact"/>
        <w:ind w:firstLine="422" w:firstLineChars="200"/>
        <w:jc w:val="left"/>
        <w:rPr>
          <w:rFonts w:ascii="宋体" w:hAnsi="宋体" w:cs="宋体"/>
          <w:b/>
          <w:bCs/>
          <w:color w:val="auto"/>
          <w:szCs w:val="21"/>
          <w:highlight w:val="none"/>
        </w:rPr>
      </w:pP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lang w:val="en-US" w:eastAsia="zh-CN"/>
        </w:rPr>
        <w:t>2</w:t>
      </w:r>
      <w:r>
        <w:rPr>
          <w:rFonts w:hint="eastAsia" w:ascii="宋体" w:hAnsi="宋体" w:cs="宋体"/>
          <w:b/>
          <w:bCs/>
          <w:color w:val="auto"/>
          <w:szCs w:val="21"/>
          <w:highlight w:val="none"/>
          <w:lang w:eastAsia="zh-CN"/>
        </w:rPr>
        <w:t>）投标人拟委任项目经理为注册建造师（含一级、二级）的，须提供有效的纸质版电子证书。投标人打印纸质电子证书后，应由建造师本人在个人签名栏手写本人签名，或附其本人知情承诺，未手写签名或与签名图片笔迹不一致的，该打印的纸质证书无效（其他省份建造师电子证书执行该省现行政策规定）。投标人应对其提供的纸质版电子证书真实性、有效性负责。投标人提供的安徽省新版二级建造师电子注册证书纸质版需在安徽省住房和城乡建设执业资格注册管理系统中打印，打印后应由二级建造师本人在证书的个人签名处手写本人签名，或在新版二级建造师电子注册证书纸质版后附其本人知情承诺（视为个人签名处的手写本人签名），格式自拟。未手写个人签名或未提供二级建造师本人知情承诺的，个人签名或知情承诺签字与签名图片笔迹不一致，此证书无效。其他省份按各省相关规定执行</w:t>
      </w:r>
      <w:r>
        <w:rPr>
          <w:rFonts w:hint="eastAsia" w:ascii="宋体" w:hAnsi="宋体" w:cs="宋体"/>
          <w:b/>
          <w:bCs/>
          <w:color w:val="auto"/>
          <w:szCs w:val="21"/>
          <w:highlight w:val="none"/>
        </w:rPr>
        <w:t>。</w:t>
      </w:r>
    </w:p>
    <w:p w14:paraId="677AF5B8">
      <w:pPr>
        <w:pStyle w:val="7"/>
        <w:spacing w:beforeLines="50" w:afterLines="50"/>
        <w:ind w:firstLine="422" w:firstLineChars="200"/>
        <w:rPr>
          <w:rFonts w:ascii="宋体" w:hAnsi="宋体" w:eastAsia="宋体" w:cs="宋体"/>
          <w:color w:val="auto"/>
          <w:highlight w:val="none"/>
        </w:rPr>
      </w:pPr>
      <w:bookmarkStart w:id="730" w:name="_Toc35424942"/>
      <w:bookmarkStart w:id="731" w:name="_Toc324404867"/>
      <w:bookmarkStart w:id="732" w:name="_Toc78803377"/>
      <w:bookmarkStart w:id="733" w:name="_Toc506107320"/>
      <w:bookmarkStart w:id="734" w:name="_Toc15058909"/>
      <w:bookmarkStart w:id="735" w:name="_Toc12549"/>
      <w:bookmarkStart w:id="736" w:name="_Toc35425108"/>
      <w:r>
        <w:rPr>
          <w:rFonts w:hint="eastAsia" w:ascii="宋体" w:hAnsi="宋体" w:eastAsia="宋体" w:cs="宋体"/>
          <w:color w:val="auto"/>
          <w:highlight w:val="none"/>
        </w:rPr>
        <w:t>2.审查办法</w:t>
      </w:r>
      <w:bookmarkEnd w:id="730"/>
      <w:bookmarkEnd w:id="731"/>
      <w:bookmarkEnd w:id="732"/>
      <w:bookmarkEnd w:id="733"/>
      <w:bookmarkEnd w:id="734"/>
      <w:bookmarkEnd w:id="735"/>
      <w:bookmarkEnd w:id="736"/>
    </w:p>
    <w:p w14:paraId="68B4B029">
      <w:pPr>
        <w:spacing w:line="44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由资格审查委员会（评标委员会）按资格审查办法前附表中资格审查必要合格条件评审表要求对投标人审查资料进行核验。</w:t>
      </w:r>
    </w:p>
    <w:p w14:paraId="6CA51AD7">
      <w:pPr>
        <w:pStyle w:val="7"/>
        <w:spacing w:beforeLines="50" w:afterLines="50"/>
        <w:ind w:firstLine="422" w:firstLineChars="200"/>
        <w:rPr>
          <w:rFonts w:ascii="宋体" w:hAnsi="宋体" w:eastAsia="宋体" w:cs="宋体"/>
          <w:color w:val="auto"/>
          <w:highlight w:val="none"/>
        </w:rPr>
      </w:pPr>
      <w:bookmarkStart w:id="737" w:name="_Toc78803378"/>
      <w:bookmarkStart w:id="738" w:name="_Toc15058910"/>
      <w:bookmarkStart w:id="739" w:name="_Toc35425109"/>
      <w:bookmarkStart w:id="740" w:name="_Toc324404868"/>
      <w:bookmarkStart w:id="741" w:name="_Toc35424943"/>
      <w:bookmarkStart w:id="742" w:name="_Toc15626"/>
      <w:bookmarkStart w:id="743" w:name="_Toc506107321"/>
      <w:r>
        <w:rPr>
          <w:rFonts w:hint="eastAsia" w:ascii="宋体" w:hAnsi="宋体" w:eastAsia="宋体" w:cs="宋体"/>
          <w:color w:val="auto"/>
          <w:highlight w:val="none"/>
        </w:rPr>
        <w:t>3.资格审查委员会和审查标准</w:t>
      </w:r>
      <w:bookmarkEnd w:id="737"/>
      <w:bookmarkEnd w:id="738"/>
      <w:bookmarkEnd w:id="739"/>
      <w:bookmarkEnd w:id="740"/>
      <w:bookmarkEnd w:id="741"/>
      <w:bookmarkEnd w:id="742"/>
      <w:bookmarkEnd w:id="743"/>
    </w:p>
    <w:p w14:paraId="4A56B029">
      <w:pPr>
        <w:spacing w:line="440" w:lineRule="exact"/>
        <w:ind w:firstLine="420" w:firstLineChars="200"/>
        <w:jc w:val="left"/>
        <w:rPr>
          <w:rFonts w:hint="eastAsia" w:ascii="宋体" w:hAnsi="宋体" w:eastAsia="宋体" w:cs="宋体"/>
          <w:color w:val="auto"/>
          <w:szCs w:val="21"/>
          <w:highlight w:val="none"/>
        </w:rPr>
      </w:pPr>
      <w:bookmarkStart w:id="744" w:name="_Toc506107322"/>
      <w:bookmarkStart w:id="745" w:name="_Toc35425110"/>
      <w:bookmarkStart w:id="746" w:name="_Toc10330"/>
      <w:bookmarkStart w:id="747" w:name="_Toc78803379"/>
      <w:bookmarkStart w:id="748" w:name="_Toc324404869"/>
      <w:bookmarkStart w:id="749" w:name="_Toc15058911"/>
      <w:bookmarkStart w:id="750" w:name="_Toc35424944"/>
      <w:r>
        <w:rPr>
          <w:rFonts w:hint="eastAsia" w:ascii="宋体" w:hAnsi="宋体" w:eastAsia="宋体" w:cs="宋体"/>
          <w:color w:val="auto"/>
          <w:szCs w:val="21"/>
          <w:highlight w:val="none"/>
        </w:rPr>
        <w:t>3.1资格审查由招标人依法组建的资格审查委员会（或评标委员会）负责。审查标准见资格审查办法前附表。</w:t>
      </w:r>
    </w:p>
    <w:p w14:paraId="070E2559">
      <w:pPr>
        <w:spacing w:line="44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3.2由资格审查委员会（评标委员会）按资格审查办法前附表要求对投标人的审查资料进行核验。投标申请人有下列情形之一的，其资格审查为不合格： </w:t>
      </w:r>
    </w:p>
    <w:p w14:paraId="53D109F1">
      <w:pPr>
        <w:spacing w:line="44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未上传电子标书或电子标书经审查不合格；</w:t>
      </w:r>
    </w:p>
    <w:p w14:paraId="51B8B645">
      <w:pPr>
        <w:spacing w:line="44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未</w:t>
      </w:r>
      <w:r>
        <w:rPr>
          <w:rFonts w:hint="eastAsia" w:ascii="宋体" w:hAnsi="宋体" w:eastAsia="宋体" w:cs="宋体"/>
          <w:color w:val="auto"/>
          <w:szCs w:val="21"/>
          <w:highlight w:val="none"/>
        </w:rPr>
        <w:t>按</w:t>
      </w:r>
      <w:r>
        <w:rPr>
          <w:rFonts w:hint="eastAsia" w:ascii="宋体" w:hAnsi="宋体" w:eastAsia="宋体" w:cs="宋体"/>
          <w:color w:val="auto"/>
          <w:szCs w:val="21"/>
          <w:highlight w:val="none"/>
          <w:lang w:val="en-US" w:eastAsia="zh-CN"/>
        </w:rPr>
        <w:t>招标公告</w:t>
      </w:r>
      <w:r>
        <w:rPr>
          <w:rFonts w:hint="eastAsia" w:ascii="宋体" w:hAnsi="宋体" w:eastAsia="宋体" w:cs="宋体"/>
          <w:color w:val="auto"/>
          <w:szCs w:val="21"/>
          <w:highlight w:val="none"/>
        </w:rPr>
        <w:t>要求提交投标保证金的；</w:t>
      </w:r>
    </w:p>
    <w:p w14:paraId="6B49D07C">
      <w:pPr>
        <w:spacing w:line="44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）法律、法规规定的其他情形。</w:t>
      </w:r>
    </w:p>
    <w:p w14:paraId="72F53D10">
      <w:pPr>
        <w:pStyle w:val="7"/>
        <w:spacing w:beforeLines="50" w:afterLines="50"/>
        <w:ind w:firstLine="422" w:firstLineChars="200"/>
        <w:rPr>
          <w:rFonts w:ascii="宋体" w:hAnsi="宋体" w:eastAsia="宋体" w:cs="宋体"/>
          <w:color w:val="auto"/>
          <w:highlight w:val="none"/>
        </w:rPr>
      </w:pPr>
      <w:r>
        <w:rPr>
          <w:rFonts w:hint="eastAsia" w:ascii="宋体" w:hAnsi="宋体" w:eastAsia="宋体" w:cs="宋体"/>
          <w:color w:val="auto"/>
          <w:highlight w:val="none"/>
        </w:rPr>
        <w:t>4.审查结果</w:t>
      </w:r>
      <w:bookmarkEnd w:id="744"/>
      <w:bookmarkEnd w:id="745"/>
      <w:bookmarkEnd w:id="746"/>
      <w:bookmarkEnd w:id="747"/>
      <w:bookmarkEnd w:id="748"/>
      <w:bookmarkEnd w:id="749"/>
      <w:bookmarkEnd w:id="750"/>
    </w:p>
    <w:p w14:paraId="54D55539">
      <w:pPr>
        <w:spacing w:line="440" w:lineRule="exact"/>
        <w:ind w:firstLine="420" w:firstLineChars="200"/>
        <w:jc w:val="left"/>
        <w:rPr>
          <w:rFonts w:ascii="宋体" w:hAnsi="宋体" w:cs="宋体"/>
          <w:color w:val="auto"/>
          <w:szCs w:val="21"/>
          <w:highlight w:val="none"/>
        </w:rPr>
      </w:pPr>
      <w:r>
        <w:rPr>
          <w:rFonts w:hint="eastAsia" w:ascii="宋体" w:hAnsi="宋体" w:cs="宋体"/>
          <w:color w:val="auto"/>
          <w:highlight w:val="none"/>
        </w:rPr>
        <w:t>只有通过资格审查的投标人才能进入下一步的评标程序。</w:t>
      </w:r>
      <w:bookmarkStart w:id="751" w:name="_Toc506107323"/>
    </w:p>
    <w:p w14:paraId="722F4788">
      <w:pPr>
        <w:pStyle w:val="6"/>
        <w:numPr>
          <w:ilvl w:val="0"/>
          <w:numId w:val="4"/>
        </w:numPr>
        <w:spacing w:beforeLines="50" w:afterLines="50"/>
        <w:rPr>
          <w:rFonts w:hint="eastAsia" w:ascii="Arial" w:hAnsi="Arial"/>
          <w:color w:val="auto"/>
          <w:kern w:val="0"/>
          <w:sz w:val="32"/>
          <w:szCs w:val="32"/>
          <w:highlight w:val="none"/>
        </w:rPr>
      </w:pPr>
      <w:bookmarkStart w:id="752" w:name="_Toc15058912"/>
      <w:bookmarkStart w:id="753" w:name="_Toc35424945"/>
      <w:bookmarkStart w:id="754" w:name="_Toc35425111"/>
      <w:r>
        <w:rPr>
          <w:rFonts w:hint="eastAsia"/>
          <w:color w:val="auto"/>
          <w:highlight w:val="none"/>
        </w:rPr>
        <w:br w:type="page"/>
      </w:r>
      <w:bookmarkStart w:id="755" w:name="_Toc78803380"/>
      <w:r>
        <w:rPr>
          <w:rFonts w:hint="eastAsia" w:ascii="Arial" w:hAnsi="Arial"/>
          <w:color w:val="auto"/>
          <w:kern w:val="0"/>
          <w:sz w:val="32"/>
          <w:szCs w:val="32"/>
          <w:highlight w:val="none"/>
        </w:rPr>
        <w:t xml:space="preserve"> </w:t>
      </w:r>
      <w:bookmarkStart w:id="756" w:name="_Toc30518"/>
      <w:bookmarkStart w:id="757" w:name="_Toc1286"/>
      <w:bookmarkStart w:id="758" w:name="_Toc32602"/>
      <w:r>
        <w:rPr>
          <w:rFonts w:hint="eastAsia" w:ascii="Arial" w:hAnsi="Arial"/>
          <w:color w:val="auto"/>
          <w:kern w:val="0"/>
          <w:sz w:val="32"/>
          <w:szCs w:val="32"/>
          <w:highlight w:val="none"/>
        </w:rPr>
        <w:t>评标办法</w:t>
      </w:r>
      <w:bookmarkEnd w:id="609"/>
      <w:bookmarkEnd w:id="751"/>
      <w:bookmarkEnd w:id="752"/>
      <w:bookmarkEnd w:id="753"/>
      <w:bookmarkEnd w:id="754"/>
      <w:bookmarkEnd w:id="755"/>
      <w:bookmarkEnd w:id="756"/>
      <w:bookmarkEnd w:id="757"/>
      <w:bookmarkEnd w:id="758"/>
    </w:p>
    <w:p w14:paraId="09598DD2">
      <w:pPr>
        <w:pStyle w:val="7"/>
        <w:kinsoku/>
        <w:wordWrap/>
        <w:overflowPunct/>
        <w:topLinePunct w:val="0"/>
        <w:bidi w:val="0"/>
        <w:snapToGrid/>
        <w:spacing w:line="324" w:lineRule="auto"/>
        <w:jc w:val="center"/>
        <w:textAlignment w:val="auto"/>
        <w:rPr>
          <w:rFonts w:hint="eastAsia" w:ascii="宋体" w:hAnsi="宋体" w:eastAsia="宋体" w:cs="宋体"/>
          <w:color w:val="auto"/>
          <w:sz w:val="24"/>
          <w:szCs w:val="24"/>
          <w:highlight w:val="none"/>
        </w:rPr>
      </w:pPr>
      <w:bookmarkStart w:id="759" w:name="_Toc420945837"/>
      <w:bookmarkStart w:id="760" w:name="_Toc23095"/>
      <w:bookmarkStart w:id="761" w:name="_Toc19882"/>
      <w:bookmarkStart w:id="762" w:name="_Toc506107333"/>
      <w:bookmarkStart w:id="763" w:name="_Toc35424962"/>
      <w:bookmarkStart w:id="764" w:name="_Toc78803397"/>
      <w:bookmarkStart w:id="765" w:name="_Toc35425128"/>
      <w:bookmarkStart w:id="766" w:name="_Toc15058927"/>
      <w:bookmarkStart w:id="767" w:name="_Toc152045767"/>
      <w:bookmarkStart w:id="768" w:name="_Toc179632785"/>
      <w:bookmarkStart w:id="769" w:name="_Toc152042546"/>
      <w:bookmarkStart w:id="770" w:name="_Toc144974826"/>
      <w:r>
        <w:rPr>
          <w:rFonts w:hint="eastAsia" w:ascii="宋体" w:hAnsi="宋体" w:eastAsia="宋体" w:cs="宋体"/>
          <w:color w:val="auto"/>
          <w:sz w:val="24"/>
          <w:szCs w:val="24"/>
          <w:highlight w:val="none"/>
        </w:rPr>
        <w:t>评标办法前附表</w:t>
      </w:r>
      <w:bookmarkEnd w:id="759"/>
      <w:bookmarkEnd w:id="760"/>
      <w:bookmarkEnd w:id="761"/>
    </w:p>
    <w:tbl>
      <w:tblPr>
        <w:tblStyle w:val="46"/>
        <w:tblW w:w="100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
        <w:gridCol w:w="1454"/>
        <w:gridCol w:w="7672"/>
      </w:tblGrid>
      <w:tr w14:paraId="11129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10044" w:type="dxa"/>
            <w:gridSpan w:val="3"/>
            <w:noWrap w:val="0"/>
            <w:vAlign w:val="center"/>
          </w:tcPr>
          <w:p w14:paraId="7D3A5878">
            <w:pPr>
              <w:keepNext w:val="0"/>
              <w:keepLines w:val="0"/>
              <w:pageBreakBefore w:val="0"/>
              <w:widowControl w:val="0"/>
              <w:suppressLineNumbers w:val="0"/>
              <w:kinsoku/>
              <w:wordWrap/>
              <w:overflowPunct/>
              <w:topLinePunct w:val="0"/>
              <w:bidi w:val="0"/>
              <w:snapToGrid/>
              <w:spacing w:before="0" w:beforeAutospacing="0" w:after="0" w:afterAutospacing="0" w:line="440" w:lineRule="exact"/>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z w:val="22"/>
                <w:szCs w:val="22"/>
                <w:highlight w:val="none"/>
              </w:rPr>
              <w:t>（一）资信证明文件评审</w:t>
            </w:r>
            <w:r>
              <w:rPr>
                <w:rFonts w:hint="eastAsia" w:ascii="宋体" w:hAnsi="宋体" w:cs="宋体"/>
                <w:b/>
                <w:bCs/>
                <w:color w:val="auto"/>
                <w:sz w:val="24"/>
                <w:highlight w:val="none"/>
              </w:rPr>
              <w:t>（</w:t>
            </w:r>
            <w:r>
              <w:rPr>
                <w:rFonts w:hint="eastAsia" w:ascii="宋体" w:hAnsi="宋体" w:cs="宋体"/>
                <w:b/>
                <w:bCs/>
                <w:color w:val="auto"/>
                <w:sz w:val="24"/>
                <w:highlight w:val="none"/>
                <w:lang w:val="en-US" w:eastAsia="zh-CN"/>
              </w:rPr>
              <w:t>5</w:t>
            </w:r>
            <w:r>
              <w:rPr>
                <w:rFonts w:hint="eastAsia" w:ascii="宋体" w:hAnsi="宋体" w:cs="宋体"/>
                <w:b/>
                <w:bCs/>
                <w:color w:val="auto"/>
                <w:sz w:val="24"/>
                <w:highlight w:val="none"/>
              </w:rPr>
              <w:t>分）</w:t>
            </w:r>
          </w:p>
        </w:tc>
      </w:tr>
      <w:tr w14:paraId="561E3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1" w:hRule="atLeast"/>
          <w:jc w:val="center"/>
        </w:trPr>
        <w:tc>
          <w:tcPr>
            <w:tcW w:w="918" w:type="dxa"/>
            <w:noWrap w:val="0"/>
            <w:vAlign w:val="center"/>
          </w:tcPr>
          <w:p w14:paraId="5A41A5BC">
            <w:pPr>
              <w:keepNext w:val="0"/>
              <w:keepLines w:val="0"/>
              <w:pageBreakBefore w:val="0"/>
              <w:widowControl w:val="0"/>
              <w:suppressLineNumbers w:val="0"/>
              <w:kinsoku/>
              <w:wordWrap/>
              <w:overflowPunct/>
              <w:topLinePunct w:val="0"/>
              <w:bidi w:val="0"/>
              <w:snapToGrid/>
              <w:spacing w:before="0" w:beforeAutospacing="0" w:after="0" w:afterAutospacing="0" w:line="440" w:lineRule="exact"/>
              <w:ind w:left="0" w:right="0"/>
              <w:jc w:val="center"/>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w:t>
            </w:r>
          </w:p>
        </w:tc>
        <w:tc>
          <w:tcPr>
            <w:tcW w:w="1454" w:type="dxa"/>
            <w:noWrap w:val="0"/>
            <w:vAlign w:val="center"/>
          </w:tcPr>
          <w:p w14:paraId="710B6BD0">
            <w:pPr>
              <w:keepNext w:val="0"/>
              <w:keepLines w:val="0"/>
              <w:suppressLineNumbers w:val="0"/>
              <w:adjustRightInd w:val="0"/>
              <w:snapToGrid w:val="0"/>
              <w:spacing w:before="0" w:beforeAutospacing="0" w:after="0" w:afterAutospacing="0" w:line="560" w:lineRule="exact"/>
              <w:ind w:left="0" w:right="0"/>
              <w:jc w:val="center"/>
              <w:rPr>
                <w:rFonts w:hint="default" w:ascii="Calibri" w:hAnsi="Calibri" w:eastAsia="宋体" w:cs="Times New Roman"/>
                <w:color w:val="auto"/>
                <w:kern w:val="2"/>
                <w:sz w:val="21"/>
                <w:szCs w:val="24"/>
                <w:highlight w:val="none"/>
                <w:lang w:val="en-US" w:eastAsia="zh-CN" w:bidi="ar-SA"/>
              </w:rPr>
            </w:pPr>
            <w:r>
              <w:rPr>
                <w:rFonts w:hint="eastAsia" w:ascii="宋体" w:hAnsi="宋体" w:cs="宋体"/>
                <w:color w:val="auto"/>
                <w:szCs w:val="21"/>
                <w:highlight w:val="none"/>
                <w:lang w:val="en-US" w:eastAsia="zh-CN"/>
              </w:rPr>
              <w:t>投标人</w:t>
            </w:r>
            <w:r>
              <w:rPr>
                <w:rFonts w:hint="eastAsia" w:ascii="宋体" w:hAnsi="宋体" w:cs="宋体"/>
                <w:color w:val="auto"/>
                <w:szCs w:val="21"/>
                <w:highlight w:val="none"/>
              </w:rPr>
              <w:t>业绩</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分</w:t>
            </w:r>
            <w:r>
              <w:rPr>
                <w:rFonts w:hint="eastAsia" w:ascii="宋体" w:hAnsi="宋体" w:cs="宋体"/>
                <w:color w:val="auto"/>
                <w:szCs w:val="21"/>
                <w:highlight w:val="none"/>
                <w:lang w:eastAsia="zh-CN"/>
              </w:rPr>
              <w:t>）</w:t>
            </w:r>
          </w:p>
        </w:tc>
        <w:tc>
          <w:tcPr>
            <w:tcW w:w="7672" w:type="dxa"/>
            <w:noWrap w:val="0"/>
            <w:vAlign w:val="top"/>
          </w:tcPr>
          <w:p w14:paraId="208A4E5A">
            <w:pPr>
              <w:keepNext w:val="0"/>
              <w:keepLines w:val="0"/>
              <w:widowControl/>
              <w:suppressLineNumbers w:val="0"/>
              <w:spacing w:before="0" w:beforeAutospacing="0" w:after="0" w:afterAutospacing="0" w:line="480" w:lineRule="exact"/>
              <w:ind w:left="0" w:right="0"/>
              <w:jc w:val="left"/>
              <w:rPr>
                <w:rFonts w:hint="eastAsia" w:ascii="宋体" w:hAnsi="宋体" w:cs="宋体"/>
                <w:color w:val="auto"/>
                <w:kern w:val="0"/>
                <w:szCs w:val="21"/>
                <w:highlight w:val="none"/>
                <w:lang w:bidi="ar"/>
              </w:rPr>
            </w:pPr>
            <w:r>
              <w:rPr>
                <w:rFonts w:hint="default" w:ascii="宋体" w:hAnsi="宋体" w:eastAsia="宋体" w:cs="宋体"/>
                <w:color w:val="auto"/>
                <w:kern w:val="0"/>
                <w:sz w:val="21"/>
                <w:szCs w:val="21"/>
                <w:highlight w:val="none"/>
                <w:lang w:val="en-US" w:eastAsia="zh-CN" w:bidi="ar"/>
              </w:rPr>
              <w:t xml:space="preserve">2021 </w:t>
            </w:r>
            <w:r>
              <w:rPr>
                <w:rFonts w:hint="eastAsia" w:ascii="宋体" w:hAnsi="宋体" w:eastAsia="宋体" w:cs="宋体"/>
                <w:color w:val="auto"/>
                <w:kern w:val="0"/>
                <w:sz w:val="21"/>
                <w:szCs w:val="21"/>
                <w:highlight w:val="none"/>
                <w:lang w:val="en-US" w:eastAsia="zh-CN" w:bidi="ar"/>
              </w:rPr>
              <w:t xml:space="preserve">年 </w:t>
            </w:r>
            <w:r>
              <w:rPr>
                <w:rFonts w:hint="default" w:ascii="宋体" w:hAnsi="宋体" w:eastAsia="宋体" w:cs="宋体"/>
                <w:color w:val="auto"/>
                <w:kern w:val="0"/>
                <w:sz w:val="21"/>
                <w:szCs w:val="21"/>
                <w:highlight w:val="none"/>
                <w:lang w:val="en-US" w:eastAsia="zh-CN" w:bidi="ar"/>
              </w:rPr>
              <w:t xml:space="preserve">01 </w:t>
            </w:r>
            <w:r>
              <w:rPr>
                <w:rFonts w:hint="eastAsia" w:ascii="宋体" w:hAnsi="宋体" w:eastAsia="宋体" w:cs="宋体"/>
                <w:color w:val="auto"/>
                <w:kern w:val="0"/>
                <w:sz w:val="21"/>
                <w:szCs w:val="21"/>
                <w:highlight w:val="none"/>
                <w:lang w:val="en-US" w:eastAsia="zh-CN" w:bidi="ar"/>
              </w:rPr>
              <w:t xml:space="preserve">月 </w:t>
            </w:r>
            <w:r>
              <w:rPr>
                <w:rFonts w:hint="default" w:ascii="宋体" w:hAnsi="宋体" w:eastAsia="宋体" w:cs="宋体"/>
                <w:color w:val="auto"/>
                <w:kern w:val="0"/>
                <w:sz w:val="21"/>
                <w:szCs w:val="21"/>
                <w:highlight w:val="none"/>
                <w:lang w:val="en-US" w:eastAsia="zh-CN" w:bidi="ar"/>
              </w:rPr>
              <w:t>01</w:t>
            </w:r>
            <w:r>
              <w:rPr>
                <w:rFonts w:hint="eastAsia" w:ascii="宋体" w:hAnsi="宋体" w:eastAsia="宋体" w:cs="宋体"/>
                <w:color w:val="auto"/>
                <w:kern w:val="0"/>
                <w:sz w:val="21"/>
                <w:szCs w:val="21"/>
                <w:highlight w:val="none"/>
                <w:lang w:val="en-US" w:eastAsia="zh-CN" w:bidi="ar"/>
              </w:rPr>
              <w:t>日以来（以并网时间或竣工验收报告时间为准），投标人承建已完工且并网发电的单个合同在 1MWp 及以上光伏电站业绩，提供一个得 5 分， 满分5 分。</w:t>
            </w:r>
          </w:p>
          <w:p w14:paraId="4FCB5C28">
            <w:pPr>
              <w:keepNext w:val="0"/>
              <w:keepLines w:val="0"/>
              <w:pageBreakBefore w:val="0"/>
              <w:widowControl/>
              <w:suppressLineNumbers w:val="0"/>
              <w:kinsoku/>
              <w:wordWrap/>
              <w:overflowPunct/>
              <w:topLinePunct w:val="0"/>
              <w:autoSpaceDE/>
              <w:autoSpaceDN/>
              <w:bidi w:val="0"/>
              <w:spacing w:before="0" w:beforeAutospacing="0" w:after="0" w:afterAutospacing="0" w:line="480" w:lineRule="exact"/>
              <w:ind w:left="0" w:right="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 xml:space="preserve">需提供业绩以下相关证明材料： </w:t>
            </w:r>
          </w:p>
          <w:p w14:paraId="3316FC3F">
            <w:pPr>
              <w:keepNext w:val="0"/>
              <w:keepLines w:val="0"/>
              <w:pageBreakBefore w:val="0"/>
              <w:widowControl/>
              <w:suppressLineNumbers w:val="0"/>
              <w:kinsoku/>
              <w:wordWrap/>
              <w:overflowPunct/>
              <w:topLinePunct w:val="0"/>
              <w:autoSpaceDE/>
              <w:autoSpaceDN/>
              <w:bidi w:val="0"/>
              <w:spacing w:before="0" w:beforeAutospacing="0" w:after="0" w:afterAutospacing="0" w:line="480" w:lineRule="exact"/>
              <w:ind w:left="0" w:right="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cs="宋体"/>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 xml:space="preserve">业绩合同需提供包含甲乙方、项目名称、合同总金额、合同签订时间、合 </w:t>
            </w:r>
          </w:p>
          <w:p w14:paraId="1F322D9D">
            <w:pPr>
              <w:keepNext w:val="0"/>
              <w:keepLines w:val="0"/>
              <w:pageBreakBefore w:val="0"/>
              <w:widowControl/>
              <w:suppressLineNumbers w:val="0"/>
              <w:kinsoku/>
              <w:wordWrap/>
              <w:overflowPunct/>
              <w:topLinePunct w:val="0"/>
              <w:autoSpaceDE/>
              <w:autoSpaceDN/>
              <w:bidi w:val="0"/>
              <w:spacing w:before="0" w:beforeAutospacing="0" w:after="0" w:afterAutospacing="0" w:line="480" w:lineRule="exact"/>
              <w:ind w:left="0" w:right="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同供货范围、</w:t>
            </w:r>
            <w:r>
              <w:rPr>
                <w:rFonts w:hint="eastAsia"/>
                <w:color w:val="auto"/>
                <w:highlight w:val="none"/>
                <w:lang w:val="en-US" w:eastAsia="zh-CN"/>
              </w:rPr>
              <w:t>装机容量、</w:t>
            </w:r>
            <w:r>
              <w:rPr>
                <w:rFonts w:hint="eastAsia" w:ascii="宋体" w:hAnsi="宋体" w:eastAsia="宋体" w:cs="宋体"/>
                <w:color w:val="auto"/>
                <w:kern w:val="0"/>
                <w:sz w:val="21"/>
                <w:szCs w:val="21"/>
                <w:highlight w:val="none"/>
                <w:lang w:val="en-US" w:eastAsia="zh-CN" w:bidi="ar"/>
              </w:rPr>
              <w:t>合同签字盖章页等关键内容的关键页的扫描件；</w:t>
            </w:r>
          </w:p>
          <w:p w14:paraId="2649797F">
            <w:pPr>
              <w:keepNext w:val="0"/>
              <w:keepLines w:val="0"/>
              <w:pageBreakBefore w:val="0"/>
              <w:widowControl/>
              <w:suppressLineNumbers w:val="0"/>
              <w:kinsoku/>
              <w:wordWrap/>
              <w:overflowPunct/>
              <w:topLinePunct w:val="0"/>
              <w:autoSpaceDE/>
              <w:autoSpaceDN/>
              <w:bidi w:val="0"/>
              <w:spacing w:before="0" w:beforeAutospacing="0" w:after="0" w:afterAutospacing="0" w:line="480" w:lineRule="exact"/>
              <w:ind w:left="0" w:right="0"/>
              <w:jc w:val="left"/>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 xml:space="preserve">（2）与该业绩对应的项目已完工且并网的证明资料，满足下列条件：同时提供 </w:t>
            </w:r>
          </w:p>
          <w:p w14:paraId="0985F8DE">
            <w:pPr>
              <w:keepNext w:val="0"/>
              <w:keepLines w:val="0"/>
              <w:pageBreakBefore w:val="0"/>
              <w:widowControl/>
              <w:suppressLineNumbers w:val="0"/>
              <w:kinsoku/>
              <w:wordWrap/>
              <w:overflowPunct/>
              <w:topLinePunct w:val="0"/>
              <w:autoSpaceDE/>
              <w:autoSpaceDN/>
              <w:bidi w:val="0"/>
              <w:spacing w:before="0" w:beforeAutospacing="0" w:after="0" w:afterAutospacing="0" w:line="480" w:lineRule="exact"/>
              <w:ind w:left="0" w:right="0"/>
              <w:jc w:val="left"/>
              <w:textAlignment w:val="auto"/>
              <w:rPr>
                <w:rFonts w:hint="default" w:ascii="Calibri" w:hAnsi="Calibri" w:eastAsia="宋体" w:cs="Times New Roman"/>
                <w:color w:val="auto"/>
                <w:kern w:val="2"/>
                <w:sz w:val="21"/>
                <w:szCs w:val="24"/>
                <w:highlight w:val="none"/>
                <w:lang w:val="en-US" w:eastAsia="zh-CN" w:bidi="ar-SA"/>
              </w:rPr>
            </w:pPr>
            <w:r>
              <w:rPr>
                <w:rFonts w:hint="eastAsia" w:ascii="宋体" w:hAnsi="宋体" w:eastAsia="宋体" w:cs="宋体"/>
                <w:color w:val="auto"/>
                <w:kern w:val="0"/>
                <w:sz w:val="21"/>
                <w:szCs w:val="21"/>
                <w:highlight w:val="none"/>
                <w:lang w:val="en-US" w:eastAsia="zh-CN" w:bidi="ar"/>
              </w:rPr>
              <w:t xml:space="preserve">国家电网相关部门出具的并网验收报告（并网验收单）和项目竣工验收报告。 </w:t>
            </w:r>
          </w:p>
        </w:tc>
      </w:tr>
    </w:tbl>
    <w:p w14:paraId="04253152">
      <w:pPr>
        <w:kinsoku/>
        <w:wordWrap/>
        <w:overflowPunct/>
        <w:topLinePunct w:val="0"/>
        <w:bidi w:val="0"/>
        <w:snapToGrid/>
        <w:spacing w:line="324" w:lineRule="auto"/>
        <w:textAlignment w:val="auto"/>
        <w:rPr>
          <w:rFonts w:hint="eastAsia" w:ascii="宋体" w:hAnsi="宋体" w:eastAsia="宋体" w:cs="宋体"/>
          <w:vanish/>
          <w:color w:val="auto"/>
          <w:sz w:val="21"/>
          <w:szCs w:val="21"/>
          <w:highlight w:val="none"/>
        </w:rPr>
      </w:pPr>
    </w:p>
    <w:p w14:paraId="6EBA6E3B">
      <w:pPr>
        <w:pStyle w:val="28"/>
        <w:spacing w:beforeLines="30" w:afterLines="30" w:line="440" w:lineRule="exact"/>
        <w:ind w:firstLine="0" w:firstLineChars="0"/>
        <w:jc w:val="left"/>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备注：</w:t>
      </w:r>
      <w:r>
        <w:rPr>
          <w:rFonts w:hint="eastAsia" w:ascii="宋体" w:hAnsi="宋体" w:eastAsia="宋体" w:cs="宋体"/>
          <w:color w:val="auto"/>
          <w:sz w:val="21"/>
          <w:szCs w:val="21"/>
          <w:highlight w:val="none"/>
          <w:lang w:val="en-US" w:eastAsia="zh-CN"/>
        </w:rPr>
        <w:t>投标人投标时只须提供</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个评审业绩，若投标人提供业绩个数超过</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个，则按照排列顺序从首个业绩开始评审至对应数量（</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个），超出部分业绩不进行评审。对应数量（</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个）内业绩不符合招标文件要求不得分的，不再补充评审超出部分业绩。如：提供</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个业绩即得满分的，按照投标文件排序评审第一项业绩，其余超出部分不再评审”。</w:t>
      </w:r>
    </w:p>
    <w:p w14:paraId="3D670EF0">
      <w:pPr>
        <w:pStyle w:val="28"/>
        <w:spacing w:beforeLines="30" w:afterLines="30" w:line="440" w:lineRule="exact"/>
        <w:ind w:firstLine="0" w:firstLineChars="0"/>
        <w:jc w:val="center"/>
        <w:rPr>
          <w:rFonts w:ascii="宋体" w:hAnsi="宋体"/>
          <w:b/>
          <w:bCs/>
          <w:color w:val="auto"/>
          <w:szCs w:val="21"/>
          <w:highlight w:val="none"/>
        </w:rPr>
      </w:pPr>
      <w:r>
        <w:rPr>
          <w:rFonts w:hint="eastAsia" w:ascii="宋体" w:hAnsi="宋体"/>
          <w:b/>
          <w:bCs/>
          <w:color w:val="auto"/>
          <w:szCs w:val="21"/>
          <w:highlight w:val="none"/>
          <w:lang w:val="en-US" w:eastAsia="zh-CN"/>
        </w:rPr>
        <w:t>（二）</w:t>
      </w:r>
      <w:r>
        <w:rPr>
          <w:rFonts w:hint="eastAsia" w:ascii="宋体" w:hAnsi="宋体"/>
          <w:b/>
          <w:bCs/>
          <w:color w:val="auto"/>
          <w:szCs w:val="21"/>
          <w:highlight w:val="none"/>
        </w:rPr>
        <w:t>技术标评分细则（</w:t>
      </w:r>
      <w:r>
        <w:rPr>
          <w:rFonts w:hint="eastAsia" w:ascii="宋体" w:hAnsi="宋体"/>
          <w:b/>
          <w:bCs/>
          <w:color w:val="auto"/>
          <w:szCs w:val="21"/>
          <w:highlight w:val="none"/>
          <w:lang w:val="en-US" w:eastAsia="zh-CN"/>
        </w:rPr>
        <w:t>10</w:t>
      </w:r>
      <w:r>
        <w:rPr>
          <w:rFonts w:hint="eastAsia" w:ascii="宋体" w:hAnsi="宋体"/>
          <w:b/>
          <w:bCs/>
          <w:color w:val="auto"/>
          <w:szCs w:val="21"/>
          <w:highlight w:val="none"/>
        </w:rPr>
        <w:t>分）</w:t>
      </w:r>
    </w:p>
    <w:tbl>
      <w:tblPr>
        <w:tblStyle w:val="46"/>
        <w:tblpPr w:leftFromText="180" w:rightFromText="180" w:vertAnchor="text" w:horzAnchor="page" w:tblpX="1165" w:tblpY="47"/>
        <w:tblOverlap w:val="never"/>
        <w:tblW w:w="92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989"/>
        <w:gridCol w:w="1138"/>
        <w:gridCol w:w="6466"/>
      </w:tblGrid>
      <w:tr w14:paraId="18A07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05" w:type="dxa"/>
            <w:noWrap w:val="0"/>
            <w:vAlign w:val="center"/>
          </w:tcPr>
          <w:p w14:paraId="0575094F">
            <w:pPr>
              <w:keepNext w:val="0"/>
              <w:keepLines w:val="0"/>
              <w:pageBreakBefore w:val="0"/>
              <w:suppressLineNumbers w:val="0"/>
              <w:kinsoku/>
              <w:wordWrap/>
              <w:overflowPunct/>
              <w:topLinePunct w:val="0"/>
              <w:autoSpaceDE/>
              <w:autoSpaceDN/>
              <w:bidi w:val="0"/>
              <w:spacing w:before="0" w:beforeAutospacing="0" w:after="0" w:afterAutospacing="0" w:line="480" w:lineRule="exact"/>
              <w:ind w:left="0" w:right="0"/>
              <w:jc w:val="center"/>
              <w:textAlignment w:val="auto"/>
              <w:rPr>
                <w:rFonts w:hint="default" w:ascii="宋体" w:hAnsi="宋体" w:cs="宋体"/>
                <w:b/>
                <w:color w:val="auto"/>
                <w:szCs w:val="21"/>
                <w:highlight w:val="none"/>
              </w:rPr>
            </w:pPr>
            <w:r>
              <w:rPr>
                <w:rFonts w:hint="eastAsia" w:ascii="宋体" w:hAnsi="宋体" w:cs="宋体"/>
                <w:b/>
                <w:color w:val="auto"/>
                <w:szCs w:val="21"/>
                <w:highlight w:val="none"/>
              </w:rPr>
              <w:t>序号</w:t>
            </w:r>
          </w:p>
        </w:tc>
        <w:tc>
          <w:tcPr>
            <w:tcW w:w="989" w:type="dxa"/>
            <w:noWrap w:val="0"/>
            <w:vAlign w:val="center"/>
          </w:tcPr>
          <w:p w14:paraId="3112A076">
            <w:pPr>
              <w:keepNext w:val="0"/>
              <w:keepLines w:val="0"/>
              <w:pageBreakBefore w:val="0"/>
              <w:widowControl/>
              <w:suppressLineNumbers w:val="0"/>
              <w:kinsoku/>
              <w:wordWrap/>
              <w:overflowPunct/>
              <w:topLinePunct w:val="0"/>
              <w:autoSpaceDE/>
              <w:autoSpaceDN/>
              <w:bidi w:val="0"/>
              <w:spacing w:before="0" w:beforeAutospacing="0" w:after="0" w:afterAutospacing="0" w:line="480" w:lineRule="exact"/>
              <w:ind w:left="0" w:right="0"/>
              <w:jc w:val="left"/>
              <w:textAlignment w:val="auto"/>
              <w:rPr>
                <w:rFonts w:hint="default" w:ascii="宋体" w:hAnsi="宋体" w:cs="宋体"/>
                <w:b/>
                <w:color w:val="auto"/>
                <w:szCs w:val="21"/>
                <w:highlight w:val="none"/>
              </w:rPr>
            </w:pPr>
            <w:r>
              <w:rPr>
                <w:rFonts w:hint="eastAsia" w:ascii="宋体" w:hAnsi="宋体" w:eastAsia="宋体" w:cs="宋体"/>
                <w:b/>
                <w:bCs/>
                <w:color w:val="auto"/>
                <w:kern w:val="0"/>
                <w:sz w:val="18"/>
                <w:szCs w:val="18"/>
                <w:highlight w:val="none"/>
                <w:lang w:val="en-US" w:eastAsia="zh-CN" w:bidi="ar"/>
              </w:rPr>
              <w:t xml:space="preserve">分值 </w:t>
            </w:r>
          </w:p>
        </w:tc>
        <w:tc>
          <w:tcPr>
            <w:tcW w:w="1138" w:type="dxa"/>
            <w:noWrap w:val="0"/>
            <w:vAlign w:val="center"/>
          </w:tcPr>
          <w:p w14:paraId="2D23771A">
            <w:pPr>
              <w:keepNext w:val="0"/>
              <w:keepLines w:val="0"/>
              <w:pageBreakBefore w:val="0"/>
              <w:suppressLineNumbers w:val="0"/>
              <w:kinsoku/>
              <w:wordWrap/>
              <w:overflowPunct/>
              <w:topLinePunct w:val="0"/>
              <w:autoSpaceDE/>
              <w:autoSpaceDN/>
              <w:bidi w:val="0"/>
              <w:spacing w:before="0" w:beforeAutospacing="0" w:after="0" w:afterAutospacing="0" w:line="480" w:lineRule="exact"/>
              <w:ind w:left="0" w:right="0"/>
              <w:jc w:val="center"/>
              <w:textAlignment w:val="auto"/>
              <w:rPr>
                <w:rFonts w:hint="default" w:ascii="宋体" w:hAnsi="宋体" w:cs="宋体"/>
                <w:b/>
                <w:color w:val="auto"/>
                <w:szCs w:val="21"/>
                <w:highlight w:val="none"/>
              </w:rPr>
            </w:pPr>
            <w:r>
              <w:rPr>
                <w:rFonts w:hint="eastAsia" w:ascii="宋体" w:hAnsi="宋体" w:cs="宋体"/>
                <w:b/>
                <w:color w:val="auto"/>
                <w:szCs w:val="21"/>
                <w:highlight w:val="none"/>
              </w:rPr>
              <w:t>评分项目</w:t>
            </w:r>
          </w:p>
        </w:tc>
        <w:tc>
          <w:tcPr>
            <w:tcW w:w="6466" w:type="dxa"/>
            <w:noWrap w:val="0"/>
            <w:vAlign w:val="center"/>
          </w:tcPr>
          <w:p w14:paraId="437C03C0">
            <w:pPr>
              <w:keepNext w:val="0"/>
              <w:keepLines w:val="0"/>
              <w:pageBreakBefore w:val="0"/>
              <w:suppressLineNumbers w:val="0"/>
              <w:kinsoku/>
              <w:wordWrap/>
              <w:overflowPunct/>
              <w:topLinePunct w:val="0"/>
              <w:autoSpaceDE/>
              <w:autoSpaceDN/>
              <w:bidi w:val="0"/>
              <w:spacing w:before="0" w:beforeAutospacing="0" w:after="0" w:afterAutospacing="0" w:line="480" w:lineRule="exact"/>
              <w:ind w:left="0" w:right="0"/>
              <w:jc w:val="center"/>
              <w:textAlignment w:val="auto"/>
              <w:rPr>
                <w:rFonts w:hint="default" w:ascii="宋体" w:hAnsi="宋体" w:cs="宋体"/>
                <w:b/>
                <w:color w:val="auto"/>
                <w:szCs w:val="21"/>
                <w:highlight w:val="none"/>
              </w:rPr>
            </w:pPr>
            <w:r>
              <w:rPr>
                <w:rFonts w:hint="eastAsia" w:ascii="宋体" w:hAnsi="宋体" w:cs="宋体"/>
                <w:b/>
                <w:color w:val="auto"/>
                <w:szCs w:val="21"/>
                <w:highlight w:val="none"/>
              </w:rPr>
              <w:t>评分细则</w:t>
            </w:r>
          </w:p>
        </w:tc>
      </w:tr>
      <w:tr w14:paraId="069A5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05" w:type="dxa"/>
            <w:shd w:val="clear" w:color="auto" w:fill="auto"/>
            <w:noWrap w:val="0"/>
            <w:vAlign w:val="center"/>
          </w:tcPr>
          <w:p w14:paraId="7B0B24A6">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eastAsia="宋体" w:cs="宋体"/>
                <w:color w:val="auto"/>
                <w:kern w:val="2"/>
                <w:sz w:val="21"/>
                <w:szCs w:val="21"/>
                <w:highlight w:val="none"/>
                <w:lang w:val="en-US" w:eastAsia="zh-CN" w:bidi="ar-SA"/>
              </w:rPr>
            </w:pPr>
            <w:r>
              <w:rPr>
                <w:rFonts w:hint="eastAsia" w:ascii="宋体" w:hAnsi="宋体" w:cs="宋体"/>
                <w:color w:val="auto"/>
                <w:szCs w:val="21"/>
                <w:highlight w:val="none"/>
              </w:rPr>
              <w:t>1</w:t>
            </w:r>
          </w:p>
        </w:tc>
        <w:tc>
          <w:tcPr>
            <w:tcW w:w="989" w:type="dxa"/>
            <w:shd w:val="clear" w:color="auto" w:fill="auto"/>
            <w:noWrap w:val="0"/>
            <w:vAlign w:val="center"/>
          </w:tcPr>
          <w:p w14:paraId="68BD2151">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eastAsia="宋体" w:cs="宋体"/>
                <w:color w:val="auto"/>
                <w:kern w:val="2"/>
                <w:sz w:val="21"/>
                <w:szCs w:val="21"/>
                <w:highlight w:val="none"/>
                <w:lang w:val="en-US" w:eastAsia="zh-CN" w:bidi="ar-SA"/>
              </w:rPr>
            </w:pPr>
            <w:r>
              <w:rPr>
                <w:rFonts w:hint="eastAsia" w:ascii="宋体" w:hAnsi="宋体" w:cs="宋体"/>
                <w:color w:val="auto"/>
                <w:szCs w:val="21"/>
                <w:highlight w:val="none"/>
                <w:lang w:val="en-US" w:eastAsia="zh-CN"/>
              </w:rPr>
              <w:t>施工组织设计</w:t>
            </w:r>
          </w:p>
        </w:tc>
        <w:tc>
          <w:tcPr>
            <w:tcW w:w="1138" w:type="dxa"/>
            <w:shd w:val="clear" w:color="auto" w:fill="auto"/>
            <w:noWrap w:val="0"/>
            <w:vAlign w:val="center"/>
          </w:tcPr>
          <w:p w14:paraId="4582766C">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eastAsia="宋体" w:cs="宋体"/>
                <w:color w:val="auto"/>
                <w:kern w:val="2"/>
                <w:sz w:val="21"/>
                <w:szCs w:val="21"/>
                <w:highlight w:val="none"/>
                <w:lang w:val="en-US" w:eastAsia="zh-CN" w:bidi="ar-SA"/>
              </w:rPr>
            </w:pPr>
            <w:r>
              <w:rPr>
                <w:rFonts w:hint="eastAsia" w:ascii="宋体" w:hAnsi="宋体" w:cs="宋体"/>
                <w:color w:val="auto"/>
                <w:szCs w:val="21"/>
                <w:highlight w:val="none"/>
                <w:lang w:val="en-US" w:eastAsia="zh-CN"/>
              </w:rPr>
              <w:t>10</w:t>
            </w:r>
            <w:r>
              <w:rPr>
                <w:rFonts w:hint="eastAsia" w:ascii="宋体" w:hAnsi="宋体" w:cs="宋体"/>
                <w:color w:val="auto"/>
                <w:szCs w:val="21"/>
                <w:highlight w:val="none"/>
              </w:rPr>
              <w:t>分</w:t>
            </w:r>
          </w:p>
        </w:tc>
        <w:tc>
          <w:tcPr>
            <w:tcW w:w="6466" w:type="dxa"/>
            <w:shd w:val="clear" w:color="auto" w:fill="auto"/>
            <w:noWrap w:val="0"/>
            <w:vAlign w:val="top"/>
          </w:tcPr>
          <w:p w14:paraId="38B34A1A">
            <w:pPr>
              <w:keepNext w:val="0"/>
              <w:keepLines w:val="0"/>
              <w:widowControl/>
              <w:suppressLineNumbers w:val="0"/>
              <w:spacing w:before="0" w:beforeAutospacing="0" w:after="0" w:afterAutospacing="0" w:line="480" w:lineRule="exact"/>
              <w:ind w:left="0" w:right="0"/>
              <w:jc w:val="left"/>
              <w:rPr>
                <w:rFonts w:hint="eastAsia" w:ascii="宋体" w:hAnsi="宋体" w:cs="宋体"/>
                <w:color w:val="auto"/>
                <w:kern w:val="0"/>
                <w:szCs w:val="21"/>
                <w:highlight w:val="none"/>
                <w:lang w:bidi="ar"/>
              </w:rPr>
            </w:pPr>
            <w:r>
              <w:rPr>
                <w:rFonts w:hint="eastAsia" w:ascii="宋体" w:hAnsi="宋体" w:eastAsia="宋体" w:cs="宋体"/>
                <w:color w:val="auto"/>
                <w:kern w:val="0"/>
                <w:sz w:val="21"/>
                <w:szCs w:val="21"/>
                <w:highlight w:val="none"/>
                <w:lang w:val="en-US" w:eastAsia="zh-CN" w:bidi="ar"/>
              </w:rPr>
              <w:t xml:space="preserve">包括①、总体筹划与总平面布置；②、工程进度计划与措施及施工 </w:t>
            </w:r>
          </w:p>
          <w:p w14:paraId="38D85806">
            <w:pPr>
              <w:keepNext w:val="0"/>
              <w:keepLines w:val="0"/>
              <w:widowControl/>
              <w:suppressLineNumbers w:val="0"/>
              <w:spacing w:before="0" w:beforeAutospacing="0" w:after="0" w:afterAutospacing="0" w:line="480" w:lineRule="exact"/>
              <w:ind w:left="0" w:right="0"/>
              <w:jc w:val="left"/>
              <w:rPr>
                <w:rFonts w:hint="eastAsia" w:ascii="宋体" w:hAnsi="宋体" w:cs="宋体"/>
                <w:color w:val="auto"/>
                <w:kern w:val="0"/>
                <w:szCs w:val="21"/>
                <w:highlight w:val="none"/>
                <w:lang w:bidi="ar"/>
              </w:rPr>
            </w:pPr>
            <w:r>
              <w:rPr>
                <w:rFonts w:hint="eastAsia" w:ascii="宋体" w:hAnsi="宋体" w:eastAsia="宋体" w:cs="宋体"/>
                <w:color w:val="auto"/>
                <w:kern w:val="0"/>
                <w:sz w:val="21"/>
                <w:szCs w:val="21"/>
                <w:highlight w:val="none"/>
                <w:lang w:val="en-US" w:eastAsia="zh-CN" w:bidi="ar"/>
              </w:rPr>
              <w:t xml:space="preserve">网 络图；③、主要施工方案和技术措施；④、主要物资供应计划； </w:t>
            </w:r>
          </w:p>
          <w:p w14:paraId="433F9688">
            <w:pPr>
              <w:keepNext w:val="0"/>
              <w:keepLines w:val="0"/>
              <w:widowControl/>
              <w:suppressLineNumbers w:val="0"/>
              <w:spacing w:before="0" w:beforeAutospacing="0" w:after="0" w:afterAutospacing="0" w:line="480" w:lineRule="exact"/>
              <w:ind w:left="0" w:right="0"/>
              <w:jc w:val="left"/>
              <w:rPr>
                <w:rFonts w:hint="eastAsia" w:ascii="宋体" w:hAnsi="宋体" w:cs="宋体"/>
                <w:color w:val="auto"/>
                <w:kern w:val="0"/>
                <w:szCs w:val="21"/>
                <w:highlight w:val="none"/>
                <w:lang w:bidi="ar"/>
              </w:rPr>
            </w:pPr>
            <w:r>
              <w:rPr>
                <w:rFonts w:hint="eastAsia" w:ascii="宋体" w:hAnsi="宋体" w:eastAsia="宋体" w:cs="宋体"/>
                <w:color w:val="auto"/>
                <w:kern w:val="0"/>
                <w:sz w:val="21"/>
                <w:szCs w:val="21"/>
                <w:highlight w:val="none"/>
                <w:lang w:val="en-US" w:eastAsia="zh-CN" w:bidi="ar"/>
              </w:rPr>
              <w:t xml:space="preserve">⑤、 劳动力安排计划，主要施工机械、设备进场计划；⑥、确保工 </w:t>
            </w:r>
          </w:p>
          <w:p w14:paraId="6672AAF3">
            <w:pPr>
              <w:keepNext w:val="0"/>
              <w:keepLines w:val="0"/>
              <w:widowControl/>
              <w:suppressLineNumbers w:val="0"/>
              <w:spacing w:before="0" w:beforeAutospacing="0" w:after="0" w:afterAutospacing="0" w:line="480" w:lineRule="exact"/>
              <w:ind w:left="0" w:right="0"/>
              <w:jc w:val="left"/>
              <w:rPr>
                <w:rFonts w:hint="eastAsia" w:ascii="宋体" w:hAnsi="宋体" w:cs="宋体"/>
                <w:color w:val="auto"/>
                <w:kern w:val="0"/>
                <w:szCs w:val="21"/>
                <w:highlight w:val="none"/>
                <w:lang w:bidi="ar"/>
              </w:rPr>
            </w:pPr>
            <w:r>
              <w:rPr>
                <w:rFonts w:hint="eastAsia" w:ascii="宋体" w:hAnsi="宋体" w:eastAsia="宋体" w:cs="宋体"/>
                <w:color w:val="auto"/>
                <w:kern w:val="0"/>
                <w:sz w:val="21"/>
                <w:szCs w:val="21"/>
                <w:highlight w:val="none"/>
                <w:lang w:val="en-US" w:eastAsia="zh-CN" w:bidi="ar"/>
              </w:rPr>
              <w:t xml:space="preserve">程质量 的管理体系与措施；⑦、确保安全生产的管理体系与措施； </w:t>
            </w:r>
          </w:p>
          <w:p w14:paraId="1F3FC501">
            <w:pPr>
              <w:keepNext w:val="0"/>
              <w:keepLines w:val="0"/>
              <w:widowControl/>
              <w:suppressLineNumbers w:val="0"/>
              <w:spacing w:before="0" w:beforeAutospacing="0" w:after="0" w:afterAutospacing="0" w:line="480" w:lineRule="exact"/>
              <w:ind w:left="0" w:right="0"/>
              <w:jc w:val="left"/>
              <w:rPr>
                <w:rFonts w:hint="eastAsia" w:ascii="宋体" w:hAnsi="宋体" w:cs="宋体"/>
                <w:color w:val="auto"/>
                <w:kern w:val="0"/>
                <w:szCs w:val="21"/>
                <w:highlight w:val="none"/>
                <w:lang w:bidi="ar"/>
              </w:rPr>
            </w:pPr>
            <w:r>
              <w:rPr>
                <w:rFonts w:hint="eastAsia" w:ascii="宋体" w:hAnsi="宋体" w:eastAsia="宋体" w:cs="宋体"/>
                <w:color w:val="auto"/>
                <w:kern w:val="0"/>
                <w:sz w:val="21"/>
                <w:szCs w:val="21"/>
                <w:highlight w:val="none"/>
                <w:lang w:val="en-US" w:eastAsia="zh-CN" w:bidi="ar"/>
              </w:rPr>
              <w:t xml:space="preserve">⑧、确保 文明施工的管理体系与措施；⑨、工程重难点及对应保证 </w:t>
            </w:r>
          </w:p>
          <w:p w14:paraId="022A6877">
            <w:pPr>
              <w:keepNext w:val="0"/>
              <w:keepLines w:val="0"/>
              <w:widowControl/>
              <w:suppressLineNumbers w:val="0"/>
              <w:spacing w:before="0" w:beforeAutospacing="0" w:after="0" w:afterAutospacing="0" w:line="480" w:lineRule="exact"/>
              <w:ind w:left="0" w:right="0"/>
              <w:jc w:val="left"/>
              <w:rPr>
                <w:rFonts w:hint="eastAsia" w:ascii="宋体" w:hAnsi="宋体" w:cs="宋体"/>
                <w:color w:val="auto"/>
                <w:kern w:val="0"/>
                <w:szCs w:val="21"/>
                <w:highlight w:val="none"/>
                <w:lang w:bidi="ar"/>
              </w:rPr>
            </w:pPr>
            <w:r>
              <w:rPr>
                <w:rFonts w:hint="eastAsia" w:ascii="宋体" w:hAnsi="宋体" w:eastAsia="宋体" w:cs="宋体"/>
                <w:color w:val="auto"/>
                <w:kern w:val="0"/>
                <w:sz w:val="21"/>
                <w:szCs w:val="21"/>
                <w:highlight w:val="none"/>
                <w:lang w:val="en-US" w:eastAsia="zh-CN" w:bidi="ar"/>
              </w:rPr>
              <w:t xml:space="preserve">措施；⑩、 危大工程安全管理与新技术、新产品、新工艺、新材 </w:t>
            </w:r>
          </w:p>
          <w:p w14:paraId="66CE3406">
            <w:pPr>
              <w:keepNext w:val="0"/>
              <w:keepLines w:val="0"/>
              <w:widowControl/>
              <w:suppressLineNumbers w:val="0"/>
              <w:spacing w:before="0" w:beforeAutospacing="0" w:after="0" w:afterAutospacing="0" w:line="480" w:lineRule="exact"/>
              <w:ind w:left="0" w:right="0"/>
              <w:jc w:val="left"/>
              <w:rPr>
                <w:rFonts w:hint="eastAsia" w:ascii="宋体" w:hAnsi="宋体" w:cs="宋体"/>
                <w:color w:val="auto"/>
                <w:kern w:val="0"/>
                <w:szCs w:val="21"/>
                <w:highlight w:val="none"/>
                <w:lang w:bidi="ar"/>
              </w:rPr>
            </w:pPr>
            <w:r>
              <w:rPr>
                <w:rFonts w:hint="eastAsia" w:ascii="宋体" w:hAnsi="宋体" w:eastAsia="宋体" w:cs="宋体"/>
                <w:color w:val="auto"/>
                <w:kern w:val="0"/>
                <w:sz w:val="21"/>
                <w:szCs w:val="21"/>
                <w:highlight w:val="none"/>
                <w:lang w:val="en-US" w:eastAsia="zh-CN" w:bidi="ar"/>
              </w:rPr>
              <w:t xml:space="preserve">料应用等。评标 委员会根据各投标人提供的施工组织设计进行综 </w:t>
            </w:r>
          </w:p>
          <w:p w14:paraId="489E33A2">
            <w:pPr>
              <w:keepNext w:val="0"/>
              <w:keepLines w:val="0"/>
              <w:widowControl/>
              <w:suppressLineNumbers w:val="0"/>
              <w:spacing w:before="0" w:beforeAutospacing="0" w:after="0" w:afterAutospacing="0" w:line="480" w:lineRule="exact"/>
              <w:ind w:left="0" w:right="0"/>
              <w:jc w:val="left"/>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合对比评审，每小项 优秀得 1分，良好得0.9分，一般得 0.8分，合格得 0.7分，不合格或缺项不得分，本项满分 10分。</w:t>
            </w:r>
          </w:p>
        </w:tc>
      </w:tr>
    </w:tbl>
    <w:p w14:paraId="57E197FF">
      <w:pPr>
        <w:pStyle w:val="28"/>
        <w:keepNext w:val="0"/>
        <w:keepLines w:val="0"/>
        <w:pageBreakBefore w:val="0"/>
        <w:widowControl w:val="0"/>
        <w:kinsoku/>
        <w:wordWrap/>
        <w:overflowPunct/>
        <w:topLinePunct w:val="0"/>
        <w:autoSpaceDE/>
        <w:autoSpaceDN/>
        <w:bidi w:val="0"/>
        <w:adjustRightInd/>
        <w:snapToGrid/>
        <w:spacing w:line="440" w:lineRule="exact"/>
        <w:ind w:firstLine="0" w:firstLineChars="0"/>
        <w:jc w:val="left"/>
        <w:textAlignment w:val="auto"/>
        <w:rPr>
          <w:rFonts w:hint="default" w:ascii="宋体" w:hAnsi="宋体" w:eastAsia="宋体"/>
          <w:b/>
          <w:bCs/>
          <w:color w:val="auto"/>
          <w:sz w:val="21"/>
          <w:szCs w:val="21"/>
          <w:highlight w:val="none"/>
          <w:lang w:val="en-US" w:eastAsia="zh-CN"/>
        </w:rPr>
      </w:pPr>
      <w:r>
        <w:rPr>
          <w:rFonts w:hint="eastAsia" w:ascii="宋体" w:hAnsi="宋体"/>
          <w:b/>
          <w:bCs/>
          <w:color w:val="auto"/>
          <w:sz w:val="21"/>
          <w:szCs w:val="21"/>
          <w:highlight w:val="none"/>
          <w:lang w:val="en-US" w:eastAsia="zh-CN"/>
        </w:rPr>
        <w:t>注：技术标得分为各评委评分的算数平均值，小数点后保留两位小数。</w:t>
      </w:r>
    </w:p>
    <w:p w14:paraId="7132B80B">
      <w:pPr>
        <w:pStyle w:val="199"/>
        <w:pageBreakBefore w:val="0"/>
        <w:numPr>
          <w:ilvl w:val="0"/>
          <w:numId w:val="5"/>
        </w:numPr>
        <w:kinsoku/>
        <w:wordWrap/>
        <w:overflowPunct/>
        <w:topLinePunct w:val="0"/>
        <w:autoSpaceDE/>
        <w:autoSpaceDN/>
        <w:bidi w:val="0"/>
        <w:adjustRightInd/>
        <w:snapToGrid/>
        <w:spacing w:line="440" w:lineRule="exact"/>
        <w:ind w:firstLine="241" w:firstLineChars="100"/>
        <w:jc w:val="center"/>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商务评审（</w:t>
      </w:r>
      <w:r>
        <w:rPr>
          <w:rFonts w:hint="eastAsia" w:ascii="宋体" w:hAnsi="宋体" w:cs="宋体"/>
          <w:b/>
          <w:bCs/>
          <w:color w:val="auto"/>
          <w:kern w:val="2"/>
          <w:sz w:val="24"/>
          <w:szCs w:val="24"/>
          <w:highlight w:val="none"/>
          <w:lang w:val="en-US" w:eastAsia="zh-CN" w:bidi="ar-SA"/>
        </w:rPr>
        <w:t>85</w:t>
      </w:r>
      <w:r>
        <w:rPr>
          <w:rFonts w:hint="eastAsia" w:ascii="宋体" w:hAnsi="宋体" w:eastAsia="宋体" w:cs="宋体"/>
          <w:b/>
          <w:bCs/>
          <w:color w:val="auto"/>
          <w:kern w:val="2"/>
          <w:sz w:val="24"/>
          <w:szCs w:val="24"/>
          <w:highlight w:val="none"/>
          <w:lang w:val="en-US" w:eastAsia="zh-CN" w:bidi="ar-SA"/>
        </w:rPr>
        <w:t>）</w:t>
      </w:r>
    </w:p>
    <w:tbl>
      <w:tblPr>
        <w:tblStyle w:val="46"/>
        <w:tblW w:w="10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780"/>
        <w:gridCol w:w="2831"/>
        <w:gridCol w:w="5794"/>
      </w:tblGrid>
      <w:tr w14:paraId="701DB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661" w:type="dxa"/>
            <w:gridSpan w:val="2"/>
            <w:noWrap w:val="0"/>
            <w:vAlign w:val="center"/>
          </w:tcPr>
          <w:p w14:paraId="0D800BA2">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color w:val="auto"/>
                <w:szCs w:val="21"/>
                <w:highlight w:val="none"/>
              </w:rPr>
            </w:pPr>
            <w:r>
              <w:rPr>
                <w:rFonts w:hint="eastAsia" w:ascii="宋体" w:hAnsi="宋体"/>
                <w:color w:val="auto"/>
                <w:szCs w:val="21"/>
                <w:highlight w:val="none"/>
              </w:rPr>
              <w:t>条款号</w:t>
            </w:r>
          </w:p>
        </w:tc>
        <w:tc>
          <w:tcPr>
            <w:tcW w:w="2831" w:type="dxa"/>
            <w:noWrap w:val="0"/>
            <w:vAlign w:val="center"/>
          </w:tcPr>
          <w:p w14:paraId="3F7D6312">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color w:val="auto"/>
                <w:szCs w:val="21"/>
                <w:highlight w:val="none"/>
              </w:rPr>
            </w:pPr>
            <w:r>
              <w:rPr>
                <w:rFonts w:hint="eastAsia" w:ascii="宋体" w:hAnsi="宋体"/>
                <w:color w:val="auto"/>
                <w:szCs w:val="21"/>
                <w:highlight w:val="none"/>
              </w:rPr>
              <w:t>评审因素</w:t>
            </w:r>
          </w:p>
        </w:tc>
        <w:tc>
          <w:tcPr>
            <w:tcW w:w="5794" w:type="dxa"/>
            <w:noWrap w:val="0"/>
            <w:vAlign w:val="center"/>
          </w:tcPr>
          <w:p w14:paraId="0C48C7E9">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color w:val="auto"/>
                <w:szCs w:val="21"/>
                <w:highlight w:val="none"/>
              </w:rPr>
            </w:pPr>
            <w:r>
              <w:rPr>
                <w:rFonts w:hint="eastAsia" w:ascii="宋体" w:hAnsi="宋体"/>
                <w:color w:val="auto"/>
                <w:szCs w:val="21"/>
                <w:highlight w:val="none"/>
              </w:rPr>
              <w:t>评审标准</w:t>
            </w:r>
          </w:p>
        </w:tc>
      </w:tr>
      <w:tr w14:paraId="1C4FD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881" w:type="dxa"/>
            <w:vMerge w:val="restart"/>
            <w:noWrap w:val="0"/>
            <w:vAlign w:val="center"/>
          </w:tcPr>
          <w:p w14:paraId="3E887107">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color w:val="auto"/>
                <w:szCs w:val="21"/>
                <w:highlight w:val="none"/>
              </w:rPr>
            </w:pPr>
            <w:r>
              <w:rPr>
                <w:rFonts w:hint="default" w:ascii="宋体" w:hAnsi="宋体"/>
                <w:color w:val="auto"/>
                <w:szCs w:val="21"/>
                <w:highlight w:val="none"/>
              </w:rPr>
              <w:t>4.2.1</w:t>
            </w:r>
          </w:p>
        </w:tc>
        <w:tc>
          <w:tcPr>
            <w:tcW w:w="780" w:type="dxa"/>
            <w:vMerge w:val="restart"/>
            <w:noWrap w:val="0"/>
            <w:vAlign w:val="center"/>
          </w:tcPr>
          <w:p w14:paraId="0733160D">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color w:val="auto"/>
                <w:szCs w:val="21"/>
                <w:highlight w:val="none"/>
              </w:rPr>
            </w:pPr>
            <w:r>
              <w:rPr>
                <w:rFonts w:hint="eastAsia" w:ascii="宋体" w:hAnsi="宋体"/>
                <w:color w:val="auto"/>
                <w:szCs w:val="21"/>
                <w:highlight w:val="none"/>
              </w:rPr>
              <w:t>形式评审标准</w:t>
            </w:r>
          </w:p>
        </w:tc>
        <w:tc>
          <w:tcPr>
            <w:tcW w:w="2831" w:type="dxa"/>
            <w:noWrap w:val="0"/>
            <w:vAlign w:val="center"/>
          </w:tcPr>
          <w:p w14:paraId="7E4CACF9">
            <w:pPr>
              <w:keepNext w:val="0"/>
              <w:keepLines w:val="0"/>
              <w:suppressLineNumbers w:val="0"/>
              <w:adjustRightInd w:val="0"/>
              <w:snapToGrid w:val="0"/>
              <w:spacing w:before="0" w:beforeAutospacing="0" w:after="0" w:afterAutospacing="0" w:line="560" w:lineRule="exact"/>
              <w:ind w:left="0" w:right="0"/>
              <w:rPr>
                <w:rFonts w:hint="default" w:ascii="宋体" w:hAnsi="宋体"/>
                <w:color w:val="auto"/>
                <w:szCs w:val="21"/>
                <w:highlight w:val="none"/>
              </w:rPr>
            </w:pPr>
            <w:r>
              <w:rPr>
                <w:rFonts w:hint="eastAsia" w:ascii="宋体" w:hAnsi="宋体"/>
                <w:color w:val="auto"/>
                <w:szCs w:val="21"/>
                <w:highlight w:val="none"/>
              </w:rPr>
              <w:t>投标函签字盖章</w:t>
            </w:r>
          </w:p>
        </w:tc>
        <w:tc>
          <w:tcPr>
            <w:tcW w:w="5794" w:type="dxa"/>
            <w:noWrap w:val="0"/>
            <w:vAlign w:val="center"/>
          </w:tcPr>
          <w:p w14:paraId="07CAAAF9">
            <w:pPr>
              <w:keepNext w:val="0"/>
              <w:keepLines w:val="0"/>
              <w:suppressLineNumbers w:val="0"/>
              <w:adjustRightInd w:val="0"/>
              <w:snapToGrid w:val="0"/>
              <w:spacing w:before="0" w:beforeAutospacing="0" w:after="0" w:afterAutospacing="0" w:line="560" w:lineRule="exact"/>
              <w:ind w:left="0" w:right="0"/>
              <w:jc w:val="left"/>
              <w:rPr>
                <w:rFonts w:hint="default" w:ascii="宋体" w:hAnsi="宋体"/>
                <w:color w:val="auto"/>
                <w:szCs w:val="21"/>
                <w:highlight w:val="none"/>
              </w:rPr>
            </w:pPr>
            <w:r>
              <w:rPr>
                <w:rFonts w:hint="eastAsia" w:ascii="宋体" w:hAnsi="宋体"/>
                <w:color w:val="auto"/>
                <w:szCs w:val="21"/>
                <w:highlight w:val="none"/>
              </w:rPr>
              <w:t>有投标人及其法定代表人签章。</w:t>
            </w:r>
          </w:p>
        </w:tc>
      </w:tr>
      <w:tr w14:paraId="5BF51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881" w:type="dxa"/>
            <w:vMerge w:val="continue"/>
            <w:noWrap w:val="0"/>
            <w:vAlign w:val="center"/>
          </w:tcPr>
          <w:p w14:paraId="546505A3">
            <w:pPr>
              <w:keepNext w:val="0"/>
              <w:keepLines w:val="0"/>
              <w:widowControl/>
              <w:suppressLineNumbers w:val="0"/>
              <w:adjustRightInd w:val="0"/>
              <w:snapToGrid w:val="0"/>
              <w:spacing w:before="0" w:beforeAutospacing="0" w:after="0" w:afterAutospacing="0" w:line="560" w:lineRule="exact"/>
              <w:ind w:left="0" w:right="0"/>
              <w:jc w:val="left"/>
              <w:rPr>
                <w:rFonts w:hint="default" w:ascii="宋体" w:hAnsi="宋体"/>
                <w:color w:val="auto"/>
                <w:szCs w:val="21"/>
                <w:highlight w:val="none"/>
              </w:rPr>
            </w:pPr>
          </w:p>
        </w:tc>
        <w:tc>
          <w:tcPr>
            <w:tcW w:w="780" w:type="dxa"/>
            <w:vMerge w:val="continue"/>
            <w:noWrap w:val="0"/>
            <w:vAlign w:val="center"/>
          </w:tcPr>
          <w:p w14:paraId="001CEE45">
            <w:pPr>
              <w:keepNext w:val="0"/>
              <w:keepLines w:val="0"/>
              <w:widowControl/>
              <w:suppressLineNumbers w:val="0"/>
              <w:adjustRightInd w:val="0"/>
              <w:snapToGrid w:val="0"/>
              <w:spacing w:before="0" w:beforeAutospacing="0" w:after="0" w:afterAutospacing="0" w:line="560" w:lineRule="exact"/>
              <w:ind w:left="0" w:right="0"/>
              <w:jc w:val="left"/>
              <w:rPr>
                <w:rFonts w:hint="default" w:ascii="宋体" w:hAnsi="宋体"/>
                <w:color w:val="auto"/>
                <w:szCs w:val="21"/>
                <w:highlight w:val="none"/>
              </w:rPr>
            </w:pPr>
          </w:p>
        </w:tc>
        <w:tc>
          <w:tcPr>
            <w:tcW w:w="2831" w:type="dxa"/>
            <w:noWrap w:val="0"/>
            <w:vAlign w:val="center"/>
          </w:tcPr>
          <w:p w14:paraId="315DE2CD">
            <w:pPr>
              <w:keepNext w:val="0"/>
              <w:keepLines w:val="0"/>
              <w:suppressLineNumbers w:val="0"/>
              <w:adjustRightInd w:val="0"/>
              <w:snapToGrid w:val="0"/>
              <w:spacing w:before="0" w:beforeAutospacing="0" w:after="0" w:afterAutospacing="0" w:line="560" w:lineRule="exact"/>
              <w:ind w:left="0" w:right="0"/>
              <w:rPr>
                <w:rFonts w:hint="default" w:ascii="宋体" w:hAnsi="宋体"/>
                <w:color w:val="auto"/>
                <w:szCs w:val="21"/>
                <w:highlight w:val="none"/>
              </w:rPr>
            </w:pPr>
            <w:r>
              <w:rPr>
                <w:rFonts w:hint="eastAsia" w:ascii="宋体" w:hAnsi="宋体"/>
                <w:color w:val="auto"/>
                <w:szCs w:val="21"/>
                <w:highlight w:val="none"/>
              </w:rPr>
              <w:t>投标文件格式</w:t>
            </w:r>
          </w:p>
        </w:tc>
        <w:tc>
          <w:tcPr>
            <w:tcW w:w="5794" w:type="dxa"/>
            <w:noWrap w:val="0"/>
            <w:vAlign w:val="center"/>
          </w:tcPr>
          <w:p w14:paraId="6D1E5E81">
            <w:pPr>
              <w:keepNext w:val="0"/>
              <w:keepLines w:val="0"/>
              <w:suppressLineNumbers w:val="0"/>
              <w:adjustRightInd w:val="0"/>
              <w:snapToGrid w:val="0"/>
              <w:spacing w:before="0" w:beforeAutospacing="0" w:after="0" w:afterAutospacing="0" w:line="560" w:lineRule="exact"/>
              <w:ind w:left="0" w:right="0"/>
              <w:jc w:val="left"/>
              <w:rPr>
                <w:rFonts w:hint="default" w:ascii="宋体" w:hAnsi="宋体"/>
                <w:color w:val="auto"/>
                <w:szCs w:val="21"/>
                <w:highlight w:val="none"/>
              </w:rPr>
            </w:pPr>
            <w:r>
              <w:rPr>
                <w:rFonts w:hint="eastAsia" w:ascii="宋体" w:hAnsi="宋体"/>
                <w:color w:val="auto"/>
                <w:szCs w:val="21"/>
                <w:highlight w:val="none"/>
              </w:rPr>
              <w:t>符合“投标文件格式”的要求。</w:t>
            </w:r>
          </w:p>
        </w:tc>
      </w:tr>
      <w:tr w14:paraId="01DF6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881" w:type="dxa"/>
            <w:vMerge w:val="continue"/>
            <w:noWrap w:val="0"/>
            <w:vAlign w:val="center"/>
          </w:tcPr>
          <w:p w14:paraId="1937B7B0">
            <w:pPr>
              <w:keepNext w:val="0"/>
              <w:keepLines w:val="0"/>
              <w:widowControl/>
              <w:suppressLineNumbers w:val="0"/>
              <w:adjustRightInd w:val="0"/>
              <w:snapToGrid w:val="0"/>
              <w:spacing w:before="0" w:beforeAutospacing="0" w:after="0" w:afterAutospacing="0" w:line="560" w:lineRule="exact"/>
              <w:ind w:left="0" w:right="0"/>
              <w:jc w:val="left"/>
              <w:rPr>
                <w:rFonts w:hint="default" w:ascii="宋体" w:hAnsi="宋体"/>
                <w:color w:val="auto"/>
                <w:szCs w:val="21"/>
                <w:highlight w:val="none"/>
              </w:rPr>
            </w:pPr>
          </w:p>
        </w:tc>
        <w:tc>
          <w:tcPr>
            <w:tcW w:w="780" w:type="dxa"/>
            <w:vMerge w:val="continue"/>
            <w:noWrap w:val="0"/>
            <w:vAlign w:val="center"/>
          </w:tcPr>
          <w:p w14:paraId="245B59DA">
            <w:pPr>
              <w:keepNext w:val="0"/>
              <w:keepLines w:val="0"/>
              <w:widowControl/>
              <w:suppressLineNumbers w:val="0"/>
              <w:adjustRightInd w:val="0"/>
              <w:snapToGrid w:val="0"/>
              <w:spacing w:before="0" w:beforeAutospacing="0" w:after="0" w:afterAutospacing="0" w:line="560" w:lineRule="exact"/>
              <w:ind w:left="0" w:right="0"/>
              <w:jc w:val="left"/>
              <w:rPr>
                <w:rFonts w:hint="default" w:ascii="宋体" w:hAnsi="宋体"/>
                <w:color w:val="auto"/>
                <w:szCs w:val="21"/>
                <w:highlight w:val="none"/>
              </w:rPr>
            </w:pPr>
          </w:p>
        </w:tc>
        <w:tc>
          <w:tcPr>
            <w:tcW w:w="2831" w:type="dxa"/>
            <w:noWrap w:val="0"/>
            <w:vAlign w:val="center"/>
          </w:tcPr>
          <w:p w14:paraId="16008E46">
            <w:pPr>
              <w:keepNext w:val="0"/>
              <w:keepLines w:val="0"/>
              <w:suppressLineNumbers w:val="0"/>
              <w:adjustRightInd w:val="0"/>
              <w:snapToGrid w:val="0"/>
              <w:spacing w:before="0" w:beforeAutospacing="0" w:after="0" w:afterAutospacing="0" w:line="560" w:lineRule="exact"/>
              <w:ind w:left="0" w:right="0"/>
              <w:rPr>
                <w:rFonts w:hint="default" w:ascii="宋体" w:hAnsi="宋体"/>
                <w:color w:val="auto"/>
                <w:szCs w:val="21"/>
                <w:highlight w:val="none"/>
              </w:rPr>
            </w:pPr>
            <w:r>
              <w:rPr>
                <w:rFonts w:hint="eastAsia" w:ascii="宋体" w:hAnsi="宋体"/>
                <w:color w:val="auto"/>
                <w:szCs w:val="21"/>
                <w:highlight w:val="none"/>
              </w:rPr>
              <w:t>商务标签字盖章</w:t>
            </w:r>
          </w:p>
        </w:tc>
        <w:tc>
          <w:tcPr>
            <w:tcW w:w="5794" w:type="dxa"/>
            <w:noWrap w:val="0"/>
            <w:vAlign w:val="center"/>
          </w:tcPr>
          <w:p w14:paraId="5088A4BC">
            <w:pPr>
              <w:keepNext w:val="0"/>
              <w:keepLines w:val="0"/>
              <w:suppressLineNumbers w:val="0"/>
              <w:adjustRightInd w:val="0"/>
              <w:snapToGrid w:val="0"/>
              <w:spacing w:before="0" w:beforeAutospacing="0" w:after="0" w:afterAutospacing="0" w:line="560" w:lineRule="exact"/>
              <w:ind w:left="0" w:right="0"/>
              <w:jc w:val="left"/>
              <w:rPr>
                <w:rFonts w:hint="default" w:ascii="宋体" w:hAnsi="宋体"/>
                <w:color w:val="auto"/>
                <w:szCs w:val="21"/>
                <w:highlight w:val="none"/>
              </w:rPr>
            </w:pPr>
            <w:r>
              <w:rPr>
                <w:rFonts w:hint="eastAsia" w:ascii="宋体" w:hAnsi="宋体"/>
                <w:color w:val="auto"/>
                <w:szCs w:val="21"/>
                <w:highlight w:val="none"/>
              </w:rPr>
              <w:t>按投标文件格式要求签章。</w:t>
            </w:r>
          </w:p>
        </w:tc>
      </w:tr>
      <w:tr w14:paraId="41E2C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881" w:type="dxa"/>
            <w:vMerge w:val="continue"/>
            <w:noWrap w:val="0"/>
            <w:vAlign w:val="center"/>
          </w:tcPr>
          <w:p w14:paraId="6C6982A5">
            <w:pPr>
              <w:keepNext w:val="0"/>
              <w:keepLines w:val="0"/>
              <w:widowControl/>
              <w:suppressLineNumbers w:val="0"/>
              <w:adjustRightInd w:val="0"/>
              <w:snapToGrid w:val="0"/>
              <w:spacing w:before="0" w:beforeAutospacing="0" w:after="0" w:afterAutospacing="0" w:line="560" w:lineRule="exact"/>
              <w:ind w:left="0" w:right="0"/>
              <w:jc w:val="left"/>
              <w:rPr>
                <w:rFonts w:hint="default" w:ascii="宋体" w:hAnsi="宋体"/>
                <w:color w:val="auto"/>
                <w:szCs w:val="21"/>
                <w:highlight w:val="none"/>
              </w:rPr>
            </w:pPr>
          </w:p>
        </w:tc>
        <w:tc>
          <w:tcPr>
            <w:tcW w:w="780" w:type="dxa"/>
            <w:vMerge w:val="continue"/>
            <w:noWrap w:val="0"/>
            <w:vAlign w:val="center"/>
          </w:tcPr>
          <w:p w14:paraId="448D4D08">
            <w:pPr>
              <w:keepNext w:val="0"/>
              <w:keepLines w:val="0"/>
              <w:widowControl/>
              <w:suppressLineNumbers w:val="0"/>
              <w:adjustRightInd w:val="0"/>
              <w:snapToGrid w:val="0"/>
              <w:spacing w:before="0" w:beforeAutospacing="0" w:after="0" w:afterAutospacing="0" w:line="560" w:lineRule="exact"/>
              <w:ind w:left="0" w:right="0"/>
              <w:jc w:val="left"/>
              <w:rPr>
                <w:rFonts w:hint="default" w:ascii="宋体" w:hAnsi="宋体"/>
                <w:color w:val="auto"/>
                <w:szCs w:val="21"/>
                <w:highlight w:val="none"/>
              </w:rPr>
            </w:pPr>
          </w:p>
        </w:tc>
        <w:tc>
          <w:tcPr>
            <w:tcW w:w="2831" w:type="dxa"/>
            <w:noWrap w:val="0"/>
            <w:vAlign w:val="center"/>
          </w:tcPr>
          <w:p w14:paraId="23AF1477">
            <w:pPr>
              <w:keepNext w:val="0"/>
              <w:keepLines w:val="0"/>
              <w:suppressLineNumbers w:val="0"/>
              <w:adjustRightInd w:val="0"/>
              <w:snapToGrid w:val="0"/>
              <w:spacing w:before="0" w:beforeAutospacing="0" w:after="0" w:afterAutospacing="0" w:line="560" w:lineRule="exact"/>
              <w:ind w:left="0" w:right="0"/>
              <w:rPr>
                <w:rFonts w:hint="default" w:ascii="宋体" w:hAnsi="宋体"/>
                <w:color w:val="auto"/>
                <w:szCs w:val="21"/>
                <w:highlight w:val="none"/>
              </w:rPr>
            </w:pPr>
            <w:r>
              <w:rPr>
                <w:rFonts w:hint="eastAsia" w:ascii="宋体" w:hAnsi="宋体"/>
                <w:color w:val="auto"/>
                <w:szCs w:val="21"/>
                <w:highlight w:val="none"/>
              </w:rPr>
              <w:t>报价唯一</w:t>
            </w:r>
          </w:p>
        </w:tc>
        <w:tc>
          <w:tcPr>
            <w:tcW w:w="5794" w:type="dxa"/>
            <w:noWrap w:val="0"/>
            <w:vAlign w:val="center"/>
          </w:tcPr>
          <w:p w14:paraId="62DB96EE">
            <w:pPr>
              <w:keepNext w:val="0"/>
              <w:keepLines w:val="0"/>
              <w:suppressLineNumbers w:val="0"/>
              <w:adjustRightInd w:val="0"/>
              <w:snapToGrid w:val="0"/>
              <w:spacing w:before="0" w:beforeAutospacing="0" w:after="0" w:afterAutospacing="0" w:line="560" w:lineRule="exact"/>
              <w:ind w:left="0" w:right="0"/>
              <w:jc w:val="left"/>
              <w:rPr>
                <w:rFonts w:hint="default" w:ascii="宋体" w:hAnsi="宋体"/>
                <w:color w:val="auto"/>
                <w:szCs w:val="21"/>
                <w:highlight w:val="none"/>
              </w:rPr>
            </w:pPr>
            <w:r>
              <w:rPr>
                <w:rFonts w:hint="eastAsia" w:ascii="宋体" w:hAnsi="宋体"/>
                <w:color w:val="auto"/>
                <w:szCs w:val="21"/>
                <w:highlight w:val="none"/>
              </w:rPr>
              <w:t>只能有一个报价。</w:t>
            </w:r>
          </w:p>
        </w:tc>
      </w:tr>
      <w:tr w14:paraId="27797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881" w:type="dxa"/>
            <w:vMerge w:val="restart"/>
            <w:noWrap w:val="0"/>
            <w:vAlign w:val="center"/>
          </w:tcPr>
          <w:p w14:paraId="701DEFDD">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color w:val="auto"/>
                <w:szCs w:val="21"/>
                <w:highlight w:val="none"/>
              </w:rPr>
            </w:pPr>
            <w:r>
              <w:rPr>
                <w:rFonts w:hint="default" w:ascii="宋体" w:hAnsi="宋体"/>
                <w:color w:val="auto"/>
                <w:szCs w:val="21"/>
                <w:highlight w:val="none"/>
              </w:rPr>
              <w:t>4.2.2</w:t>
            </w:r>
          </w:p>
        </w:tc>
        <w:tc>
          <w:tcPr>
            <w:tcW w:w="780" w:type="dxa"/>
            <w:vMerge w:val="restart"/>
            <w:noWrap w:val="0"/>
            <w:vAlign w:val="center"/>
          </w:tcPr>
          <w:p w14:paraId="7EEB25BD">
            <w:pPr>
              <w:keepNext w:val="0"/>
              <w:keepLines w:val="0"/>
              <w:suppressLineNumbers w:val="0"/>
              <w:adjustRightInd w:val="0"/>
              <w:snapToGrid w:val="0"/>
              <w:spacing w:before="0" w:beforeAutospacing="0" w:after="0" w:afterAutospacing="0" w:line="560" w:lineRule="exact"/>
              <w:ind w:left="0" w:right="0"/>
              <w:rPr>
                <w:rFonts w:hint="default" w:ascii="宋体" w:hAnsi="宋体"/>
                <w:color w:val="auto"/>
                <w:szCs w:val="21"/>
                <w:highlight w:val="none"/>
              </w:rPr>
            </w:pPr>
            <w:r>
              <w:rPr>
                <w:rFonts w:hint="eastAsia" w:ascii="宋体" w:hAnsi="宋体"/>
                <w:color w:val="auto"/>
                <w:szCs w:val="21"/>
                <w:highlight w:val="none"/>
              </w:rPr>
              <w:t>响应性评审标准</w:t>
            </w:r>
          </w:p>
          <w:p w14:paraId="1CF40249">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color w:val="auto"/>
                <w:szCs w:val="21"/>
                <w:highlight w:val="none"/>
              </w:rPr>
            </w:pPr>
          </w:p>
        </w:tc>
        <w:tc>
          <w:tcPr>
            <w:tcW w:w="2831" w:type="dxa"/>
            <w:noWrap w:val="0"/>
            <w:vAlign w:val="center"/>
          </w:tcPr>
          <w:p w14:paraId="0D49FF93">
            <w:pPr>
              <w:keepNext w:val="0"/>
              <w:keepLines w:val="0"/>
              <w:suppressLineNumbers w:val="0"/>
              <w:adjustRightInd w:val="0"/>
              <w:snapToGrid w:val="0"/>
              <w:spacing w:before="0" w:beforeAutospacing="0" w:after="0" w:afterAutospacing="0" w:line="560" w:lineRule="exact"/>
              <w:ind w:left="0" w:right="0"/>
              <w:jc w:val="left"/>
              <w:rPr>
                <w:rFonts w:hint="default" w:ascii="宋体" w:hAnsi="宋体"/>
                <w:color w:val="auto"/>
                <w:szCs w:val="21"/>
                <w:highlight w:val="none"/>
              </w:rPr>
            </w:pPr>
            <w:r>
              <w:rPr>
                <w:rFonts w:hint="eastAsia" w:ascii="宋体" w:hAnsi="宋体"/>
                <w:color w:val="auto"/>
                <w:szCs w:val="21"/>
                <w:highlight w:val="none"/>
              </w:rPr>
              <w:t>工期</w:t>
            </w:r>
          </w:p>
        </w:tc>
        <w:tc>
          <w:tcPr>
            <w:tcW w:w="5794" w:type="dxa"/>
            <w:noWrap w:val="0"/>
            <w:vAlign w:val="center"/>
          </w:tcPr>
          <w:p w14:paraId="6ECE55FB">
            <w:pPr>
              <w:keepNext w:val="0"/>
              <w:keepLines w:val="0"/>
              <w:suppressLineNumbers w:val="0"/>
              <w:adjustRightInd w:val="0"/>
              <w:snapToGrid w:val="0"/>
              <w:spacing w:before="0" w:beforeAutospacing="0" w:after="0" w:afterAutospacing="0" w:line="560" w:lineRule="exact"/>
              <w:ind w:left="0" w:right="0"/>
              <w:rPr>
                <w:rFonts w:hint="default" w:ascii="宋体" w:hAnsi="宋体"/>
                <w:color w:val="auto"/>
                <w:szCs w:val="21"/>
                <w:highlight w:val="none"/>
              </w:rPr>
            </w:pPr>
            <w:r>
              <w:rPr>
                <w:rFonts w:hint="eastAsia" w:ascii="宋体" w:hAnsi="宋体"/>
                <w:color w:val="auto"/>
                <w:szCs w:val="21"/>
                <w:highlight w:val="none"/>
              </w:rPr>
              <w:t>符合投标须知前附表规定。</w:t>
            </w:r>
          </w:p>
        </w:tc>
      </w:tr>
      <w:tr w14:paraId="33EDE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881" w:type="dxa"/>
            <w:vMerge w:val="continue"/>
            <w:noWrap w:val="0"/>
            <w:vAlign w:val="center"/>
          </w:tcPr>
          <w:p w14:paraId="76E2ED2A">
            <w:pPr>
              <w:keepNext w:val="0"/>
              <w:keepLines w:val="0"/>
              <w:widowControl/>
              <w:suppressLineNumbers w:val="0"/>
              <w:adjustRightInd w:val="0"/>
              <w:snapToGrid w:val="0"/>
              <w:spacing w:before="0" w:beforeAutospacing="0" w:after="0" w:afterAutospacing="0" w:line="560" w:lineRule="exact"/>
              <w:ind w:left="0" w:right="0"/>
              <w:jc w:val="left"/>
              <w:rPr>
                <w:rFonts w:hint="default" w:ascii="宋体" w:hAnsi="宋体"/>
                <w:color w:val="auto"/>
                <w:szCs w:val="21"/>
                <w:highlight w:val="none"/>
              </w:rPr>
            </w:pPr>
          </w:p>
        </w:tc>
        <w:tc>
          <w:tcPr>
            <w:tcW w:w="780" w:type="dxa"/>
            <w:vMerge w:val="continue"/>
            <w:noWrap w:val="0"/>
            <w:vAlign w:val="center"/>
          </w:tcPr>
          <w:p w14:paraId="7E9AA6C3">
            <w:pPr>
              <w:keepNext w:val="0"/>
              <w:keepLines w:val="0"/>
              <w:widowControl/>
              <w:suppressLineNumbers w:val="0"/>
              <w:adjustRightInd w:val="0"/>
              <w:snapToGrid w:val="0"/>
              <w:spacing w:before="0" w:beforeAutospacing="0" w:after="0" w:afterAutospacing="0" w:line="560" w:lineRule="exact"/>
              <w:ind w:left="0" w:right="0"/>
              <w:jc w:val="left"/>
              <w:rPr>
                <w:rFonts w:hint="default" w:ascii="宋体" w:hAnsi="宋体"/>
                <w:color w:val="auto"/>
                <w:szCs w:val="21"/>
                <w:highlight w:val="none"/>
              </w:rPr>
            </w:pPr>
          </w:p>
        </w:tc>
        <w:tc>
          <w:tcPr>
            <w:tcW w:w="2831" w:type="dxa"/>
            <w:noWrap w:val="0"/>
            <w:vAlign w:val="center"/>
          </w:tcPr>
          <w:p w14:paraId="7AD2E72C">
            <w:pPr>
              <w:keepNext w:val="0"/>
              <w:keepLines w:val="0"/>
              <w:suppressLineNumbers w:val="0"/>
              <w:adjustRightInd w:val="0"/>
              <w:snapToGrid w:val="0"/>
              <w:spacing w:before="0" w:beforeAutospacing="0" w:after="0" w:afterAutospacing="0" w:line="560" w:lineRule="exact"/>
              <w:ind w:left="0" w:right="0"/>
              <w:rPr>
                <w:rFonts w:hint="default" w:ascii="宋体" w:hAnsi="宋体"/>
                <w:color w:val="auto"/>
                <w:szCs w:val="21"/>
                <w:highlight w:val="none"/>
              </w:rPr>
            </w:pPr>
            <w:r>
              <w:rPr>
                <w:rFonts w:hint="eastAsia" w:ascii="宋体" w:hAnsi="宋体"/>
                <w:color w:val="auto"/>
                <w:szCs w:val="21"/>
                <w:highlight w:val="none"/>
              </w:rPr>
              <w:t>工程质量</w:t>
            </w:r>
          </w:p>
        </w:tc>
        <w:tc>
          <w:tcPr>
            <w:tcW w:w="5794" w:type="dxa"/>
            <w:noWrap w:val="0"/>
            <w:vAlign w:val="center"/>
          </w:tcPr>
          <w:p w14:paraId="52250A9A">
            <w:pPr>
              <w:keepNext w:val="0"/>
              <w:keepLines w:val="0"/>
              <w:suppressLineNumbers w:val="0"/>
              <w:adjustRightInd w:val="0"/>
              <w:snapToGrid w:val="0"/>
              <w:spacing w:before="0" w:beforeAutospacing="0" w:after="0" w:afterAutospacing="0" w:line="560" w:lineRule="exact"/>
              <w:ind w:left="0" w:right="0"/>
              <w:rPr>
                <w:rFonts w:hint="default" w:ascii="宋体" w:hAnsi="宋体"/>
                <w:color w:val="auto"/>
                <w:szCs w:val="21"/>
                <w:highlight w:val="none"/>
              </w:rPr>
            </w:pPr>
            <w:r>
              <w:rPr>
                <w:rFonts w:hint="eastAsia" w:ascii="宋体" w:hAnsi="宋体"/>
                <w:color w:val="auto"/>
                <w:szCs w:val="21"/>
                <w:highlight w:val="none"/>
              </w:rPr>
              <w:t>符合投标须知前附表规定。</w:t>
            </w:r>
          </w:p>
        </w:tc>
      </w:tr>
      <w:tr w14:paraId="4FBAC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881" w:type="dxa"/>
            <w:vMerge w:val="continue"/>
            <w:noWrap w:val="0"/>
            <w:vAlign w:val="center"/>
          </w:tcPr>
          <w:p w14:paraId="3A758426">
            <w:pPr>
              <w:keepNext w:val="0"/>
              <w:keepLines w:val="0"/>
              <w:widowControl/>
              <w:suppressLineNumbers w:val="0"/>
              <w:adjustRightInd w:val="0"/>
              <w:snapToGrid w:val="0"/>
              <w:spacing w:before="0" w:beforeAutospacing="0" w:after="0" w:afterAutospacing="0" w:line="560" w:lineRule="exact"/>
              <w:ind w:left="0" w:right="0"/>
              <w:jc w:val="left"/>
              <w:rPr>
                <w:rFonts w:hint="default" w:ascii="宋体" w:hAnsi="宋体"/>
                <w:color w:val="auto"/>
                <w:szCs w:val="21"/>
                <w:highlight w:val="none"/>
              </w:rPr>
            </w:pPr>
          </w:p>
        </w:tc>
        <w:tc>
          <w:tcPr>
            <w:tcW w:w="780" w:type="dxa"/>
            <w:vMerge w:val="continue"/>
            <w:noWrap w:val="0"/>
            <w:vAlign w:val="center"/>
          </w:tcPr>
          <w:p w14:paraId="2D489FBA">
            <w:pPr>
              <w:keepNext w:val="0"/>
              <w:keepLines w:val="0"/>
              <w:widowControl/>
              <w:suppressLineNumbers w:val="0"/>
              <w:adjustRightInd w:val="0"/>
              <w:snapToGrid w:val="0"/>
              <w:spacing w:before="0" w:beforeAutospacing="0" w:after="0" w:afterAutospacing="0" w:line="560" w:lineRule="exact"/>
              <w:ind w:left="0" w:right="0"/>
              <w:jc w:val="left"/>
              <w:rPr>
                <w:rFonts w:hint="default" w:ascii="宋体" w:hAnsi="宋体"/>
                <w:color w:val="auto"/>
                <w:szCs w:val="21"/>
                <w:highlight w:val="none"/>
              </w:rPr>
            </w:pPr>
          </w:p>
        </w:tc>
        <w:tc>
          <w:tcPr>
            <w:tcW w:w="2831" w:type="dxa"/>
            <w:noWrap w:val="0"/>
            <w:vAlign w:val="center"/>
          </w:tcPr>
          <w:p w14:paraId="5E3E4FDA">
            <w:pPr>
              <w:keepNext w:val="0"/>
              <w:keepLines w:val="0"/>
              <w:suppressLineNumbers w:val="0"/>
              <w:adjustRightInd w:val="0"/>
              <w:snapToGrid w:val="0"/>
              <w:spacing w:before="0" w:beforeAutospacing="0" w:after="0" w:afterAutospacing="0" w:line="560" w:lineRule="exact"/>
              <w:ind w:left="0" w:right="0"/>
              <w:rPr>
                <w:rFonts w:hint="default" w:ascii="宋体" w:hAnsi="宋体"/>
                <w:color w:val="auto"/>
                <w:szCs w:val="21"/>
                <w:highlight w:val="none"/>
              </w:rPr>
            </w:pPr>
            <w:r>
              <w:rPr>
                <w:rFonts w:hint="eastAsia" w:ascii="宋体" w:hAnsi="宋体"/>
                <w:color w:val="auto"/>
                <w:szCs w:val="21"/>
                <w:highlight w:val="none"/>
              </w:rPr>
              <w:t>投标有效期</w:t>
            </w:r>
          </w:p>
        </w:tc>
        <w:tc>
          <w:tcPr>
            <w:tcW w:w="5794" w:type="dxa"/>
            <w:noWrap w:val="0"/>
            <w:vAlign w:val="center"/>
          </w:tcPr>
          <w:p w14:paraId="77EAE7F9">
            <w:pPr>
              <w:keepNext w:val="0"/>
              <w:keepLines w:val="0"/>
              <w:suppressLineNumbers w:val="0"/>
              <w:adjustRightInd w:val="0"/>
              <w:snapToGrid w:val="0"/>
              <w:spacing w:before="0" w:beforeAutospacing="0" w:after="0" w:afterAutospacing="0" w:line="560" w:lineRule="exact"/>
              <w:ind w:left="0" w:right="0"/>
              <w:rPr>
                <w:rFonts w:hint="default" w:ascii="宋体" w:hAnsi="宋体"/>
                <w:color w:val="auto"/>
                <w:szCs w:val="21"/>
                <w:highlight w:val="none"/>
              </w:rPr>
            </w:pPr>
            <w:r>
              <w:rPr>
                <w:rFonts w:hint="eastAsia" w:ascii="宋体" w:hAnsi="宋体"/>
                <w:color w:val="auto"/>
                <w:szCs w:val="21"/>
                <w:highlight w:val="none"/>
              </w:rPr>
              <w:t>符合投标须知前附表规定。</w:t>
            </w:r>
          </w:p>
        </w:tc>
      </w:tr>
      <w:tr w14:paraId="5C36B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881" w:type="dxa"/>
            <w:vMerge w:val="continue"/>
            <w:noWrap w:val="0"/>
            <w:vAlign w:val="center"/>
          </w:tcPr>
          <w:p w14:paraId="77757DC8">
            <w:pPr>
              <w:keepNext w:val="0"/>
              <w:keepLines w:val="0"/>
              <w:widowControl/>
              <w:suppressLineNumbers w:val="0"/>
              <w:adjustRightInd w:val="0"/>
              <w:snapToGrid w:val="0"/>
              <w:spacing w:before="0" w:beforeAutospacing="0" w:after="0" w:afterAutospacing="0" w:line="560" w:lineRule="exact"/>
              <w:ind w:left="0" w:right="0"/>
              <w:jc w:val="left"/>
              <w:rPr>
                <w:rFonts w:hint="default" w:ascii="宋体" w:hAnsi="宋体"/>
                <w:color w:val="auto"/>
                <w:szCs w:val="21"/>
                <w:highlight w:val="none"/>
              </w:rPr>
            </w:pPr>
          </w:p>
        </w:tc>
        <w:tc>
          <w:tcPr>
            <w:tcW w:w="780" w:type="dxa"/>
            <w:vMerge w:val="continue"/>
            <w:noWrap w:val="0"/>
            <w:vAlign w:val="center"/>
          </w:tcPr>
          <w:p w14:paraId="6B32392F">
            <w:pPr>
              <w:keepNext w:val="0"/>
              <w:keepLines w:val="0"/>
              <w:widowControl/>
              <w:suppressLineNumbers w:val="0"/>
              <w:adjustRightInd w:val="0"/>
              <w:snapToGrid w:val="0"/>
              <w:spacing w:before="0" w:beforeAutospacing="0" w:after="0" w:afterAutospacing="0" w:line="560" w:lineRule="exact"/>
              <w:ind w:left="0" w:right="0"/>
              <w:jc w:val="left"/>
              <w:rPr>
                <w:rFonts w:hint="default" w:ascii="宋体" w:hAnsi="宋体"/>
                <w:color w:val="auto"/>
                <w:szCs w:val="21"/>
                <w:highlight w:val="none"/>
              </w:rPr>
            </w:pPr>
          </w:p>
        </w:tc>
        <w:tc>
          <w:tcPr>
            <w:tcW w:w="2831" w:type="dxa"/>
            <w:shd w:val="clear" w:color="auto" w:fill="auto"/>
            <w:noWrap w:val="0"/>
            <w:vAlign w:val="center"/>
          </w:tcPr>
          <w:p w14:paraId="36016DF0">
            <w:pPr>
              <w:keepNext w:val="0"/>
              <w:keepLines w:val="0"/>
              <w:suppressLineNumbers w:val="0"/>
              <w:adjustRightInd w:val="0"/>
              <w:snapToGrid w:val="0"/>
              <w:spacing w:before="0" w:beforeAutospacing="0" w:after="0" w:afterAutospacing="0" w:line="560" w:lineRule="exact"/>
              <w:ind w:left="0" w:right="0"/>
              <w:rPr>
                <w:rFonts w:hint="default"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rPr>
              <w:t>投标总价评审</w:t>
            </w:r>
          </w:p>
        </w:tc>
        <w:tc>
          <w:tcPr>
            <w:tcW w:w="5794" w:type="dxa"/>
            <w:shd w:val="clear" w:color="auto" w:fill="auto"/>
            <w:noWrap w:val="0"/>
            <w:vAlign w:val="center"/>
          </w:tcPr>
          <w:p w14:paraId="19E96D3A">
            <w:pPr>
              <w:keepNext w:val="0"/>
              <w:keepLines w:val="0"/>
              <w:suppressLineNumbers w:val="0"/>
              <w:adjustRightInd w:val="0"/>
              <w:snapToGrid w:val="0"/>
              <w:spacing w:before="0" w:beforeAutospacing="0" w:after="0" w:afterAutospacing="0" w:line="560" w:lineRule="exact"/>
              <w:ind w:left="0" w:right="0"/>
              <w:rPr>
                <w:rFonts w:hint="default" w:ascii="宋体" w:hAnsi="宋体" w:eastAsia="宋体" w:cs="Times New Roman"/>
                <w:color w:val="auto"/>
                <w:spacing w:val="-6"/>
                <w:kern w:val="2"/>
                <w:sz w:val="21"/>
                <w:szCs w:val="21"/>
                <w:highlight w:val="none"/>
                <w:lang w:val="en-US" w:eastAsia="zh-CN" w:bidi="ar-SA"/>
              </w:rPr>
            </w:pPr>
            <w:r>
              <w:rPr>
                <w:rFonts w:hint="eastAsia" w:ascii="宋体" w:hAnsi="宋体"/>
                <w:color w:val="auto"/>
                <w:spacing w:val="-6"/>
                <w:szCs w:val="21"/>
                <w:highlight w:val="none"/>
              </w:rPr>
              <w:t>不得高于最高投标限价，也不得低于工程成本价。</w:t>
            </w:r>
          </w:p>
        </w:tc>
      </w:tr>
      <w:tr w14:paraId="69410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1" w:type="dxa"/>
            <w:noWrap w:val="0"/>
            <w:vAlign w:val="center"/>
          </w:tcPr>
          <w:p w14:paraId="4EFCD87D">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color w:val="auto"/>
                <w:szCs w:val="21"/>
                <w:highlight w:val="none"/>
              </w:rPr>
            </w:pPr>
            <w:r>
              <w:rPr>
                <w:rFonts w:hint="default" w:ascii="宋体" w:hAnsi="宋体"/>
                <w:color w:val="auto"/>
                <w:szCs w:val="21"/>
                <w:highlight w:val="none"/>
              </w:rPr>
              <w:t>7</w:t>
            </w:r>
            <w:r>
              <w:rPr>
                <w:rFonts w:hint="eastAsia" w:ascii="宋体" w:hAnsi="宋体"/>
                <w:color w:val="auto"/>
                <w:szCs w:val="21"/>
                <w:highlight w:val="none"/>
              </w:rPr>
              <w:t>.1</w:t>
            </w:r>
          </w:p>
        </w:tc>
        <w:tc>
          <w:tcPr>
            <w:tcW w:w="780" w:type="dxa"/>
            <w:noWrap w:val="0"/>
            <w:vAlign w:val="center"/>
          </w:tcPr>
          <w:p w14:paraId="66D1EA1C">
            <w:pPr>
              <w:keepNext w:val="0"/>
              <w:keepLines w:val="0"/>
              <w:suppressLineNumbers w:val="0"/>
              <w:adjustRightInd w:val="0"/>
              <w:snapToGrid w:val="0"/>
              <w:spacing w:before="0" w:beforeAutospacing="0" w:after="0" w:afterAutospacing="0" w:line="560" w:lineRule="exact"/>
              <w:ind w:left="0" w:right="0"/>
              <w:rPr>
                <w:rFonts w:hint="default"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商务</w:t>
            </w:r>
          </w:p>
          <w:p w14:paraId="20C487BF">
            <w:pPr>
              <w:keepNext w:val="0"/>
              <w:keepLines w:val="0"/>
              <w:suppressLineNumbers w:val="0"/>
              <w:adjustRightInd w:val="0"/>
              <w:snapToGrid w:val="0"/>
              <w:spacing w:before="0" w:beforeAutospacing="0" w:after="0" w:afterAutospacing="0" w:line="560" w:lineRule="exact"/>
              <w:ind w:left="0" w:right="0"/>
              <w:rPr>
                <w:rFonts w:hint="default"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评分</w:t>
            </w:r>
          </w:p>
          <w:p w14:paraId="0F178C96">
            <w:pPr>
              <w:keepNext w:val="0"/>
              <w:keepLines w:val="0"/>
              <w:suppressLineNumbers w:val="0"/>
              <w:adjustRightInd w:val="0"/>
              <w:snapToGrid w:val="0"/>
              <w:spacing w:before="0" w:beforeAutospacing="0" w:after="0" w:afterAutospacing="0" w:line="560" w:lineRule="exact"/>
              <w:ind w:left="0" w:right="0"/>
              <w:rPr>
                <w:rFonts w:hint="default" w:ascii="宋体" w:hAnsi="宋体" w:eastAsia="宋体" w:cs="Times New Roman"/>
                <w:color w:val="auto"/>
                <w:spacing w:val="-6"/>
                <w:szCs w:val="21"/>
                <w:highlight w:val="none"/>
              </w:rPr>
            </w:pPr>
            <w:r>
              <w:rPr>
                <w:rFonts w:hint="eastAsia" w:ascii="宋体" w:hAnsi="宋体" w:cs="Times New Roman"/>
                <w:color w:val="auto"/>
                <w:spacing w:val="-6"/>
                <w:szCs w:val="21"/>
                <w:highlight w:val="none"/>
                <w:lang w:eastAsia="zh-CN"/>
              </w:rPr>
              <w:t>（</w:t>
            </w:r>
            <w:r>
              <w:rPr>
                <w:rFonts w:hint="eastAsia" w:ascii="宋体" w:hAnsi="宋体" w:cs="Times New Roman"/>
                <w:color w:val="auto"/>
                <w:spacing w:val="-6"/>
                <w:szCs w:val="21"/>
                <w:highlight w:val="none"/>
                <w:lang w:val="en-US" w:eastAsia="zh-CN"/>
              </w:rPr>
              <w:t>85</w:t>
            </w:r>
            <w:r>
              <w:rPr>
                <w:rFonts w:hint="eastAsia" w:ascii="宋体" w:hAnsi="宋体" w:eastAsia="宋体" w:cs="Times New Roman"/>
                <w:color w:val="auto"/>
                <w:spacing w:val="-6"/>
                <w:szCs w:val="21"/>
                <w:highlight w:val="none"/>
              </w:rPr>
              <w:t>分）</w:t>
            </w:r>
          </w:p>
        </w:tc>
        <w:tc>
          <w:tcPr>
            <w:tcW w:w="8625" w:type="dxa"/>
            <w:gridSpan w:val="2"/>
            <w:noWrap w:val="0"/>
            <w:vAlign w:val="center"/>
          </w:tcPr>
          <w:p w14:paraId="0F4F733A">
            <w:pPr>
              <w:keepNext w:val="0"/>
              <w:keepLines w:val="0"/>
              <w:suppressLineNumbers w:val="0"/>
              <w:adjustRightInd w:val="0"/>
              <w:snapToGrid w:val="0"/>
              <w:spacing w:before="0" w:beforeAutospacing="0" w:after="0" w:afterAutospacing="0" w:line="560" w:lineRule="exact"/>
              <w:ind w:left="0" w:right="0"/>
              <w:rPr>
                <w:rFonts w:hint="default"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lang w:val="en-US" w:eastAsia="zh-CN"/>
              </w:rPr>
              <w:t xml:space="preserve">商务标评分按下列步骤计算： </w:t>
            </w:r>
          </w:p>
          <w:p w14:paraId="6A032453">
            <w:pPr>
              <w:keepNext w:val="0"/>
              <w:keepLines w:val="0"/>
              <w:suppressLineNumbers w:val="0"/>
              <w:adjustRightInd w:val="0"/>
              <w:snapToGrid w:val="0"/>
              <w:spacing w:before="0" w:beforeAutospacing="0" w:after="0" w:afterAutospacing="0" w:line="560" w:lineRule="exact"/>
              <w:ind w:left="0" w:right="0"/>
              <w:rPr>
                <w:rFonts w:hint="default"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lang w:val="en-US" w:eastAsia="zh-CN"/>
              </w:rPr>
              <w:t xml:space="preserve">第一步：计算 B值。 </w:t>
            </w:r>
          </w:p>
          <w:p w14:paraId="252D7B0F">
            <w:pPr>
              <w:keepNext w:val="0"/>
              <w:keepLines w:val="0"/>
              <w:suppressLineNumbers w:val="0"/>
              <w:adjustRightInd w:val="0"/>
              <w:snapToGrid w:val="0"/>
              <w:spacing w:before="0" w:beforeAutospacing="0" w:after="0" w:afterAutospacing="0" w:line="560" w:lineRule="exact"/>
              <w:ind w:left="0" w:right="0"/>
              <w:rPr>
                <w:rFonts w:hint="default"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lang w:val="en-US" w:eastAsia="zh-CN"/>
              </w:rPr>
              <w:t xml:space="preserve">①B值为计算范围内有效投标人报价的算术平均值。 </w:t>
            </w:r>
          </w:p>
          <w:p w14:paraId="6CA81B7F">
            <w:pPr>
              <w:keepNext w:val="0"/>
              <w:keepLines w:val="0"/>
              <w:suppressLineNumbers w:val="0"/>
              <w:adjustRightInd w:val="0"/>
              <w:snapToGrid w:val="0"/>
              <w:spacing w:before="0" w:beforeAutospacing="0" w:after="0" w:afterAutospacing="0" w:line="560" w:lineRule="exact"/>
              <w:ind w:left="0" w:right="0"/>
              <w:rPr>
                <w:rFonts w:hint="default"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lang w:val="en-US" w:eastAsia="zh-CN"/>
              </w:rPr>
              <w:t xml:space="preserve">第二步：计算评标基准价 F值。 </w:t>
            </w:r>
          </w:p>
          <w:p w14:paraId="7D403B78">
            <w:pPr>
              <w:keepNext w:val="0"/>
              <w:keepLines w:val="0"/>
              <w:suppressLineNumbers w:val="0"/>
              <w:adjustRightInd w:val="0"/>
              <w:snapToGrid w:val="0"/>
              <w:spacing w:before="0" w:beforeAutospacing="0" w:after="0" w:afterAutospacing="0" w:line="560" w:lineRule="exact"/>
              <w:ind w:left="0" w:right="0"/>
              <w:rPr>
                <w:rFonts w:hint="default"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lang w:val="en-US" w:eastAsia="zh-CN"/>
              </w:rPr>
              <w:t xml:space="preserve">①F=B×（1-K），其中K 为调整系数，K 的取值为-0.5%（1 号），0%（2号），0.5%（3号），1.0%（4号），1.5%（5号）。 </w:t>
            </w:r>
          </w:p>
          <w:p w14:paraId="076E09E7">
            <w:pPr>
              <w:keepNext w:val="0"/>
              <w:keepLines w:val="0"/>
              <w:suppressLineNumbers w:val="0"/>
              <w:adjustRightInd w:val="0"/>
              <w:snapToGrid w:val="0"/>
              <w:spacing w:before="0" w:beforeAutospacing="0" w:after="0" w:afterAutospacing="0" w:line="560" w:lineRule="exact"/>
              <w:ind w:left="0" w:right="0"/>
              <w:rPr>
                <w:rFonts w:hint="default"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lang w:val="en-US" w:eastAsia="zh-CN"/>
              </w:rPr>
              <w:t xml:space="preserve">第三步：计算报价偏差率。 </w:t>
            </w:r>
          </w:p>
          <w:p w14:paraId="2A2B0906">
            <w:pPr>
              <w:keepNext w:val="0"/>
              <w:keepLines w:val="0"/>
              <w:suppressLineNumbers w:val="0"/>
              <w:adjustRightInd w:val="0"/>
              <w:snapToGrid w:val="0"/>
              <w:spacing w:before="0" w:beforeAutospacing="0" w:after="0" w:afterAutospacing="0" w:line="560" w:lineRule="exact"/>
              <w:ind w:left="0" w:right="0"/>
              <w:rPr>
                <w:rFonts w:hint="default"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lang w:val="en-US" w:eastAsia="zh-CN"/>
              </w:rPr>
              <w:t xml:space="preserve">①偏差率= |（投标报价-评标基准价）/评标基准价|×100% </w:t>
            </w:r>
          </w:p>
          <w:p w14:paraId="7516F614">
            <w:pPr>
              <w:keepNext w:val="0"/>
              <w:keepLines w:val="0"/>
              <w:suppressLineNumbers w:val="0"/>
              <w:adjustRightInd w:val="0"/>
              <w:snapToGrid w:val="0"/>
              <w:spacing w:before="0" w:beforeAutospacing="0" w:after="0" w:afterAutospacing="0" w:line="560" w:lineRule="exact"/>
              <w:ind w:left="0" w:right="0"/>
              <w:rPr>
                <w:rFonts w:hint="default"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lang w:val="en-US" w:eastAsia="zh-CN"/>
              </w:rPr>
              <w:t xml:space="preserve">第四步：计算报价得分 </w:t>
            </w:r>
          </w:p>
          <w:p w14:paraId="09E85679">
            <w:pPr>
              <w:keepNext w:val="0"/>
              <w:keepLines w:val="0"/>
              <w:suppressLineNumbers w:val="0"/>
              <w:adjustRightInd w:val="0"/>
              <w:snapToGrid w:val="0"/>
              <w:spacing w:before="0" w:beforeAutospacing="0" w:after="0" w:afterAutospacing="0" w:line="560" w:lineRule="exact"/>
              <w:ind w:left="0" w:right="0"/>
              <w:rPr>
                <w:rFonts w:hint="default"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lang w:val="en-US" w:eastAsia="zh-CN"/>
              </w:rPr>
              <w:t xml:space="preserve">①投标报价等于评标基准价的得满分。 </w:t>
            </w:r>
          </w:p>
          <w:p w14:paraId="21A39E00">
            <w:pPr>
              <w:keepNext w:val="0"/>
              <w:keepLines w:val="0"/>
              <w:suppressLineNumbers w:val="0"/>
              <w:adjustRightInd w:val="0"/>
              <w:snapToGrid w:val="0"/>
              <w:spacing w:before="0" w:beforeAutospacing="0" w:after="0" w:afterAutospacing="0" w:line="560" w:lineRule="exact"/>
              <w:ind w:left="0" w:right="0"/>
              <w:rPr>
                <w:rFonts w:hint="default"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lang w:val="en-US" w:eastAsia="zh-CN"/>
              </w:rPr>
              <w:t xml:space="preserve">②投标报价高于评标基准价的，投标报价得分=报价满分值-偏差率×100×1 </w:t>
            </w:r>
          </w:p>
          <w:p w14:paraId="6E737C99">
            <w:pPr>
              <w:keepNext w:val="0"/>
              <w:keepLines w:val="0"/>
              <w:suppressLineNumbers w:val="0"/>
              <w:adjustRightInd w:val="0"/>
              <w:snapToGrid w:val="0"/>
              <w:spacing w:before="0" w:beforeAutospacing="0" w:after="0" w:afterAutospacing="0" w:line="560" w:lineRule="exact"/>
              <w:ind w:left="0" w:right="0"/>
              <w:rPr>
                <w:rFonts w:hint="default"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lang w:val="en-US" w:eastAsia="zh-CN"/>
              </w:rPr>
              <w:t>③投标报价低于评标基准价的，投标报价得分=报价满分值-偏差率×100×0.5</w:t>
            </w:r>
          </w:p>
          <w:p w14:paraId="2DECB01A">
            <w:pPr>
              <w:keepNext w:val="0"/>
              <w:keepLines w:val="0"/>
              <w:suppressLineNumbers w:val="0"/>
              <w:adjustRightInd w:val="0"/>
              <w:snapToGrid w:val="0"/>
              <w:spacing w:before="0" w:beforeAutospacing="0" w:after="0" w:afterAutospacing="0" w:line="560" w:lineRule="exact"/>
              <w:ind w:left="0" w:right="0"/>
              <w:rPr>
                <w:rFonts w:hint="default" w:ascii="宋体" w:hAnsi="宋体" w:eastAsia="宋体" w:cs="Times New Roman"/>
                <w:color w:val="auto"/>
                <w:spacing w:val="-6"/>
                <w:szCs w:val="21"/>
                <w:highlight w:val="none"/>
              </w:rPr>
            </w:pPr>
            <w:r>
              <w:rPr>
                <w:rFonts w:hint="eastAsia" w:ascii="宋体" w:hAnsi="宋体" w:eastAsia="宋体" w:cs="Times New Roman"/>
                <w:color w:val="auto"/>
                <w:spacing w:val="-6"/>
                <w:szCs w:val="21"/>
                <w:highlight w:val="none"/>
              </w:rPr>
              <w:t>注：计算过程中，B值、评标基准价F值、偏差率、报价得分均保留两位小数，小数点后第三位四舍五入。</w:t>
            </w:r>
          </w:p>
        </w:tc>
      </w:tr>
    </w:tbl>
    <w:p w14:paraId="04F70E4D">
      <w:pPr>
        <w:pageBreakBefore w:val="0"/>
        <w:kinsoku/>
        <w:wordWrap/>
        <w:overflowPunct/>
        <w:topLinePunct w:val="0"/>
        <w:autoSpaceDE/>
        <w:autoSpaceDN/>
        <w:bidi w:val="0"/>
        <w:adjustRightInd/>
        <w:snapToGrid/>
        <w:spacing w:line="440" w:lineRule="exact"/>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商务标评审表注：</w:t>
      </w:r>
    </w:p>
    <w:p w14:paraId="66D11C7D">
      <w:pPr>
        <w:pageBreakBefore w:val="0"/>
        <w:kinsoku/>
        <w:wordWrap/>
        <w:overflowPunct/>
        <w:topLinePunct w:val="0"/>
        <w:autoSpaceDE/>
        <w:autoSpaceDN/>
        <w:bidi w:val="0"/>
        <w:adjustRightInd/>
        <w:snapToGrid/>
        <w:spacing w:line="440" w:lineRule="exact"/>
        <w:ind w:firstLine="315" w:firstLineChars="1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1.只有通过详细评审的投标人才能参加评分。</w:t>
      </w:r>
    </w:p>
    <w:p w14:paraId="335C8256">
      <w:pPr>
        <w:pageBreakBefore w:val="0"/>
        <w:kinsoku/>
        <w:wordWrap/>
        <w:overflowPunct/>
        <w:topLinePunct w:val="0"/>
        <w:autoSpaceDE/>
        <w:autoSpaceDN/>
        <w:bidi w:val="0"/>
        <w:adjustRightInd/>
        <w:snapToGrid/>
        <w:spacing w:line="440" w:lineRule="exact"/>
        <w:ind w:firstLine="315" w:firstLineChars="1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2.本表所称投标报价是指按</w:t>
      </w:r>
      <w:r>
        <w:rPr>
          <w:rFonts w:hint="eastAsia" w:ascii="宋体" w:hAnsi="宋体" w:eastAsia="宋体" w:cs="宋体"/>
          <w:color w:val="auto"/>
          <w:sz w:val="21"/>
          <w:szCs w:val="21"/>
          <w:highlight w:val="none"/>
          <w:lang w:eastAsia="zh-CN"/>
        </w:rPr>
        <w:t>招标文件</w:t>
      </w:r>
      <w:r>
        <w:rPr>
          <w:rFonts w:hint="eastAsia" w:ascii="宋体" w:hAnsi="宋体" w:eastAsia="宋体" w:cs="宋体"/>
          <w:color w:val="auto"/>
          <w:sz w:val="21"/>
          <w:szCs w:val="21"/>
          <w:highlight w:val="none"/>
        </w:rPr>
        <w:t>规定修正后的投标总报价（多算投标报价、多报费用不扣减）。</w:t>
      </w:r>
    </w:p>
    <w:p w14:paraId="1DF435E6">
      <w:pPr>
        <w:pStyle w:val="7"/>
        <w:pageBreakBefore w:val="0"/>
        <w:kinsoku/>
        <w:wordWrap/>
        <w:overflowPunct/>
        <w:topLinePunct w:val="0"/>
        <w:autoSpaceDE/>
        <w:autoSpaceDN/>
        <w:bidi w:val="0"/>
        <w:adjustRightInd/>
        <w:snapToGrid/>
        <w:spacing w:before="0" w:beforeLines="0" w:after="0" w:afterLines="0" w:line="440" w:lineRule="exact"/>
        <w:jc w:val="left"/>
        <w:textAlignment w:val="auto"/>
        <w:rPr>
          <w:rFonts w:hint="eastAsia" w:ascii="宋体" w:hAnsi="宋体" w:eastAsia="宋体" w:cs="宋体"/>
          <w:color w:val="auto"/>
          <w:sz w:val="21"/>
          <w:szCs w:val="21"/>
          <w:highlight w:val="none"/>
        </w:rPr>
      </w:pPr>
      <w:bookmarkStart w:id="771" w:name="_Toc31275"/>
      <w:bookmarkStart w:id="772" w:name="_Toc23648664"/>
      <w:bookmarkStart w:id="773" w:name="_Toc185"/>
      <w:bookmarkStart w:id="774" w:name="_Toc296602477"/>
      <w:r>
        <w:rPr>
          <w:rFonts w:hint="eastAsia" w:ascii="宋体" w:hAnsi="宋体" w:eastAsia="宋体" w:cs="宋体"/>
          <w:color w:val="auto"/>
          <w:sz w:val="21"/>
          <w:szCs w:val="21"/>
          <w:highlight w:val="none"/>
        </w:rPr>
        <w:t>1. 评标方法</w:t>
      </w:r>
      <w:bookmarkEnd w:id="771"/>
      <w:bookmarkEnd w:id="772"/>
      <w:bookmarkEnd w:id="773"/>
      <w:bookmarkEnd w:id="774"/>
    </w:p>
    <w:p w14:paraId="28C1276F">
      <w:pPr>
        <w:pageBreakBefore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bookmarkStart w:id="775" w:name="_Toc23648665"/>
      <w:r>
        <w:rPr>
          <w:rFonts w:hint="eastAsia" w:ascii="宋体" w:hAnsi="宋体" w:eastAsia="宋体" w:cs="宋体"/>
          <w:color w:val="auto"/>
          <w:sz w:val="21"/>
          <w:szCs w:val="21"/>
          <w:highlight w:val="none"/>
        </w:rPr>
        <w:t>本次评标采用综合评估法。评标委员会对满足</w:t>
      </w:r>
      <w:r>
        <w:rPr>
          <w:rFonts w:hint="eastAsia" w:ascii="宋体" w:hAnsi="宋体" w:eastAsia="宋体" w:cs="宋体"/>
          <w:color w:val="auto"/>
          <w:sz w:val="21"/>
          <w:szCs w:val="21"/>
          <w:highlight w:val="none"/>
          <w:lang w:eastAsia="zh-CN"/>
        </w:rPr>
        <w:t>招标文件</w:t>
      </w:r>
      <w:r>
        <w:rPr>
          <w:rFonts w:hint="eastAsia" w:ascii="宋体" w:hAnsi="宋体" w:eastAsia="宋体" w:cs="宋体"/>
          <w:color w:val="auto"/>
          <w:sz w:val="21"/>
          <w:szCs w:val="21"/>
          <w:highlight w:val="none"/>
        </w:rPr>
        <w:t>实质性要求的投标文件，按照本章规定的评分标准进行打分，</w:t>
      </w:r>
      <w:r>
        <w:rPr>
          <w:rFonts w:hint="eastAsia" w:ascii="宋体" w:hAnsi="宋体" w:eastAsia="宋体" w:cs="宋体"/>
          <w:b/>
          <w:bCs/>
          <w:color w:val="auto"/>
          <w:sz w:val="21"/>
          <w:szCs w:val="21"/>
          <w:highlight w:val="none"/>
        </w:rPr>
        <w:t>并按总得分（资信评分+</w:t>
      </w:r>
      <w:r>
        <w:rPr>
          <w:rFonts w:hint="eastAsia" w:ascii="宋体" w:hAnsi="宋体" w:eastAsia="宋体" w:cs="宋体"/>
          <w:b/>
          <w:bCs/>
          <w:color w:val="auto"/>
          <w:sz w:val="21"/>
          <w:szCs w:val="21"/>
          <w:highlight w:val="none"/>
          <w:lang w:val="en-US" w:eastAsia="zh-CN"/>
        </w:rPr>
        <w:t>技术评分+</w:t>
      </w:r>
      <w:r>
        <w:rPr>
          <w:rFonts w:hint="eastAsia" w:ascii="宋体" w:hAnsi="宋体" w:eastAsia="宋体" w:cs="宋体"/>
          <w:b/>
          <w:bCs/>
          <w:color w:val="auto"/>
          <w:spacing w:val="-4"/>
          <w:sz w:val="21"/>
          <w:szCs w:val="21"/>
          <w:highlight w:val="none"/>
        </w:rPr>
        <w:t>商务评分</w:t>
      </w:r>
      <w:r>
        <w:rPr>
          <w:rFonts w:hint="eastAsia" w:ascii="宋体" w:hAnsi="宋体" w:eastAsia="宋体" w:cs="宋体"/>
          <w:b/>
          <w:bCs/>
          <w:color w:val="auto"/>
          <w:sz w:val="21"/>
          <w:szCs w:val="21"/>
          <w:highlight w:val="none"/>
        </w:rPr>
        <w:t>）由高到低顺序推荐</w:t>
      </w:r>
      <w:r>
        <w:rPr>
          <w:rFonts w:hint="eastAsia" w:ascii="宋体" w:hAnsi="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名中标候选人</w:t>
      </w:r>
      <w:r>
        <w:rPr>
          <w:rFonts w:hint="eastAsia" w:ascii="宋体" w:hAnsi="宋体" w:eastAsia="宋体" w:cs="宋体"/>
          <w:color w:val="auto"/>
          <w:sz w:val="21"/>
          <w:szCs w:val="21"/>
          <w:highlight w:val="none"/>
        </w:rPr>
        <w:t>，并标明排序。</w:t>
      </w:r>
      <w:r>
        <w:rPr>
          <w:rFonts w:hint="eastAsia" w:ascii="宋体" w:hAnsi="宋体" w:eastAsia="宋体" w:cs="宋体"/>
          <w:color w:val="auto"/>
          <w:spacing w:val="-4"/>
          <w:sz w:val="21"/>
          <w:szCs w:val="21"/>
          <w:highlight w:val="none"/>
        </w:rPr>
        <w:t>若出现总得分</w:t>
      </w:r>
      <w:r>
        <w:rPr>
          <w:rFonts w:hint="eastAsia" w:ascii="宋体" w:hAnsi="宋体" w:eastAsia="宋体" w:cs="宋体"/>
          <w:bCs/>
          <w:color w:val="auto"/>
          <w:spacing w:val="-4"/>
          <w:sz w:val="21"/>
          <w:szCs w:val="21"/>
          <w:highlight w:val="none"/>
        </w:rPr>
        <w:t>相同的投标人有两名及以上时，以投标报价低者优先，如投标报价仍相同时，由招标人现场采取随机抽取的方式确定中标候选人排序</w:t>
      </w:r>
      <w:r>
        <w:rPr>
          <w:rFonts w:hint="eastAsia" w:ascii="宋体" w:hAnsi="宋体" w:eastAsia="宋体" w:cs="宋体"/>
          <w:color w:val="auto"/>
          <w:spacing w:val="-4"/>
          <w:sz w:val="21"/>
          <w:szCs w:val="21"/>
          <w:highlight w:val="none"/>
        </w:rPr>
        <w:t>。</w:t>
      </w:r>
    </w:p>
    <w:p w14:paraId="11E06010">
      <w:pPr>
        <w:pStyle w:val="7"/>
        <w:pageBreakBefore w:val="0"/>
        <w:kinsoku/>
        <w:wordWrap/>
        <w:overflowPunct/>
        <w:topLinePunct w:val="0"/>
        <w:autoSpaceDE/>
        <w:autoSpaceDN/>
        <w:bidi w:val="0"/>
        <w:adjustRightInd/>
        <w:snapToGrid/>
        <w:spacing w:before="0" w:beforeLines="0" w:after="0" w:afterLines="0" w:line="440" w:lineRule="exact"/>
        <w:jc w:val="left"/>
        <w:textAlignment w:val="auto"/>
        <w:rPr>
          <w:rFonts w:hint="eastAsia" w:ascii="宋体" w:hAnsi="宋体" w:eastAsia="宋体" w:cs="宋体"/>
          <w:color w:val="auto"/>
          <w:sz w:val="21"/>
          <w:szCs w:val="21"/>
          <w:highlight w:val="none"/>
        </w:rPr>
      </w:pPr>
      <w:bookmarkStart w:id="776" w:name="_Toc5907"/>
      <w:bookmarkStart w:id="777" w:name="_Toc26874"/>
      <w:r>
        <w:rPr>
          <w:rFonts w:hint="eastAsia" w:ascii="宋体" w:hAnsi="宋体" w:eastAsia="宋体" w:cs="宋体"/>
          <w:color w:val="auto"/>
          <w:sz w:val="21"/>
          <w:szCs w:val="21"/>
          <w:highlight w:val="none"/>
        </w:rPr>
        <w:t>2.评标委员会的职责</w:t>
      </w:r>
      <w:bookmarkEnd w:id="775"/>
      <w:bookmarkEnd w:id="776"/>
      <w:bookmarkEnd w:id="777"/>
    </w:p>
    <w:p w14:paraId="7D53D64B">
      <w:pPr>
        <w:pageBreakBefore w:val="0"/>
        <w:kinsoku/>
        <w:wordWrap/>
        <w:overflowPunct/>
        <w:topLinePunct w:val="0"/>
        <w:autoSpaceDE/>
        <w:autoSpaceDN/>
        <w:bidi w:val="0"/>
        <w:adjustRightInd/>
        <w:snapToGrid/>
        <w:spacing w:line="440" w:lineRule="exact"/>
        <w:ind w:firstLine="308" w:firstLineChars="147"/>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评标委员会应当根据本评标办法，对投标文件进行系统地评审和比较，向招标人推荐中标候选人或根据招标人的授权直接确定中标人。各评委必须独立评审，提出评审意见，不受任何单位或者个人的干预。各评委对其各自评审结果负责，并在评标报告上签字确认。对评标结论持有异议的评标委员会成员可以书面方式阐述其不同意见和理由。评标委员会成员拒绝在评标报告上签字且不陈述其不同意见和理由的，视为同意评标结论。评标委员会应当对此作出书面说明并记录在案。</w:t>
      </w:r>
    </w:p>
    <w:p w14:paraId="58CA7016">
      <w:pPr>
        <w:pStyle w:val="7"/>
        <w:pageBreakBefore w:val="0"/>
        <w:kinsoku/>
        <w:wordWrap/>
        <w:overflowPunct/>
        <w:topLinePunct w:val="0"/>
        <w:autoSpaceDE/>
        <w:autoSpaceDN/>
        <w:bidi w:val="0"/>
        <w:adjustRightInd/>
        <w:snapToGrid/>
        <w:spacing w:before="0" w:beforeLines="0" w:after="0" w:afterLines="0" w:line="440" w:lineRule="exact"/>
        <w:jc w:val="left"/>
        <w:textAlignment w:val="auto"/>
        <w:rPr>
          <w:rFonts w:hint="eastAsia" w:ascii="宋体" w:hAnsi="宋体" w:eastAsia="宋体" w:cs="宋体"/>
          <w:color w:val="auto"/>
          <w:sz w:val="21"/>
          <w:szCs w:val="21"/>
          <w:highlight w:val="none"/>
        </w:rPr>
      </w:pPr>
      <w:bookmarkStart w:id="778" w:name="_Toc12352"/>
      <w:bookmarkStart w:id="779" w:name="_Toc28953"/>
      <w:bookmarkStart w:id="780" w:name="_Toc23648666"/>
      <w:r>
        <w:rPr>
          <w:rFonts w:hint="eastAsia" w:ascii="宋体" w:hAnsi="宋体" w:eastAsia="宋体" w:cs="宋体"/>
          <w:color w:val="auto"/>
          <w:sz w:val="21"/>
          <w:szCs w:val="21"/>
          <w:highlight w:val="none"/>
        </w:rPr>
        <w:t>3.评标程序</w:t>
      </w:r>
      <w:bookmarkEnd w:id="778"/>
      <w:bookmarkEnd w:id="779"/>
      <w:bookmarkEnd w:id="780"/>
    </w:p>
    <w:p w14:paraId="6CFBC3B8">
      <w:pPr>
        <w:pageBreakBefore w:val="0"/>
        <w:kinsoku/>
        <w:wordWrap/>
        <w:overflowPunct/>
        <w:topLinePunct w:val="0"/>
        <w:autoSpaceDE/>
        <w:autoSpaceDN/>
        <w:bidi w:val="0"/>
        <w:adjustRightInd/>
        <w:snapToGrid/>
        <w:spacing w:line="440" w:lineRule="exact"/>
        <w:ind w:firstLine="308" w:firstLineChars="147"/>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评标先做准备工作，先进行资信证明文件评审，再进行</w:t>
      </w:r>
      <w:r>
        <w:rPr>
          <w:rFonts w:hint="eastAsia" w:ascii="宋体" w:hAnsi="宋体" w:eastAsia="宋体" w:cs="宋体"/>
          <w:color w:val="auto"/>
          <w:sz w:val="21"/>
          <w:szCs w:val="21"/>
          <w:highlight w:val="none"/>
          <w:lang w:val="en-US" w:eastAsia="zh-CN"/>
        </w:rPr>
        <w:t>技术标评审，最后进行</w:t>
      </w:r>
      <w:r>
        <w:rPr>
          <w:rFonts w:hint="eastAsia" w:ascii="宋体" w:hAnsi="宋体" w:eastAsia="宋体" w:cs="宋体"/>
          <w:color w:val="auto"/>
          <w:sz w:val="21"/>
          <w:szCs w:val="21"/>
          <w:highlight w:val="none"/>
        </w:rPr>
        <w:t>商务标评审。</w:t>
      </w:r>
    </w:p>
    <w:p w14:paraId="1A4865EC">
      <w:pPr>
        <w:pageBreakBefore w:val="0"/>
        <w:kinsoku/>
        <w:wordWrap/>
        <w:overflowPunct/>
        <w:topLinePunct w:val="0"/>
        <w:autoSpaceDE/>
        <w:autoSpaceDN/>
        <w:bidi w:val="0"/>
        <w:adjustRightInd/>
        <w:snapToGrid/>
        <w:spacing w:line="440" w:lineRule="exact"/>
        <w:ind w:firstLine="310" w:firstLineChars="147"/>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3.1评标准备工作</w:t>
      </w:r>
    </w:p>
    <w:p w14:paraId="0A715DC2">
      <w:pPr>
        <w:pageBreakBefore w:val="0"/>
        <w:kinsoku/>
        <w:wordWrap/>
        <w:overflowPunct/>
        <w:topLinePunct w:val="0"/>
        <w:autoSpaceDE/>
        <w:autoSpaceDN/>
        <w:bidi w:val="0"/>
        <w:adjustRightInd/>
        <w:snapToGrid/>
        <w:spacing w:line="440" w:lineRule="exact"/>
        <w:ind w:firstLine="308" w:firstLineChars="147"/>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评标委员会熟悉评标工作情况：</w:t>
      </w:r>
    </w:p>
    <w:p w14:paraId="6B7472BA">
      <w:pPr>
        <w:pageBreakBefore w:val="0"/>
        <w:kinsoku/>
        <w:wordWrap/>
        <w:overflowPunct/>
        <w:topLinePunct w:val="0"/>
        <w:autoSpaceDE/>
        <w:autoSpaceDN/>
        <w:bidi w:val="0"/>
        <w:adjustRightInd/>
        <w:snapToGrid/>
        <w:spacing w:line="440" w:lineRule="exact"/>
        <w:ind w:firstLine="308" w:firstLineChars="147"/>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（1）阅读由招标人或者其委托的工程代理机构编制的招标项目情况材料。</w:t>
      </w:r>
    </w:p>
    <w:p w14:paraId="0BB4A34D">
      <w:pPr>
        <w:pageBreakBefore w:val="0"/>
        <w:kinsoku/>
        <w:wordWrap/>
        <w:overflowPunct/>
        <w:topLinePunct w:val="0"/>
        <w:autoSpaceDE/>
        <w:autoSpaceDN/>
        <w:bidi w:val="0"/>
        <w:adjustRightInd/>
        <w:snapToGrid/>
        <w:spacing w:line="440" w:lineRule="exact"/>
        <w:ind w:firstLine="308" w:firstLineChars="147"/>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（2）阅读、研究</w:t>
      </w:r>
      <w:r>
        <w:rPr>
          <w:rFonts w:hint="eastAsia" w:ascii="宋体" w:hAnsi="宋体" w:eastAsia="宋体" w:cs="宋体"/>
          <w:color w:val="auto"/>
          <w:sz w:val="21"/>
          <w:szCs w:val="21"/>
          <w:highlight w:val="none"/>
          <w:lang w:eastAsia="zh-CN"/>
        </w:rPr>
        <w:t>招标文件</w:t>
      </w:r>
      <w:r>
        <w:rPr>
          <w:rFonts w:hint="eastAsia" w:ascii="宋体" w:hAnsi="宋体" w:eastAsia="宋体" w:cs="宋体"/>
          <w:color w:val="auto"/>
          <w:sz w:val="21"/>
          <w:szCs w:val="21"/>
          <w:highlight w:val="none"/>
        </w:rPr>
        <w:t>和相关评标资料，获取评标所需要的重要信息和数据，至少应了解和熟悉以下内容：招标项目的范围和性质，</w:t>
      </w:r>
      <w:r>
        <w:rPr>
          <w:rFonts w:hint="eastAsia" w:ascii="宋体" w:hAnsi="宋体" w:eastAsia="宋体" w:cs="宋体"/>
          <w:color w:val="auto"/>
          <w:sz w:val="21"/>
          <w:szCs w:val="21"/>
          <w:highlight w:val="none"/>
          <w:lang w:eastAsia="zh-CN"/>
        </w:rPr>
        <w:t>招标文件</w:t>
      </w:r>
      <w:r>
        <w:rPr>
          <w:rFonts w:hint="eastAsia" w:ascii="宋体" w:hAnsi="宋体" w:eastAsia="宋体" w:cs="宋体"/>
          <w:color w:val="auto"/>
          <w:sz w:val="21"/>
          <w:szCs w:val="21"/>
          <w:highlight w:val="none"/>
        </w:rPr>
        <w:t>规定的主要技术要求、标准和商务条款。</w:t>
      </w:r>
    </w:p>
    <w:p w14:paraId="351B0DDF">
      <w:pPr>
        <w:pageBreakBefore w:val="0"/>
        <w:kinsoku/>
        <w:wordWrap/>
        <w:overflowPunct/>
        <w:topLinePunct w:val="0"/>
        <w:autoSpaceDE/>
        <w:autoSpaceDN/>
        <w:bidi w:val="0"/>
        <w:adjustRightInd/>
        <w:snapToGrid/>
        <w:spacing w:line="440" w:lineRule="exact"/>
        <w:ind w:firstLine="308" w:firstLineChars="147"/>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（3）熟悉</w:t>
      </w:r>
      <w:r>
        <w:rPr>
          <w:rFonts w:hint="eastAsia" w:ascii="宋体" w:hAnsi="宋体" w:eastAsia="宋体" w:cs="宋体"/>
          <w:color w:val="auto"/>
          <w:sz w:val="21"/>
          <w:szCs w:val="21"/>
          <w:highlight w:val="none"/>
          <w:lang w:eastAsia="zh-CN"/>
        </w:rPr>
        <w:t>招标文件</w:t>
      </w:r>
      <w:r>
        <w:rPr>
          <w:rFonts w:hint="eastAsia" w:ascii="宋体" w:hAnsi="宋体" w:eastAsia="宋体" w:cs="宋体"/>
          <w:color w:val="auto"/>
          <w:sz w:val="21"/>
          <w:szCs w:val="21"/>
          <w:highlight w:val="none"/>
        </w:rPr>
        <w:t>规定的评标标准和评标方法及在评标过程中需要考虑的相关因素。</w:t>
      </w:r>
    </w:p>
    <w:p w14:paraId="2216F956">
      <w:pPr>
        <w:pageBreakBefore w:val="0"/>
        <w:kinsoku/>
        <w:wordWrap/>
        <w:overflowPunct/>
        <w:topLinePunct w:val="0"/>
        <w:autoSpaceDE/>
        <w:autoSpaceDN/>
        <w:bidi w:val="0"/>
        <w:adjustRightInd/>
        <w:snapToGrid/>
        <w:spacing w:line="440" w:lineRule="exact"/>
        <w:ind w:firstLine="308" w:firstLineChars="147"/>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（4）核对评标工作用表。</w:t>
      </w:r>
    </w:p>
    <w:p w14:paraId="295E22C5">
      <w:pPr>
        <w:pageBreakBefore w:val="0"/>
        <w:kinsoku/>
        <w:wordWrap/>
        <w:overflowPunct/>
        <w:topLinePunct w:val="0"/>
        <w:autoSpaceDE/>
        <w:autoSpaceDN/>
        <w:bidi w:val="0"/>
        <w:adjustRightInd/>
        <w:snapToGrid/>
        <w:spacing w:line="440" w:lineRule="exact"/>
        <w:ind w:firstLine="517" w:firstLineChars="245"/>
        <w:jc w:val="left"/>
        <w:textAlignment w:val="auto"/>
        <w:rPr>
          <w:rFonts w:hint="eastAsia" w:ascii="宋体" w:hAnsi="宋体" w:eastAsia="宋体" w:cs="宋体"/>
          <w:b/>
          <w:bCs/>
          <w:color w:val="auto"/>
          <w:sz w:val="21"/>
          <w:szCs w:val="21"/>
          <w:highlight w:val="none"/>
        </w:rPr>
      </w:pPr>
      <w:bookmarkStart w:id="781" w:name="_Toc23648667"/>
      <w:r>
        <w:rPr>
          <w:rFonts w:hint="eastAsia" w:ascii="宋体" w:hAnsi="宋体" w:eastAsia="宋体" w:cs="宋体"/>
          <w:b/>
          <w:bCs/>
          <w:color w:val="auto"/>
          <w:sz w:val="21"/>
          <w:szCs w:val="21"/>
          <w:highlight w:val="none"/>
        </w:rPr>
        <w:t>3.2推荐中标候选人：经资信评审、</w:t>
      </w:r>
      <w:r>
        <w:rPr>
          <w:rFonts w:hint="eastAsia" w:ascii="宋体" w:hAnsi="宋体" w:eastAsia="宋体" w:cs="宋体"/>
          <w:b/>
          <w:bCs/>
          <w:color w:val="auto"/>
          <w:sz w:val="21"/>
          <w:szCs w:val="21"/>
          <w:highlight w:val="none"/>
          <w:lang w:val="en-US" w:eastAsia="zh-CN"/>
        </w:rPr>
        <w:t>技术、</w:t>
      </w:r>
      <w:r>
        <w:rPr>
          <w:rFonts w:hint="eastAsia" w:ascii="宋体" w:hAnsi="宋体" w:eastAsia="宋体" w:cs="宋体"/>
          <w:b/>
          <w:bCs/>
          <w:color w:val="auto"/>
          <w:sz w:val="21"/>
          <w:szCs w:val="21"/>
          <w:highlight w:val="none"/>
        </w:rPr>
        <w:t>商务评审后，按总得分（资信评分</w:t>
      </w:r>
      <w:r>
        <w:rPr>
          <w:rFonts w:hint="eastAsia" w:ascii="宋体" w:hAnsi="宋体" w:eastAsia="宋体" w:cs="宋体"/>
          <w:b/>
          <w:bCs/>
          <w:color w:val="auto"/>
          <w:sz w:val="21"/>
          <w:szCs w:val="21"/>
          <w:highlight w:val="none"/>
          <w:lang w:val="en-US" w:eastAsia="zh-CN"/>
        </w:rPr>
        <w:t>+技术评分+</w:t>
      </w:r>
      <w:r>
        <w:rPr>
          <w:rFonts w:hint="eastAsia" w:ascii="宋体" w:hAnsi="宋体" w:eastAsia="宋体" w:cs="宋体"/>
          <w:b/>
          <w:bCs/>
          <w:color w:val="auto"/>
          <w:sz w:val="21"/>
          <w:szCs w:val="21"/>
          <w:highlight w:val="none"/>
        </w:rPr>
        <w:t>商务评分）由高到低顺序推荐</w:t>
      </w:r>
      <w:r>
        <w:rPr>
          <w:rFonts w:hint="eastAsia" w:ascii="宋体" w:hAnsi="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名中标候选人，并标明排序。若出现总得分相同的投标人有两名及以上时，以投标报价低者优先，如投标报价仍相同时，由招标人现场采取随机抽取的方式确定中标候选人排序。</w:t>
      </w:r>
    </w:p>
    <w:p w14:paraId="0C915BBE">
      <w:pPr>
        <w:pStyle w:val="7"/>
        <w:pageBreakBefore w:val="0"/>
        <w:kinsoku/>
        <w:wordWrap/>
        <w:overflowPunct/>
        <w:topLinePunct w:val="0"/>
        <w:autoSpaceDE/>
        <w:autoSpaceDN/>
        <w:bidi w:val="0"/>
        <w:adjustRightInd/>
        <w:snapToGrid/>
        <w:spacing w:before="0" w:beforeLines="0" w:after="0" w:afterLines="0" w:line="440" w:lineRule="exact"/>
        <w:jc w:val="left"/>
        <w:textAlignment w:val="auto"/>
        <w:rPr>
          <w:rFonts w:hint="eastAsia" w:ascii="宋体" w:hAnsi="宋体" w:eastAsia="宋体" w:cs="宋体"/>
          <w:b w:val="0"/>
          <w:color w:val="auto"/>
          <w:sz w:val="21"/>
          <w:szCs w:val="21"/>
          <w:highlight w:val="none"/>
        </w:rPr>
      </w:pPr>
      <w:bookmarkStart w:id="782" w:name="_Toc8829"/>
      <w:bookmarkStart w:id="783" w:name="_Toc1671"/>
      <w:r>
        <w:rPr>
          <w:rFonts w:hint="eastAsia" w:ascii="宋体" w:hAnsi="宋体" w:eastAsia="宋体" w:cs="宋体"/>
          <w:color w:val="auto"/>
          <w:sz w:val="21"/>
          <w:szCs w:val="21"/>
          <w:highlight w:val="none"/>
        </w:rPr>
        <w:t>4.评审内容</w:t>
      </w:r>
      <w:bookmarkEnd w:id="781"/>
      <w:bookmarkEnd w:id="782"/>
      <w:bookmarkEnd w:id="783"/>
    </w:p>
    <w:p w14:paraId="18E95F5B">
      <w:pPr>
        <w:pageBreakBefore w:val="0"/>
        <w:kinsoku/>
        <w:wordWrap/>
        <w:overflowPunct/>
        <w:topLinePunct w:val="0"/>
        <w:autoSpaceDE/>
        <w:autoSpaceDN/>
        <w:bidi w:val="0"/>
        <w:adjustRightInd/>
        <w:snapToGrid/>
        <w:spacing w:line="440" w:lineRule="exact"/>
        <w:ind w:firstLine="517" w:firstLineChars="245"/>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4.1资信证明文件评审</w:t>
      </w:r>
    </w:p>
    <w:p w14:paraId="69B0F752">
      <w:pPr>
        <w:pageBreakBefore w:val="0"/>
        <w:kinsoku/>
        <w:wordWrap/>
        <w:overflowPunct/>
        <w:topLinePunct w:val="0"/>
        <w:autoSpaceDE/>
        <w:autoSpaceDN/>
        <w:bidi w:val="0"/>
        <w:adjustRightInd/>
        <w:snapToGrid/>
        <w:spacing w:line="440" w:lineRule="exact"/>
        <w:ind w:firstLine="525" w:firstLineChars="2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4.1.1形式性评审标准：见资信证明文件评审表。</w:t>
      </w:r>
    </w:p>
    <w:p w14:paraId="1E10B08A">
      <w:pPr>
        <w:pageBreakBefore w:val="0"/>
        <w:kinsoku/>
        <w:wordWrap/>
        <w:overflowPunct/>
        <w:topLinePunct w:val="0"/>
        <w:autoSpaceDE/>
        <w:autoSpaceDN/>
        <w:bidi w:val="0"/>
        <w:adjustRightInd/>
        <w:snapToGrid/>
        <w:spacing w:line="440" w:lineRule="exact"/>
        <w:ind w:firstLine="525" w:firstLineChars="2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4.1.2响应性评审标准：见资信证明文件评审表。</w:t>
      </w:r>
    </w:p>
    <w:p w14:paraId="1B2BBB97">
      <w:pPr>
        <w:pageBreakBefore w:val="0"/>
        <w:kinsoku/>
        <w:wordWrap/>
        <w:overflowPunct/>
        <w:topLinePunct w:val="0"/>
        <w:autoSpaceDE/>
        <w:autoSpaceDN/>
        <w:bidi w:val="0"/>
        <w:adjustRightInd/>
        <w:snapToGrid/>
        <w:spacing w:line="440" w:lineRule="exact"/>
        <w:ind w:firstLine="525" w:firstLineChars="2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评标委员会依据上述标准对投标文件进行初步评审。有一项不符合评审标准的，作无效投标处理。</w:t>
      </w:r>
    </w:p>
    <w:p w14:paraId="3954E49F">
      <w:pPr>
        <w:pageBreakBefore w:val="0"/>
        <w:kinsoku/>
        <w:wordWrap/>
        <w:overflowPunct/>
        <w:topLinePunct w:val="0"/>
        <w:autoSpaceDE/>
        <w:autoSpaceDN/>
        <w:bidi w:val="0"/>
        <w:adjustRightInd/>
        <w:snapToGrid/>
        <w:spacing w:line="440" w:lineRule="exact"/>
        <w:ind w:firstLine="517" w:firstLineChars="245"/>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4.2商务标评审</w:t>
      </w:r>
    </w:p>
    <w:p w14:paraId="0F55100F">
      <w:pPr>
        <w:pageBreakBefore w:val="0"/>
        <w:kinsoku/>
        <w:wordWrap/>
        <w:overflowPunct/>
        <w:topLinePunct w:val="0"/>
        <w:autoSpaceDE/>
        <w:autoSpaceDN/>
        <w:bidi w:val="0"/>
        <w:adjustRightInd/>
        <w:snapToGrid/>
        <w:spacing w:line="440" w:lineRule="exact"/>
        <w:ind w:firstLine="525" w:firstLineChars="2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只有通过资信证明文件形式性、响应性评审的投标才能够进入本阶段评审。</w:t>
      </w:r>
    </w:p>
    <w:p w14:paraId="242937A8">
      <w:pPr>
        <w:pageBreakBefore w:val="0"/>
        <w:kinsoku/>
        <w:wordWrap/>
        <w:overflowPunct/>
        <w:topLinePunct w:val="0"/>
        <w:autoSpaceDE/>
        <w:autoSpaceDN/>
        <w:bidi w:val="0"/>
        <w:adjustRightInd/>
        <w:snapToGrid/>
        <w:spacing w:line="440" w:lineRule="exact"/>
        <w:ind w:firstLine="525" w:firstLineChars="2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1形式性评审标准：见商务标评审表。</w:t>
      </w:r>
    </w:p>
    <w:p w14:paraId="211ABFC4">
      <w:pPr>
        <w:pageBreakBefore w:val="0"/>
        <w:kinsoku/>
        <w:wordWrap/>
        <w:overflowPunct/>
        <w:topLinePunct w:val="0"/>
        <w:autoSpaceDE/>
        <w:autoSpaceDN/>
        <w:bidi w:val="0"/>
        <w:adjustRightInd/>
        <w:snapToGrid/>
        <w:spacing w:line="440" w:lineRule="exact"/>
        <w:ind w:firstLine="525" w:firstLineChars="2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.2响应性评审标准：见商务标评审表。</w:t>
      </w:r>
    </w:p>
    <w:p w14:paraId="6E96CD68">
      <w:pPr>
        <w:pageBreakBefore w:val="0"/>
        <w:kinsoku/>
        <w:wordWrap/>
        <w:overflowPunct/>
        <w:topLinePunct w:val="0"/>
        <w:autoSpaceDE/>
        <w:autoSpaceDN/>
        <w:bidi w:val="0"/>
        <w:adjustRightInd/>
        <w:snapToGrid/>
        <w:spacing w:line="440" w:lineRule="exact"/>
        <w:ind w:firstLine="525" w:firstLineChars="2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评标委员会依据上述标准对投标文件进行初步评审。有一项不符合评审标准的，作无效投标处理。</w:t>
      </w:r>
    </w:p>
    <w:p w14:paraId="617FF075">
      <w:pPr>
        <w:pageBreakBefore w:val="0"/>
        <w:kinsoku/>
        <w:wordWrap/>
        <w:overflowPunct/>
        <w:topLinePunct w:val="0"/>
        <w:autoSpaceDE/>
        <w:autoSpaceDN/>
        <w:bidi w:val="0"/>
        <w:adjustRightInd/>
        <w:snapToGrid/>
        <w:spacing w:line="440" w:lineRule="exact"/>
        <w:ind w:firstLine="525" w:firstLineChars="2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.3投标报价评审</w:t>
      </w:r>
    </w:p>
    <w:p w14:paraId="5F627DC8">
      <w:pPr>
        <w:pageBreakBefore w:val="0"/>
        <w:kinsoku/>
        <w:wordWrap/>
        <w:overflowPunct/>
        <w:topLinePunct w:val="0"/>
        <w:autoSpaceDE/>
        <w:autoSpaceDN/>
        <w:bidi w:val="0"/>
        <w:adjustRightInd/>
        <w:snapToGrid/>
        <w:spacing w:line="440" w:lineRule="exact"/>
        <w:ind w:firstLine="422" w:firstLineChars="200"/>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评标委员会发现投标人的投标报价明显低于其他投标报价，使得其投标报价可能低于其成本的，应当要求该投标人作出书面说明并提供相应的证明材料。投标人不能合理说明或者不能提供相应证明材料的，由评标委员会认定该投标人以低于成本报价竞标，其投标作无效投标处理。</w:t>
      </w:r>
    </w:p>
    <w:p w14:paraId="0C9BF394">
      <w:pPr>
        <w:pageBreakBefore w:val="0"/>
        <w:kinsoku/>
        <w:wordWrap/>
        <w:overflowPunct/>
        <w:topLinePunct w:val="0"/>
        <w:autoSpaceDE/>
        <w:autoSpaceDN/>
        <w:bidi w:val="0"/>
        <w:adjustRightInd/>
        <w:snapToGrid/>
        <w:spacing w:line="440" w:lineRule="exact"/>
        <w:ind w:firstLine="525" w:firstLineChars="2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.4评标委员会审查投标文件，投标报价有错误的，评标委员会按以下原则对投标报价进行修正。</w:t>
      </w:r>
    </w:p>
    <w:p w14:paraId="5EF93E8F">
      <w:pPr>
        <w:pageBreakBefore w:val="0"/>
        <w:kinsoku/>
        <w:wordWrap/>
        <w:overflowPunct/>
        <w:topLinePunct w:val="0"/>
        <w:autoSpaceDE/>
        <w:autoSpaceDN/>
        <w:bidi w:val="0"/>
        <w:adjustRightInd/>
        <w:snapToGrid/>
        <w:spacing w:line="440" w:lineRule="exact"/>
        <w:ind w:firstLine="315" w:firstLineChars="1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（1）投标文件中的大写金额与小写金额不一致的，以大写金额为准。</w:t>
      </w:r>
    </w:p>
    <w:p w14:paraId="5B4DC73E">
      <w:pPr>
        <w:pageBreakBefore w:val="0"/>
        <w:kinsoku/>
        <w:wordWrap/>
        <w:overflowPunct/>
        <w:topLinePunct w:val="0"/>
        <w:autoSpaceDE/>
        <w:autoSpaceDN/>
        <w:bidi w:val="0"/>
        <w:adjustRightInd/>
        <w:snapToGrid/>
        <w:spacing w:line="440" w:lineRule="exact"/>
        <w:ind w:firstLine="315" w:firstLineChars="1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（2）总价金额与依据单价计算出的结果不一致的，以单价金额为准修正总价，但单价金额小数点有明显错误的除外。</w:t>
      </w:r>
    </w:p>
    <w:p w14:paraId="511AA7BB">
      <w:pPr>
        <w:pStyle w:val="7"/>
        <w:pageBreakBefore w:val="0"/>
        <w:kinsoku/>
        <w:wordWrap/>
        <w:overflowPunct/>
        <w:topLinePunct w:val="0"/>
        <w:autoSpaceDE/>
        <w:autoSpaceDN/>
        <w:bidi w:val="0"/>
        <w:adjustRightInd/>
        <w:snapToGrid/>
        <w:spacing w:before="0" w:beforeLines="0" w:after="0" w:afterLines="0" w:line="440" w:lineRule="exact"/>
        <w:ind w:firstLine="422" w:firstLineChars="200"/>
        <w:jc w:val="left"/>
        <w:textAlignment w:val="auto"/>
        <w:rPr>
          <w:rFonts w:hint="default" w:ascii="宋体" w:hAnsi="宋体" w:eastAsia="宋体" w:cs="宋体"/>
          <w:color w:val="auto"/>
          <w:sz w:val="21"/>
          <w:szCs w:val="21"/>
          <w:highlight w:val="none"/>
          <w:lang w:val="en-US" w:eastAsia="zh-CN"/>
        </w:rPr>
      </w:pPr>
      <w:bookmarkStart w:id="784" w:name="_Toc10799"/>
      <w:bookmarkStart w:id="785" w:name="_Toc23648668"/>
      <w:bookmarkStart w:id="786" w:name="_Toc11145"/>
      <w:r>
        <w:rPr>
          <w:rFonts w:hint="eastAsia" w:ascii="宋体" w:hAnsi="宋体" w:eastAsia="宋体" w:cs="宋体"/>
          <w:color w:val="auto"/>
          <w:sz w:val="21"/>
          <w:szCs w:val="21"/>
          <w:highlight w:val="none"/>
          <w:lang w:val="en-US" w:eastAsia="zh-CN"/>
        </w:rPr>
        <w:t>4.3技术标评审</w:t>
      </w:r>
      <w:bookmarkEnd w:id="784"/>
    </w:p>
    <w:p w14:paraId="306B6D7C">
      <w:pPr>
        <w:pageBreakBefore w:val="0"/>
        <w:kinsoku/>
        <w:wordWrap/>
        <w:overflowPunct/>
        <w:topLinePunct w:val="0"/>
        <w:autoSpaceDE/>
        <w:autoSpaceDN/>
        <w:bidi w:val="0"/>
        <w:adjustRightInd/>
        <w:snapToGrid/>
        <w:spacing w:line="440" w:lineRule="exact"/>
        <w:ind w:firstLine="315" w:firstLineChars="15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（1）详见技术标评分细则。</w:t>
      </w:r>
    </w:p>
    <w:p w14:paraId="07D114B4">
      <w:pPr>
        <w:pStyle w:val="7"/>
        <w:pageBreakBefore w:val="0"/>
        <w:kinsoku/>
        <w:wordWrap/>
        <w:overflowPunct/>
        <w:topLinePunct w:val="0"/>
        <w:autoSpaceDE/>
        <w:autoSpaceDN/>
        <w:bidi w:val="0"/>
        <w:adjustRightInd/>
        <w:snapToGrid/>
        <w:spacing w:before="0" w:beforeLines="0" w:after="0" w:afterLines="0" w:line="440" w:lineRule="exact"/>
        <w:jc w:val="left"/>
        <w:textAlignment w:val="auto"/>
        <w:rPr>
          <w:rFonts w:hint="eastAsia" w:ascii="宋体" w:hAnsi="宋体" w:eastAsia="宋体" w:cs="宋体"/>
          <w:color w:val="auto"/>
          <w:sz w:val="21"/>
          <w:szCs w:val="21"/>
          <w:highlight w:val="none"/>
        </w:rPr>
      </w:pPr>
      <w:bookmarkStart w:id="787" w:name="_Toc28877"/>
      <w:r>
        <w:rPr>
          <w:rFonts w:hint="eastAsia" w:ascii="宋体" w:hAnsi="宋体" w:eastAsia="宋体" w:cs="宋体"/>
          <w:color w:val="auto"/>
          <w:sz w:val="21"/>
          <w:szCs w:val="21"/>
          <w:highlight w:val="none"/>
        </w:rPr>
        <w:t>5.无效投标条款</w:t>
      </w:r>
      <w:bookmarkEnd w:id="785"/>
      <w:bookmarkEnd w:id="786"/>
      <w:bookmarkEnd w:id="787"/>
    </w:p>
    <w:p w14:paraId="51CBFDD0">
      <w:pPr>
        <w:pageBreakBefore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bookmarkStart w:id="788" w:name="_Toc23648669"/>
      <w:r>
        <w:rPr>
          <w:rFonts w:hint="eastAsia" w:ascii="宋体" w:hAnsi="宋体" w:eastAsia="宋体" w:cs="宋体"/>
          <w:color w:val="auto"/>
          <w:sz w:val="21"/>
          <w:szCs w:val="21"/>
          <w:highlight w:val="none"/>
        </w:rPr>
        <w:t>5.1投标人存在下列情形的招标人将拒收投标文件：</w:t>
      </w:r>
    </w:p>
    <w:p w14:paraId="65C7EAF2">
      <w:pPr>
        <w:pageBreakBefore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未在投标截止时间前递交有效投标文件的，投标将被拒绝。</w:t>
      </w:r>
    </w:p>
    <w:p w14:paraId="6A7679E7">
      <w:pPr>
        <w:pageBreakBefore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5.2由资格审查委员会（评标委员会）按资格审查办法前附表要求对投标人审查资料进行核验。投标申请人有下列情形之一的，其资格审查为不合格：</w:t>
      </w:r>
    </w:p>
    <w:p w14:paraId="13E48B62">
      <w:pPr>
        <w:pageBreakBefore w:val="0"/>
        <w:numPr>
          <w:ilvl w:val="0"/>
          <w:numId w:val="6"/>
        </w:numPr>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法定代表人（或委托代理人）未准时参加会议；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本条不采用</w:t>
      </w:r>
      <w:r>
        <w:rPr>
          <w:rFonts w:hint="eastAsia" w:ascii="宋体" w:hAnsi="宋体" w:eastAsia="宋体" w:cs="宋体"/>
          <w:color w:val="auto"/>
          <w:sz w:val="21"/>
          <w:szCs w:val="21"/>
          <w:highlight w:val="none"/>
          <w:lang w:eastAsia="zh-CN"/>
        </w:rPr>
        <w:t>）</w:t>
      </w:r>
    </w:p>
    <w:p w14:paraId="6C86EF64">
      <w:pPr>
        <w:pageBreakBefore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联合体投标人没有提交联合体协议书；</w:t>
      </w:r>
    </w:p>
    <w:p w14:paraId="6B0BD962">
      <w:pPr>
        <w:pageBreakBefore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）不能提供资格审查材料或经审查不合格；</w:t>
      </w:r>
    </w:p>
    <w:p w14:paraId="392D561F">
      <w:pPr>
        <w:pageBreakBefore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）保证金不按《投标人须知前附表》要求提交投标保证金的。</w:t>
      </w:r>
    </w:p>
    <w:p w14:paraId="483DAC93">
      <w:pPr>
        <w:pageBreakBefore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）法律、法规规定的其他情形。</w:t>
      </w:r>
    </w:p>
    <w:p w14:paraId="4082D6E4">
      <w:pPr>
        <w:pageBreakBefore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5.3投标人有下列情形的，经评审后其投标作无效投标处理无效投标：</w:t>
      </w:r>
    </w:p>
    <w:p w14:paraId="41CBD237">
      <w:pPr>
        <w:pageBreakBefore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5.3.1商</w:t>
      </w:r>
      <w:r>
        <w:rPr>
          <w:rFonts w:hint="eastAsia" w:ascii="宋体" w:hAnsi="宋体" w:eastAsia="宋体" w:cs="宋体"/>
          <w:color w:val="auto"/>
          <w:sz w:val="21"/>
          <w:szCs w:val="21"/>
          <w:highlight w:val="none"/>
          <w:lang w:val="en-US" w:eastAsia="zh-CN"/>
        </w:rPr>
        <w:t>务</w:t>
      </w:r>
      <w:r>
        <w:rPr>
          <w:rFonts w:hint="eastAsia" w:ascii="宋体" w:hAnsi="宋体" w:eastAsia="宋体" w:cs="宋体"/>
          <w:color w:val="auto"/>
          <w:sz w:val="21"/>
          <w:szCs w:val="21"/>
          <w:highlight w:val="none"/>
        </w:rPr>
        <w:t>标评审</w:t>
      </w:r>
    </w:p>
    <w:p w14:paraId="3262B5B0">
      <w:pPr>
        <w:pageBreakBefore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评标委员会依据《商务标评审表》进行形式性评审和响应性评审。有一项不符合评审标准的，做无效投标处理；</w:t>
      </w:r>
    </w:p>
    <w:p w14:paraId="638F86C6">
      <w:pPr>
        <w:pageBreakBefore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5.4其他无效投标情况：</w:t>
      </w:r>
    </w:p>
    <w:p w14:paraId="7C0C3FC6">
      <w:pPr>
        <w:pageBreakBefore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（1）按《评标方法》修正错误的原则及方法调整或修正投标文件的投标报价，调整或修正的价格经投标人书面确认后具有约束力。投标人不接修正价格的，其投标将被拒绝。</w:t>
      </w:r>
    </w:p>
    <w:p w14:paraId="1A528A48">
      <w:pPr>
        <w:pageBreakBefore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）“投标人须知”规定的任何一种情形的。</w:t>
      </w:r>
    </w:p>
    <w:p w14:paraId="722546A5">
      <w:pPr>
        <w:pageBreakBefore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）投标人有串通投标、弄虚作假、行贿等违法行为。</w:t>
      </w:r>
    </w:p>
    <w:p w14:paraId="716D8914">
      <w:pPr>
        <w:pageBreakBefore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）投标文件没有对招标文件的实质性要求和条件作出响应。</w:t>
      </w:r>
    </w:p>
    <w:p w14:paraId="53BF82B4">
      <w:pPr>
        <w:pageBreakBefore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）未按规定的格式填写，实质性内容不全或关键字迹模糊、无法辨认的。</w:t>
      </w:r>
    </w:p>
    <w:p w14:paraId="38638D24">
      <w:pPr>
        <w:pageBreakBefore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）同一投标人提交两个以上不同的投标文件或者投标报价，但招标文件规定提交备选投标的除外。</w:t>
      </w:r>
    </w:p>
    <w:p w14:paraId="2F8E9150">
      <w:pPr>
        <w:pageBreakBefore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）投标文件中存在招标人不能接受的其他实质性条件。</w:t>
      </w:r>
    </w:p>
    <w:p w14:paraId="5561A8C5">
      <w:pPr>
        <w:pageBreakBefore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）投标人拒不按照要求对投标文件进行澄清、说明、补正的，或评标委员会根据招标文件的规定对招标文件的计算错误进行修正后，投标人不接受修正的投标报价的。</w:t>
      </w:r>
    </w:p>
    <w:p w14:paraId="7F0022E0">
      <w:pPr>
        <w:pageBreakBefore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lang w:val="en-US" w:eastAsia="zh-CN"/>
        </w:rPr>
        <w:t>9</w:t>
      </w:r>
      <w:r>
        <w:rPr>
          <w:rFonts w:hint="eastAsia" w:ascii="宋体" w:hAnsi="宋体" w:eastAsia="宋体" w:cs="宋体"/>
          <w:bCs/>
          <w:color w:val="auto"/>
          <w:sz w:val="21"/>
          <w:szCs w:val="21"/>
          <w:highlight w:val="none"/>
        </w:rPr>
        <w:t>）投标人单方面出现其他投标人材料。</w:t>
      </w:r>
    </w:p>
    <w:p w14:paraId="445F2E37">
      <w:pPr>
        <w:pageBreakBefore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法律、法规规定的其他情形。</w:t>
      </w:r>
    </w:p>
    <w:p w14:paraId="5ACE1AFA">
      <w:pPr>
        <w:pStyle w:val="7"/>
        <w:pageBreakBefore w:val="0"/>
        <w:kinsoku/>
        <w:wordWrap/>
        <w:overflowPunct/>
        <w:topLinePunct w:val="0"/>
        <w:autoSpaceDE/>
        <w:autoSpaceDN/>
        <w:bidi w:val="0"/>
        <w:adjustRightInd/>
        <w:snapToGrid/>
        <w:spacing w:before="0" w:beforeLines="0" w:after="0" w:afterLines="0" w:line="440" w:lineRule="exact"/>
        <w:jc w:val="left"/>
        <w:textAlignment w:val="auto"/>
        <w:rPr>
          <w:rFonts w:hint="eastAsia" w:ascii="宋体" w:hAnsi="宋体" w:eastAsia="宋体" w:cs="宋体"/>
          <w:color w:val="auto"/>
          <w:sz w:val="21"/>
          <w:szCs w:val="21"/>
          <w:highlight w:val="none"/>
        </w:rPr>
      </w:pPr>
      <w:bookmarkStart w:id="789" w:name="_Toc142"/>
      <w:bookmarkStart w:id="790" w:name="_Toc22792"/>
      <w:r>
        <w:rPr>
          <w:rFonts w:hint="eastAsia" w:ascii="宋体" w:hAnsi="宋体" w:eastAsia="宋体" w:cs="宋体"/>
          <w:color w:val="auto"/>
          <w:sz w:val="21"/>
          <w:szCs w:val="21"/>
          <w:highlight w:val="none"/>
        </w:rPr>
        <w:t>6.投标文件的澄清和补正</w:t>
      </w:r>
      <w:bookmarkEnd w:id="788"/>
      <w:bookmarkEnd w:id="789"/>
      <w:bookmarkEnd w:id="790"/>
    </w:p>
    <w:p w14:paraId="1C04FD7E">
      <w:pPr>
        <w:pageBreakBefore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6.1在评标过程中，评标委员会可以书面形式要求投标人对所提交的投标文件中不明确的内容进行书面澄清或说明，或者对细微偏差进行补正。评标委员会不接受投标人主动提出的澄清、说明或补正。</w:t>
      </w:r>
    </w:p>
    <w:p w14:paraId="3B0D4ACD">
      <w:pPr>
        <w:pageBreakBefore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6.2澄清、说明和补正不得改变投标文件的实质性内容（算术性错误修正的除外）。投标人的书面澄清、说明和补正属于投标文件的组成部分。</w:t>
      </w:r>
    </w:p>
    <w:p w14:paraId="1983E17F">
      <w:pPr>
        <w:pageBreakBefore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6.3评标委员会对投标人提交的澄清、说明和补正有疑问的，可以要求投标人进一步澄清、说明或补正、直至满足评标委员会的要求。</w:t>
      </w:r>
    </w:p>
    <w:p w14:paraId="1BE7E2D1">
      <w:pPr>
        <w:pageBreakBefore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按照投标文件规定进行澄清、补正后的投标报价经投标人的法定代表人或其委托代理人确认后即为该投标人的最终投标报价。投标人一旦中标，此报价即为中标价。</w:t>
      </w:r>
    </w:p>
    <w:p w14:paraId="79A336A4">
      <w:pPr>
        <w:pStyle w:val="7"/>
        <w:pageBreakBefore w:val="0"/>
        <w:kinsoku/>
        <w:wordWrap/>
        <w:overflowPunct/>
        <w:topLinePunct w:val="0"/>
        <w:autoSpaceDE/>
        <w:autoSpaceDN/>
        <w:bidi w:val="0"/>
        <w:adjustRightInd/>
        <w:snapToGrid/>
        <w:spacing w:before="0" w:beforeLines="0" w:after="0" w:afterLines="0" w:line="440" w:lineRule="exact"/>
        <w:jc w:val="left"/>
        <w:textAlignment w:val="auto"/>
        <w:rPr>
          <w:rFonts w:hint="eastAsia" w:ascii="宋体" w:hAnsi="宋体" w:eastAsia="宋体" w:cs="宋体"/>
          <w:color w:val="auto"/>
          <w:sz w:val="21"/>
          <w:szCs w:val="21"/>
          <w:highlight w:val="none"/>
        </w:rPr>
      </w:pPr>
      <w:bookmarkStart w:id="791" w:name="_Toc23648670"/>
      <w:bookmarkStart w:id="792" w:name="_Toc11397"/>
      <w:bookmarkStart w:id="793" w:name="_Toc6541"/>
      <w:r>
        <w:rPr>
          <w:rFonts w:hint="eastAsia" w:ascii="宋体" w:hAnsi="宋体" w:eastAsia="宋体" w:cs="宋体"/>
          <w:color w:val="auto"/>
          <w:sz w:val="21"/>
          <w:szCs w:val="21"/>
          <w:highlight w:val="none"/>
        </w:rPr>
        <w:t>7.评分标准</w:t>
      </w:r>
      <w:bookmarkEnd w:id="791"/>
      <w:bookmarkEnd w:id="792"/>
      <w:bookmarkEnd w:id="793"/>
    </w:p>
    <w:p w14:paraId="1C4C71E3">
      <w:pPr>
        <w:pageBreakBefore w:val="0"/>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评分标准：见评标办法前附表。</w:t>
      </w:r>
    </w:p>
    <w:p w14:paraId="243FD35D">
      <w:pPr>
        <w:pStyle w:val="7"/>
        <w:pageBreakBefore w:val="0"/>
        <w:kinsoku/>
        <w:wordWrap/>
        <w:overflowPunct/>
        <w:topLinePunct w:val="0"/>
        <w:autoSpaceDE/>
        <w:autoSpaceDN/>
        <w:bidi w:val="0"/>
        <w:adjustRightInd/>
        <w:snapToGrid/>
        <w:spacing w:before="0" w:beforeLines="0" w:after="0" w:afterLines="0" w:line="440" w:lineRule="exact"/>
        <w:jc w:val="left"/>
        <w:textAlignment w:val="auto"/>
        <w:rPr>
          <w:rFonts w:hint="eastAsia" w:ascii="宋体" w:hAnsi="宋体" w:eastAsia="宋体" w:cs="宋体"/>
          <w:color w:val="auto"/>
          <w:sz w:val="21"/>
          <w:szCs w:val="21"/>
          <w:highlight w:val="none"/>
        </w:rPr>
      </w:pPr>
      <w:bookmarkStart w:id="794" w:name="_Toc6614"/>
      <w:bookmarkStart w:id="795" w:name="_Toc3118"/>
      <w:bookmarkStart w:id="796" w:name="_Toc23648671"/>
      <w:r>
        <w:rPr>
          <w:rFonts w:hint="eastAsia" w:ascii="宋体" w:hAnsi="宋体" w:eastAsia="宋体" w:cs="宋体"/>
          <w:color w:val="auto"/>
          <w:sz w:val="21"/>
          <w:szCs w:val="21"/>
          <w:highlight w:val="none"/>
        </w:rPr>
        <w:t>8.评审结果</w:t>
      </w:r>
      <w:bookmarkEnd w:id="794"/>
      <w:bookmarkEnd w:id="795"/>
      <w:bookmarkEnd w:id="796"/>
    </w:p>
    <w:p w14:paraId="49000106">
      <w:pPr>
        <w:pageBreakBefore w:val="0"/>
        <w:kinsoku/>
        <w:wordWrap/>
        <w:overflowPunct/>
        <w:topLinePunct w:val="0"/>
        <w:autoSpaceDE/>
        <w:autoSpaceDN/>
        <w:bidi w:val="0"/>
        <w:adjustRightInd/>
        <w:snapToGrid/>
        <w:spacing w:line="440" w:lineRule="exact"/>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8.1</w:t>
      </w:r>
      <w:r>
        <w:rPr>
          <w:rFonts w:hint="eastAsia" w:ascii="宋体" w:hAnsi="宋体" w:eastAsia="宋体" w:cs="宋体"/>
          <w:color w:val="auto"/>
          <w:sz w:val="21"/>
          <w:szCs w:val="21"/>
          <w:highlight w:val="none"/>
        </w:rPr>
        <w:t>除投标人须知前附表授权直接确定中标人外，评标委员会按照总得分由高到低顺序推荐中标候选人。</w:t>
      </w:r>
      <w:r>
        <w:rPr>
          <w:rFonts w:hint="eastAsia" w:ascii="宋体" w:hAnsi="宋体" w:eastAsia="宋体" w:cs="宋体"/>
          <w:color w:val="auto"/>
          <w:spacing w:val="-4"/>
          <w:sz w:val="21"/>
          <w:szCs w:val="21"/>
          <w:highlight w:val="none"/>
        </w:rPr>
        <w:t>若出现总得分</w:t>
      </w:r>
      <w:r>
        <w:rPr>
          <w:rFonts w:hint="eastAsia" w:ascii="宋体" w:hAnsi="宋体" w:eastAsia="宋体" w:cs="宋体"/>
          <w:bCs/>
          <w:color w:val="auto"/>
          <w:spacing w:val="-4"/>
          <w:sz w:val="21"/>
          <w:szCs w:val="21"/>
          <w:highlight w:val="none"/>
        </w:rPr>
        <w:t>相同的投标人有两名及以上时，以投标报价低者优先，如投标报价仍相同时，由招标人现场采取随机抽取的方式确定中标候选人排序</w:t>
      </w:r>
      <w:r>
        <w:rPr>
          <w:rFonts w:hint="eastAsia" w:ascii="宋体" w:hAnsi="宋体" w:eastAsia="宋体" w:cs="宋体"/>
          <w:color w:val="auto"/>
          <w:spacing w:val="-4"/>
          <w:sz w:val="21"/>
          <w:szCs w:val="21"/>
          <w:highlight w:val="none"/>
        </w:rPr>
        <w:t>。</w:t>
      </w:r>
    </w:p>
    <w:p w14:paraId="5624B598">
      <w:pPr>
        <w:pageBreakBefore w:val="0"/>
        <w:kinsoku/>
        <w:wordWrap/>
        <w:overflowPunct/>
        <w:topLinePunct w:val="0"/>
        <w:autoSpaceDE/>
        <w:autoSpaceDN/>
        <w:bidi w:val="0"/>
        <w:adjustRightInd/>
        <w:snapToGrid/>
        <w:spacing w:line="440" w:lineRule="exact"/>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8.2</w:t>
      </w:r>
      <w:r>
        <w:rPr>
          <w:rFonts w:hint="eastAsia" w:ascii="宋体" w:hAnsi="宋体" w:eastAsia="宋体" w:cs="宋体"/>
          <w:color w:val="auto"/>
          <w:sz w:val="21"/>
          <w:szCs w:val="21"/>
          <w:highlight w:val="none"/>
        </w:rPr>
        <w:t>评标委员会完成评标后，应当向招标人提交书面评标报告。评标报告应当如实记载以下内容：</w:t>
      </w:r>
    </w:p>
    <w:p w14:paraId="6FC5CA35">
      <w:pPr>
        <w:pageBreakBefore w:val="0"/>
        <w:kinsoku/>
        <w:wordWrap/>
        <w:overflowPunct/>
        <w:topLinePunct w:val="0"/>
        <w:autoSpaceDE/>
        <w:autoSpaceDN/>
        <w:bidi w:val="0"/>
        <w:adjustRightInd/>
        <w:snapToGrid/>
        <w:spacing w:line="440" w:lineRule="exact"/>
        <w:ind w:left="420" w:leftChars="200" w:firstLine="105" w:firstLineChars="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（1）基本情况和数据表。</w:t>
      </w:r>
    </w:p>
    <w:p w14:paraId="22F7B6D2">
      <w:pPr>
        <w:pageBreakBefore w:val="0"/>
        <w:kinsoku/>
        <w:wordWrap/>
        <w:overflowPunct/>
        <w:topLinePunct w:val="0"/>
        <w:autoSpaceDE/>
        <w:autoSpaceDN/>
        <w:bidi w:val="0"/>
        <w:adjustRightInd/>
        <w:snapToGrid/>
        <w:spacing w:line="440" w:lineRule="exact"/>
        <w:ind w:left="420" w:leftChars="200" w:firstLine="105" w:firstLineChars="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（2）评标委员会成员名单。</w:t>
      </w:r>
    </w:p>
    <w:p w14:paraId="4C5276B9">
      <w:pPr>
        <w:pageBreakBefore w:val="0"/>
        <w:kinsoku/>
        <w:wordWrap/>
        <w:overflowPunct/>
        <w:topLinePunct w:val="0"/>
        <w:autoSpaceDE/>
        <w:autoSpaceDN/>
        <w:bidi w:val="0"/>
        <w:adjustRightInd/>
        <w:snapToGrid/>
        <w:spacing w:line="440" w:lineRule="exact"/>
        <w:ind w:left="420" w:leftChars="200" w:firstLine="105" w:firstLineChars="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（3）开标记录。</w:t>
      </w:r>
    </w:p>
    <w:p w14:paraId="44227759">
      <w:pPr>
        <w:pageBreakBefore w:val="0"/>
        <w:kinsoku/>
        <w:wordWrap/>
        <w:overflowPunct/>
        <w:topLinePunct w:val="0"/>
        <w:autoSpaceDE/>
        <w:autoSpaceDN/>
        <w:bidi w:val="0"/>
        <w:adjustRightInd/>
        <w:snapToGrid/>
        <w:spacing w:line="440" w:lineRule="exact"/>
        <w:ind w:left="420" w:leftChars="200" w:firstLine="105" w:firstLineChars="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（4）符合要求的投标人一览表。</w:t>
      </w:r>
    </w:p>
    <w:p w14:paraId="2F0609F7">
      <w:pPr>
        <w:pageBreakBefore w:val="0"/>
        <w:kinsoku/>
        <w:wordWrap/>
        <w:overflowPunct/>
        <w:topLinePunct w:val="0"/>
        <w:autoSpaceDE/>
        <w:autoSpaceDN/>
        <w:bidi w:val="0"/>
        <w:adjustRightInd/>
        <w:snapToGrid/>
        <w:spacing w:line="440" w:lineRule="exact"/>
        <w:ind w:left="420" w:leftChars="200" w:firstLine="105" w:firstLineChars="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（5）废标情况说明。</w:t>
      </w:r>
    </w:p>
    <w:p w14:paraId="1F39C295">
      <w:pPr>
        <w:pageBreakBefore w:val="0"/>
        <w:kinsoku/>
        <w:wordWrap/>
        <w:overflowPunct/>
        <w:topLinePunct w:val="0"/>
        <w:autoSpaceDE/>
        <w:autoSpaceDN/>
        <w:bidi w:val="0"/>
        <w:adjustRightInd/>
        <w:snapToGrid/>
        <w:spacing w:line="440" w:lineRule="exact"/>
        <w:ind w:left="420" w:leftChars="200" w:firstLine="105" w:firstLineChars="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（6）评标标准、评标方法或者评标因素。</w:t>
      </w:r>
    </w:p>
    <w:p w14:paraId="5A4C4539">
      <w:pPr>
        <w:pageBreakBefore w:val="0"/>
        <w:kinsoku/>
        <w:wordWrap/>
        <w:overflowPunct/>
        <w:topLinePunct w:val="0"/>
        <w:autoSpaceDE/>
        <w:autoSpaceDN/>
        <w:bidi w:val="0"/>
        <w:adjustRightInd/>
        <w:snapToGrid/>
        <w:spacing w:line="440" w:lineRule="exact"/>
        <w:ind w:left="420" w:leftChars="200" w:firstLine="105" w:firstLineChars="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（7）经评审的价格一览表。</w:t>
      </w:r>
    </w:p>
    <w:p w14:paraId="1021B99F">
      <w:pPr>
        <w:pageBreakBefore w:val="0"/>
        <w:kinsoku/>
        <w:wordWrap/>
        <w:overflowPunct/>
        <w:topLinePunct w:val="0"/>
        <w:autoSpaceDE/>
        <w:autoSpaceDN/>
        <w:bidi w:val="0"/>
        <w:adjustRightInd/>
        <w:snapToGrid/>
        <w:spacing w:line="440" w:lineRule="exact"/>
        <w:ind w:left="420" w:leftChars="200" w:firstLine="105" w:firstLineChars="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（8）经评审的投标人排序。</w:t>
      </w:r>
    </w:p>
    <w:p w14:paraId="4CD94294">
      <w:pPr>
        <w:pageBreakBefore w:val="0"/>
        <w:kinsoku/>
        <w:wordWrap/>
        <w:overflowPunct/>
        <w:topLinePunct w:val="0"/>
        <w:autoSpaceDE/>
        <w:autoSpaceDN/>
        <w:bidi w:val="0"/>
        <w:adjustRightInd/>
        <w:snapToGrid/>
        <w:spacing w:line="440" w:lineRule="exact"/>
        <w:ind w:left="420" w:leftChars="200" w:firstLine="105" w:firstLineChars="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（9）推荐的中标候选人名单与签订合同前要处理的事宜。</w:t>
      </w:r>
    </w:p>
    <w:p w14:paraId="5F18C234">
      <w:pPr>
        <w:pageBreakBefore w:val="0"/>
        <w:kinsoku/>
        <w:wordWrap/>
        <w:overflowPunct/>
        <w:topLinePunct w:val="0"/>
        <w:autoSpaceDE/>
        <w:autoSpaceDN/>
        <w:bidi w:val="0"/>
        <w:adjustRightInd/>
        <w:snapToGrid/>
        <w:spacing w:line="440" w:lineRule="exact"/>
        <w:ind w:left="420" w:leftChars="200" w:firstLine="105" w:firstLineChars="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（10）澄清、说明、补正事项纪要。</w:t>
      </w:r>
    </w:p>
    <w:p w14:paraId="1928E366">
      <w:pPr>
        <w:pageBreakBefore w:val="0"/>
        <w:kinsoku/>
        <w:wordWrap/>
        <w:overflowPunct/>
        <w:topLinePunct w:val="0"/>
        <w:autoSpaceDE/>
        <w:autoSpaceDN/>
        <w:bidi w:val="0"/>
        <w:adjustRightInd/>
        <w:snapToGrid/>
        <w:spacing w:line="440" w:lineRule="exact"/>
        <w:ind w:firstLine="422"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8.3</w:t>
      </w:r>
      <w:r>
        <w:rPr>
          <w:rFonts w:hint="eastAsia" w:ascii="宋体" w:hAnsi="宋体" w:eastAsia="宋体" w:cs="宋体"/>
          <w:b/>
          <w:bCs/>
          <w:color w:val="auto"/>
          <w:sz w:val="21"/>
          <w:szCs w:val="21"/>
          <w:highlight w:val="none"/>
        </w:rPr>
        <w:t>评标委员会推荐的中标候选人应当限定在</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cs="宋体"/>
          <w:b/>
          <w:bCs/>
          <w:color w:val="auto"/>
          <w:sz w:val="21"/>
          <w:szCs w:val="21"/>
          <w:highlight w:val="none"/>
          <w:u w:val="single"/>
          <w:lang w:val="en-US" w:eastAsia="zh-CN"/>
        </w:rPr>
        <w:t>3</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rPr>
        <w:t>名。</w:t>
      </w:r>
    </w:p>
    <w:p w14:paraId="4847ED0C">
      <w:pPr>
        <w:spacing w:line="440" w:lineRule="exact"/>
        <w:ind w:firstLine="422" w:firstLineChars="200"/>
        <w:rPr>
          <w:rFonts w:hint="eastAsia" w:ascii="宋体" w:hAnsi="宋体" w:cs="宋体"/>
          <w:color w:val="auto"/>
          <w:szCs w:val="21"/>
          <w:highlight w:val="none"/>
        </w:rPr>
      </w:pPr>
      <w:r>
        <w:rPr>
          <w:rFonts w:hint="eastAsia" w:ascii="宋体" w:hAnsi="宋体" w:eastAsia="宋体" w:cs="宋体"/>
          <w:b/>
          <w:color w:val="auto"/>
          <w:sz w:val="21"/>
          <w:szCs w:val="21"/>
          <w:highlight w:val="none"/>
        </w:rPr>
        <w:t>8.4</w:t>
      </w:r>
      <w:r>
        <w:rPr>
          <w:rFonts w:hint="eastAsia" w:ascii="宋体" w:hAnsi="宋体" w:cs="宋体"/>
          <w:color w:val="auto"/>
          <w:szCs w:val="21"/>
          <w:highlight w:val="none"/>
        </w:rPr>
        <w:t>依法必须进行招标的项目，招标人应当确定招标人应当确定排名第一的中标候选人为中标人。第一中标候选人放弃中标、因不可抗力提出不能履行合同，或者招标文件规定应当提交履约保证金而在规定的期限内未能提交的，或者经查实其存在弄虚作假等其他违法违规行为骗取中标的，招标人将没收其投标保证金，可以确定排名第二的中标候选人为中标人，以此类推，也可以依法重新组织招标。</w:t>
      </w:r>
    </w:p>
    <w:p w14:paraId="40F18D2D">
      <w:pPr>
        <w:spacing w:line="440" w:lineRule="exact"/>
        <w:ind w:firstLine="420" w:firstLineChars="200"/>
        <w:rPr>
          <w:rFonts w:hint="eastAsia" w:ascii="宋体" w:cs="宋体"/>
          <w:color w:val="auto"/>
          <w:highlight w:val="none"/>
        </w:rPr>
      </w:pPr>
      <w:r>
        <w:rPr>
          <w:rFonts w:hint="eastAsia" w:ascii="宋体" w:hAnsi="宋体" w:cs="宋体"/>
          <w:color w:val="auto"/>
          <w:szCs w:val="21"/>
          <w:highlight w:val="none"/>
        </w:rPr>
        <w:t>依法必须进行招标的项目，除第一中标候选人或者中标人以外的其他投标人存在串通投标、弄虚作假、行贿情形且在评标过程中未被发现的，视为对中标结果没有造成实质性影响，招标人可以依法继续开展招标活动。</w:t>
      </w:r>
    </w:p>
    <w:p w14:paraId="4760D989">
      <w:pPr>
        <w:pStyle w:val="7"/>
        <w:pageBreakBefore w:val="0"/>
        <w:kinsoku/>
        <w:wordWrap/>
        <w:overflowPunct/>
        <w:topLinePunct w:val="0"/>
        <w:autoSpaceDE/>
        <w:autoSpaceDN/>
        <w:bidi w:val="0"/>
        <w:adjustRightInd/>
        <w:snapToGrid/>
        <w:spacing w:before="0" w:beforeLines="0" w:after="0" w:afterLines="0" w:line="440" w:lineRule="exact"/>
        <w:ind w:firstLine="422" w:firstLineChars="200"/>
        <w:jc w:val="left"/>
        <w:textAlignment w:val="auto"/>
        <w:rPr>
          <w:rFonts w:hint="eastAsia" w:ascii="宋体" w:hAnsi="宋体" w:eastAsia="宋体" w:cs="宋体"/>
          <w:color w:val="auto"/>
          <w:sz w:val="21"/>
          <w:szCs w:val="21"/>
          <w:highlight w:val="none"/>
        </w:rPr>
      </w:pPr>
      <w:bookmarkStart w:id="797" w:name="_Toc8899"/>
      <w:bookmarkStart w:id="798" w:name="_Toc15578"/>
      <w:bookmarkStart w:id="799" w:name="_Toc23648672"/>
      <w:r>
        <w:rPr>
          <w:rFonts w:hint="eastAsia" w:ascii="宋体" w:hAnsi="宋体" w:eastAsia="宋体" w:cs="宋体"/>
          <w:color w:val="auto"/>
          <w:sz w:val="21"/>
          <w:szCs w:val="21"/>
          <w:highlight w:val="none"/>
        </w:rPr>
        <w:t>9.其他</w:t>
      </w:r>
      <w:bookmarkEnd w:id="797"/>
      <w:bookmarkEnd w:id="798"/>
      <w:bookmarkEnd w:id="799"/>
    </w:p>
    <w:p w14:paraId="34A3525F">
      <w:pPr>
        <w:pageBreakBefore w:val="0"/>
        <w:kinsoku/>
        <w:wordWrap/>
        <w:overflowPunct/>
        <w:topLinePunct w:val="0"/>
        <w:autoSpaceDE/>
        <w:autoSpaceDN/>
        <w:bidi w:val="0"/>
        <w:adjustRightInd/>
        <w:snapToGrid/>
        <w:spacing w:line="440" w:lineRule="exact"/>
        <w:ind w:firstLine="525" w:firstLineChars="2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投标人提供的与投标文件有关的各类证书、证明、文件、资料等的真实性、合法性由投标人负全责。如存在弄虚作假，按相关规定予以处理。</w:t>
      </w:r>
    </w:p>
    <w:p w14:paraId="1862FD8D">
      <w:pPr>
        <w:pStyle w:val="2"/>
        <w:rPr>
          <w:rFonts w:hint="eastAsia" w:ascii="宋体" w:hAnsi="宋体" w:eastAsia="宋体" w:cs="宋体"/>
          <w:color w:val="auto"/>
          <w:sz w:val="21"/>
          <w:szCs w:val="21"/>
          <w:highlight w:val="none"/>
        </w:rPr>
      </w:pPr>
    </w:p>
    <w:p w14:paraId="4660373E">
      <w:pPr>
        <w:rPr>
          <w:rFonts w:hint="eastAsia" w:ascii="宋体" w:hAnsi="宋体" w:eastAsia="宋体" w:cs="宋体"/>
          <w:color w:val="auto"/>
          <w:sz w:val="21"/>
          <w:szCs w:val="21"/>
          <w:highlight w:val="none"/>
        </w:rPr>
      </w:pPr>
    </w:p>
    <w:p w14:paraId="17E4E497">
      <w:pPr>
        <w:rPr>
          <w:rFonts w:hint="eastAsia"/>
          <w:color w:val="auto"/>
          <w:highlight w:val="none"/>
        </w:rPr>
      </w:pPr>
      <w:r>
        <w:rPr>
          <w:rFonts w:hint="eastAsia" w:ascii="宋体" w:hAnsi="宋体" w:cs="宋体"/>
          <w:color w:val="auto"/>
          <w:highlight w:val="none"/>
        </w:rPr>
        <w:br w:type="page"/>
      </w:r>
    </w:p>
    <w:bookmarkEnd w:id="762"/>
    <w:bookmarkEnd w:id="763"/>
    <w:bookmarkEnd w:id="764"/>
    <w:bookmarkEnd w:id="765"/>
    <w:bookmarkEnd w:id="766"/>
    <w:p w14:paraId="380E397D">
      <w:pPr>
        <w:pStyle w:val="6"/>
        <w:rPr>
          <w:rFonts w:hint="eastAsia" w:ascii="Arial" w:hAnsi="Arial"/>
          <w:color w:val="auto"/>
          <w:kern w:val="0"/>
          <w:sz w:val="32"/>
          <w:szCs w:val="32"/>
          <w:highlight w:val="none"/>
        </w:rPr>
      </w:pPr>
      <w:bookmarkStart w:id="800" w:name="_Toc16721"/>
    </w:p>
    <w:p w14:paraId="1DC9864D">
      <w:pPr>
        <w:pStyle w:val="6"/>
        <w:rPr>
          <w:color w:val="auto"/>
          <w:highlight w:val="none"/>
        </w:rPr>
      </w:pPr>
      <w:bookmarkStart w:id="801" w:name="_Toc8750"/>
      <w:bookmarkStart w:id="802" w:name="_Toc7231"/>
      <w:bookmarkStart w:id="803" w:name="_Toc27074"/>
      <w:r>
        <w:rPr>
          <w:rFonts w:hint="eastAsia" w:ascii="Arial" w:hAnsi="Arial"/>
          <w:color w:val="auto"/>
          <w:kern w:val="0"/>
          <w:sz w:val="32"/>
          <w:szCs w:val="32"/>
          <w:highlight w:val="none"/>
        </w:rPr>
        <w:t>第</w:t>
      </w:r>
      <w:r>
        <w:rPr>
          <w:rFonts w:hint="eastAsia" w:ascii="Arial" w:hAnsi="Arial"/>
          <w:color w:val="auto"/>
          <w:kern w:val="0"/>
          <w:sz w:val="32"/>
          <w:szCs w:val="32"/>
          <w:highlight w:val="none"/>
          <w:lang w:val="en-US" w:eastAsia="zh-CN"/>
        </w:rPr>
        <w:t>四</w:t>
      </w:r>
      <w:r>
        <w:rPr>
          <w:rFonts w:hint="eastAsia" w:ascii="Arial" w:hAnsi="Arial"/>
          <w:color w:val="auto"/>
          <w:kern w:val="0"/>
          <w:sz w:val="32"/>
          <w:szCs w:val="32"/>
          <w:highlight w:val="none"/>
        </w:rPr>
        <w:t>章  合同条款及格式</w:t>
      </w:r>
      <w:bookmarkEnd w:id="800"/>
      <w:bookmarkEnd w:id="801"/>
      <w:bookmarkEnd w:id="802"/>
      <w:bookmarkEnd w:id="803"/>
    </w:p>
    <w:p w14:paraId="77106656">
      <w:pPr>
        <w:spacing w:line="360" w:lineRule="auto"/>
        <w:jc w:val="center"/>
        <w:rPr>
          <w:rFonts w:ascii="仿宋_GB2312" w:eastAsia="仿宋_GB2312"/>
          <w:b/>
          <w:color w:val="auto"/>
          <w:sz w:val="28"/>
          <w:szCs w:val="28"/>
          <w:highlight w:val="none"/>
        </w:rPr>
      </w:pPr>
    </w:p>
    <w:bookmarkEnd w:id="767"/>
    <w:bookmarkEnd w:id="768"/>
    <w:bookmarkEnd w:id="769"/>
    <w:bookmarkEnd w:id="770"/>
    <w:p w14:paraId="3DAC3276">
      <w:pPr>
        <w:adjustRightInd w:val="0"/>
        <w:snapToGrid w:val="0"/>
        <w:spacing w:line="560" w:lineRule="exact"/>
        <w:jc w:val="center"/>
        <w:rPr>
          <w:rFonts w:hint="eastAsia" w:eastAsia="仿宋_GB2312"/>
          <w:bCs/>
          <w:color w:val="auto"/>
          <w:sz w:val="32"/>
          <w:szCs w:val="32"/>
          <w:highlight w:val="none"/>
        </w:rPr>
      </w:pPr>
      <w:bookmarkStart w:id="804" w:name="_Toc4767"/>
      <w:bookmarkStart w:id="805" w:name="_Toc95223515"/>
      <w:bookmarkStart w:id="806" w:name="_Toc23990"/>
      <w:bookmarkStart w:id="807" w:name="_Toc78803398"/>
      <w:bookmarkStart w:id="808" w:name="_Toc179632806"/>
      <w:bookmarkStart w:id="809" w:name="_Toc152045786"/>
      <w:bookmarkStart w:id="810" w:name="_Toc35424970"/>
      <w:bookmarkStart w:id="811" w:name="_Toc144974855"/>
      <w:bookmarkStart w:id="812" w:name="_Toc152042575"/>
      <w:bookmarkStart w:id="813" w:name="_Toc35425136"/>
      <w:bookmarkStart w:id="814" w:name="_Toc15058934"/>
      <w:bookmarkStart w:id="815" w:name="_Toc324404888"/>
      <w:bookmarkStart w:id="816" w:name="_Toc246996354"/>
      <w:bookmarkStart w:id="817" w:name="_Toc506107340"/>
      <w:bookmarkStart w:id="818" w:name="_Toc246997097"/>
      <w:bookmarkStart w:id="819" w:name="_Toc247085872"/>
    </w:p>
    <w:p w14:paraId="13D98336">
      <w:pPr>
        <w:adjustRightInd w:val="0"/>
        <w:snapToGrid w:val="0"/>
        <w:spacing w:line="560" w:lineRule="exact"/>
        <w:jc w:val="center"/>
        <w:rPr>
          <w:rFonts w:hint="eastAsia" w:eastAsia="仿宋_GB2312"/>
          <w:bCs/>
          <w:color w:val="auto"/>
          <w:sz w:val="32"/>
          <w:szCs w:val="32"/>
          <w:highlight w:val="none"/>
        </w:rPr>
      </w:pPr>
    </w:p>
    <w:p w14:paraId="4C109EC3">
      <w:pPr>
        <w:adjustRightInd w:val="0"/>
        <w:snapToGrid w:val="0"/>
        <w:spacing w:line="560" w:lineRule="exact"/>
        <w:jc w:val="center"/>
        <w:rPr>
          <w:rFonts w:hint="eastAsia" w:eastAsia="仿宋_GB2312"/>
          <w:bCs/>
          <w:color w:val="auto"/>
          <w:sz w:val="32"/>
          <w:szCs w:val="32"/>
          <w:highlight w:val="none"/>
        </w:rPr>
      </w:pPr>
    </w:p>
    <w:p w14:paraId="7780C233">
      <w:pPr>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GF-2020-0216</w:t>
      </w:r>
    </w:p>
    <w:p w14:paraId="130D54E6">
      <w:pPr>
        <w:rPr>
          <w:color w:val="auto"/>
          <w:highlight w:val="none"/>
        </w:rPr>
      </w:pPr>
    </w:p>
    <w:p w14:paraId="6E977A41">
      <w:pPr>
        <w:rPr>
          <w:color w:val="auto"/>
          <w:highlight w:val="none"/>
        </w:rPr>
      </w:pPr>
    </w:p>
    <w:p w14:paraId="65294563">
      <w:pPr>
        <w:rPr>
          <w:color w:val="auto"/>
          <w:highlight w:val="none"/>
        </w:rPr>
      </w:pPr>
    </w:p>
    <w:p w14:paraId="3D99A6FC">
      <w:pPr>
        <w:rPr>
          <w:color w:val="auto"/>
          <w:highlight w:val="none"/>
        </w:rPr>
      </w:pPr>
    </w:p>
    <w:p w14:paraId="3E7927F0">
      <w:pPr>
        <w:rPr>
          <w:color w:val="auto"/>
          <w:highlight w:val="none"/>
        </w:rPr>
      </w:pPr>
    </w:p>
    <w:p w14:paraId="3AE55E09">
      <w:pPr>
        <w:pStyle w:val="217"/>
        <w:rPr>
          <w:rFonts w:hint="eastAsia" w:ascii="方正小标宋简体" w:hAnsi="方正小标宋简体" w:eastAsia="方正小标宋简体" w:cs="方正小标宋简体"/>
          <w:color w:val="auto"/>
          <w:sz w:val="72"/>
          <w:szCs w:val="72"/>
          <w:highlight w:val="none"/>
        </w:rPr>
      </w:pPr>
      <w:r>
        <w:rPr>
          <w:rFonts w:hint="eastAsia" w:ascii="宋体" w:hAnsi="宋体" w:eastAsia="宋体" w:cs="宋体"/>
          <w:color w:val="auto"/>
          <w:sz w:val="72"/>
          <w:szCs w:val="72"/>
          <w:highlight w:val="none"/>
        </w:rPr>
        <w:t>建设项目工程总承包合同</w:t>
      </w:r>
    </w:p>
    <w:p w14:paraId="44E853F7">
      <w:pPr>
        <w:pStyle w:val="217"/>
        <w:rPr>
          <w:rFonts w:ascii="华文中宋" w:hAnsi="华文中宋" w:eastAsia="华文中宋"/>
          <w:color w:val="auto"/>
          <w:sz w:val="40"/>
          <w:szCs w:val="40"/>
          <w:highlight w:val="none"/>
        </w:rPr>
      </w:pPr>
    </w:p>
    <w:p w14:paraId="6D3840A6">
      <w:pPr>
        <w:pStyle w:val="217"/>
        <w:rPr>
          <w:rFonts w:ascii="华文中宋" w:hAnsi="华文中宋" w:eastAsia="华文中宋"/>
          <w:color w:val="auto"/>
          <w:sz w:val="40"/>
          <w:szCs w:val="40"/>
          <w:highlight w:val="none"/>
        </w:rPr>
      </w:pPr>
    </w:p>
    <w:p w14:paraId="5E0BE241">
      <w:pPr>
        <w:rPr>
          <w:color w:val="auto"/>
          <w:highlight w:val="none"/>
        </w:rPr>
      </w:pPr>
    </w:p>
    <w:p w14:paraId="657D9522">
      <w:pPr>
        <w:pStyle w:val="217"/>
        <w:rPr>
          <w:rFonts w:ascii="华文中宋" w:hAnsi="华文中宋" w:eastAsia="华文中宋"/>
          <w:color w:val="auto"/>
          <w:sz w:val="40"/>
          <w:szCs w:val="40"/>
          <w:highlight w:val="none"/>
        </w:rPr>
      </w:pPr>
    </w:p>
    <w:p w14:paraId="6974B392">
      <w:pPr>
        <w:rPr>
          <w:rFonts w:ascii="华文中宋" w:hAnsi="华文中宋" w:eastAsia="华文中宋"/>
          <w:color w:val="auto"/>
          <w:sz w:val="40"/>
          <w:szCs w:val="40"/>
          <w:highlight w:val="none"/>
        </w:rPr>
      </w:pPr>
    </w:p>
    <w:p w14:paraId="6BB0BDEA">
      <w:pPr>
        <w:pStyle w:val="217"/>
        <w:jc w:val="both"/>
        <w:rPr>
          <w:rFonts w:ascii="宋体" w:hAnsi="宋体" w:eastAsia="宋体"/>
          <w:color w:val="auto"/>
          <w:sz w:val="32"/>
          <w:szCs w:val="32"/>
          <w:highlight w:val="none"/>
        </w:rPr>
      </w:pPr>
    </w:p>
    <w:p w14:paraId="053600F0">
      <w:pPr>
        <w:ind w:right="2182" w:rightChars="1039"/>
        <w:jc w:val="distribute"/>
        <w:rPr>
          <w:b/>
          <w:bCs/>
          <w:color w:val="auto"/>
          <w:sz w:val="32"/>
          <w:szCs w:val="32"/>
          <w:highlight w:val="none"/>
        </w:rPr>
      </w:pPr>
      <w:r>
        <w:rPr>
          <w:rFonts w:hint="eastAsia"/>
          <w:b/>
          <w:color w:val="auto"/>
          <w:sz w:val="32"/>
          <w:szCs w:val="28"/>
          <w:highlight w:val="none"/>
        </w:rPr>
        <w:t xml:space="preserve">     </w:t>
      </w:r>
      <w:r>
        <w:rPr>
          <w:b/>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3954780</wp:posOffset>
                </wp:positionH>
                <wp:positionV relativeFrom="paragraph">
                  <wp:posOffset>150495</wp:posOffset>
                </wp:positionV>
                <wp:extent cx="754380" cy="1772285"/>
                <wp:effectExtent l="0" t="0" r="7620" b="18415"/>
                <wp:wrapNone/>
                <wp:docPr id="2" name="文本框 2"/>
                <wp:cNvGraphicFramePr/>
                <a:graphic xmlns:a="http://schemas.openxmlformats.org/drawingml/2006/main">
                  <a:graphicData uri="http://schemas.microsoft.com/office/word/2010/wordprocessingShape">
                    <wps:wsp>
                      <wps:cNvSpPr txBox="1"/>
                      <wps:spPr>
                        <a:xfrm>
                          <a:off x="0" y="0"/>
                          <a:ext cx="754380" cy="1772285"/>
                        </a:xfrm>
                        <a:prstGeom prst="rect">
                          <a:avLst/>
                        </a:prstGeom>
                        <a:solidFill>
                          <a:srgbClr val="FFFFFF"/>
                        </a:solidFill>
                        <a:ln>
                          <a:noFill/>
                        </a:ln>
                      </wps:spPr>
                      <wps:txbx>
                        <w:txbxContent>
                          <w:p w14:paraId="3E0EEA94">
                            <w:pPr>
                              <w:jc w:val="center"/>
                              <w:rPr>
                                <w:b/>
                                <w:bCs/>
                                <w:sz w:val="32"/>
                                <w:szCs w:val="32"/>
                              </w:rPr>
                            </w:pPr>
                            <w:r>
                              <w:rPr>
                                <w:rFonts w:hint="eastAsia"/>
                                <w:b/>
                                <w:bCs/>
                                <w:sz w:val="32"/>
                                <w:szCs w:val="32"/>
                              </w:rPr>
                              <w:t>制定</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311.4pt;margin-top:11.85pt;height:139.55pt;width:59.4pt;z-index:251659264;mso-width-relative:page;mso-height-relative:margin;mso-height-percent:200;" fillcolor="#FFFFFF" filled="t" stroked="f" coordsize="21600,21600" o:gfxdata="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ORMN4DYAAAACgEAAA8AAAAAAAAAAQAgAAAAIgAAAGRy&#10;cy9kb3ducmV2LnhtbFBLAQIUABQAAAAIAIdO4kAGTULjzAEAAJEDAAAOAAAAAAAAAAEAIAAAACcB&#10;AABkcnMvZTJvRG9jLnhtbFBLBQYAAAAABgAGAFkBAABlBQAAAAA=&#10;">
                <v:fill on="t" focussize="0,0"/>
                <v:stroke on="f"/>
                <v:imagedata o:title=""/>
                <o:lock v:ext="edit" aspectratio="f"/>
                <v:textbox style="mso-fit-shape-to-text:t;">
                  <w:txbxContent>
                    <w:p w14:paraId="3E0EEA94">
                      <w:pPr>
                        <w:jc w:val="center"/>
                        <w:rPr>
                          <w:b/>
                          <w:bCs/>
                          <w:sz w:val="32"/>
                          <w:szCs w:val="32"/>
                        </w:rPr>
                      </w:pPr>
                      <w:r>
                        <w:rPr>
                          <w:rFonts w:hint="eastAsia"/>
                          <w:b/>
                          <w:bCs/>
                          <w:sz w:val="32"/>
                          <w:szCs w:val="32"/>
                        </w:rPr>
                        <w:t>制定</w:t>
                      </w:r>
                    </w:p>
                  </w:txbxContent>
                </v:textbox>
              </v:shape>
            </w:pict>
          </mc:Fallback>
        </mc:AlternateContent>
      </w:r>
      <w:r>
        <w:rPr>
          <w:rFonts w:hint="eastAsia"/>
          <w:b/>
          <w:bCs/>
          <w:color w:val="auto"/>
          <w:sz w:val="32"/>
          <w:szCs w:val="32"/>
          <w:highlight w:val="none"/>
        </w:rPr>
        <w:t>中华人民共和国</w:t>
      </w:r>
      <w:r>
        <w:rPr>
          <w:b/>
          <w:bCs/>
          <w:color w:val="auto"/>
          <w:sz w:val="32"/>
          <w:szCs w:val="32"/>
          <w:highlight w:val="none"/>
        </w:rPr>
        <w:t>住房</w:t>
      </w:r>
      <w:r>
        <w:rPr>
          <w:rFonts w:hint="eastAsia"/>
          <w:b/>
          <w:bCs/>
          <w:color w:val="auto"/>
          <w:sz w:val="32"/>
          <w:szCs w:val="32"/>
          <w:highlight w:val="none"/>
        </w:rPr>
        <w:t>和</w:t>
      </w:r>
      <w:r>
        <w:rPr>
          <w:b/>
          <w:bCs/>
          <w:color w:val="auto"/>
          <w:sz w:val="32"/>
          <w:szCs w:val="32"/>
          <w:highlight w:val="none"/>
        </w:rPr>
        <w:t>城乡建设部</w:t>
      </w:r>
    </w:p>
    <w:p w14:paraId="185C5BAB">
      <w:pPr>
        <w:ind w:right="2182" w:rightChars="1039"/>
        <w:jc w:val="distribute"/>
        <w:rPr>
          <w:b/>
          <w:bCs/>
          <w:color w:val="auto"/>
          <w:sz w:val="32"/>
          <w:szCs w:val="32"/>
          <w:highlight w:val="none"/>
        </w:rPr>
      </w:pPr>
      <w:r>
        <w:rPr>
          <w:rFonts w:hint="eastAsia"/>
          <w:b/>
          <w:color w:val="auto"/>
          <w:sz w:val="32"/>
          <w:szCs w:val="28"/>
          <w:highlight w:val="none"/>
        </w:rPr>
        <w:t xml:space="preserve">     国家</w:t>
      </w:r>
      <w:r>
        <w:rPr>
          <w:rFonts w:hint="eastAsia"/>
          <w:b/>
          <w:bCs/>
          <w:color w:val="auto"/>
          <w:sz w:val="32"/>
          <w:szCs w:val="32"/>
          <w:highlight w:val="none"/>
        </w:rPr>
        <w:t>市场监</w:t>
      </w:r>
      <w:r>
        <w:rPr>
          <w:rFonts w:hint="eastAsia"/>
          <w:b/>
          <w:color w:val="auto"/>
          <w:sz w:val="32"/>
          <w:szCs w:val="28"/>
          <w:highlight w:val="none"/>
        </w:rPr>
        <w:t>督</w:t>
      </w:r>
      <w:r>
        <w:rPr>
          <w:rFonts w:hint="eastAsia"/>
          <w:b/>
          <w:bCs/>
          <w:color w:val="auto"/>
          <w:sz w:val="32"/>
          <w:szCs w:val="32"/>
          <w:highlight w:val="none"/>
        </w:rPr>
        <w:t>管理</w:t>
      </w:r>
      <w:r>
        <w:rPr>
          <w:b/>
          <w:bCs/>
          <w:color w:val="auto"/>
          <w:sz w:val="32"/>
          <w:szCs w:val="32"/>
          <w:highlight w:val="none"/>
        </w:rPr>
        <w:t>总局</w:t>
      </w:r>
    </w:p>
    <w:p w14:paraId="38336B14">
      <w:pPr>
        <w:ind w:right="2182" w:rightChars="1039"/>
        <w:jc w:val="distribute"/>
        <w:rPr>
          <w:rFonts w:ascii="仿宋_GB2312" w:eastAsia="仿宋_GB2312"/>
          <w:color w:val="auto"/>
          <w:sz w:val="30"/>
          <w:szCs w:val="30"/>
          <w:highlight w:val="none"/>
        </w:rPr>
      </w:pPr>
    </w:p>
    <w:p w14:paraId="754A9582">
      <w:pPr>
        <w:ind w:right="2182" w:rightChars="1039"/>
        <w:jc w:val="distribute"/>
        <w:rPr>
          <w:rFonts w:ascii="仿宋_GB2312" w:eastAsia="仿宋_GB2312"/>
          <w:color w:val="auto"/>
          <w:sz w:val="30"/>
          <w:szCs w:val="30"/>
          <w:highlight w:val="none"/>
        </w:rPr>
      </w:pPr>
    </w:p>
    <w:p w14:paraId="70AEB6D0">
      <w:pPr>
        <w:ind w:right="2182" w:rightChars="1039"/>
        <w:jc w:val="distribute"/>
        <w:rPr>
          <w:rFonts w:ascii="仿宋_GB2312" w:eastAsia="仿宋_GB2312"/>
          <w:color w:val="auto"/>
          <w:sz w:val="30"/>
          <w:szCs w:val="30"/>
          <w:highlight w:val="none"/>
        </w:rPr>
        <w:sectPr>
          <w:footerReference r:id="rId8" w:type="first"/>
          <w:headerReference r:id="rId6" w:type="default"/>
          <w:footerReference r:id="rId7" w:type="default"/>
          <w:pgSz w:w="11906" w:h="16838"/>
          <w:pgMar w:top="1440" w:right="1800" w:bottom="1440" w:left="1800" w:header="720" w:footer="998" w:gutter="0"/>
          <w:pgNumType w:start="1"/>
          <w:cols w:space="720" w:num="1"/>
          <w:titlePg/>
          <w:docGrid w:linePitch="326" w:charSpace="0"/>
        </w:sectPr>
      </w:pPr>
    </w:p>
    <w:p w14:paraId="1CA1DB15">
      <w:pPr>
        <w:pStyle w:val="218"/>
        <w:keepNext w:val="0"/>
        <w:keepLines w:val="0"/>
        <w:widowControl/>
        <w:adjustRightInd w:val="0"/>
        <w:snapToGrid w:val="0"/>
        <w:spacing w:before="120" w:beforeLines="50" w:after="120" w:afterLines="50" w:line="440" w:lineRule="exact"/>
        <w:jc w:val="center"/>
        <w:rPr>
          <w:rFonts w:hint="eastAsia" w:cs="宋体"/>
          <w:color w:val="auto"/>
          <w:sz w:val="32"/>
          <w:szCs w:val="32"/>
          <w:highlight w:val="none"/>
        </w:rPr>
      </w:pPr>
      <w:bookmarkStart w:id="820" w:name="_Toc31950"/>
      <w:bookmarkStart w:id="821" w:name="_Toc9533"/>
      <w:bookmarkStart w:id="822" w:name="_Toc1310"/>
      <w:bookmarkStart w:id="823" w:name="_Toc54862164"/>
      <w:bookmarkStart w:id="824" w:name="_Toc23388"/>
      <w:bookmarkStart w:id="825" w:name="_Toc5580"/>
      <w:r>
        <w:rPr>
          <w:rFonts w:hint="eastAsia" w:cs="宋体"/>
          <w:color w:val="auto"/>
          <w:sz w:val="32"/>
          <w:szCs w:val="32"/>
          <w:highlight w:val="none"/>
        </w:rPr>
        <w:t>第一部分 合同协议书</w:t>
      </w:r>
      <w:bookmarkEnd w:id="820"/>
      <w:bookmarkEnd w:id="821"/>
      <w:bookmarkEnd w:id="822"/>
      <w:bookmarkEnd w:id="823"/>
      <w:bookmarkEnd w:id="824"/>
      <w:bookmarkEnd w:id="825"/>
    </w:p>
    <w:p w14:paraId="55D33263">
      <w:pPr>
        <w:widowControl/>
        <w:adjustRightInd w:val="0"/>
        <w:snapToGrid w:val="0"/>
        <w:spacing w:line="440" w:lineRule="exact"/>
        <w:ind w:firstLine="600"/>
        <w:rPr>
          <w:rFonts w:hint="eastAsia" w:ascii="宋体" w:hAnsi="宋体" w:cs="宋体"/>
          <w:color w:val="auto"/>
          <w:szCs w:val="21"/>
          <w:highlight w:val="none"/>
          <w:u w:val="single"/>
        </w:rPr>
      </w:pPr>
      <w:r>
        <w:rPr>
          <w:rFonts w:hint="eastAsia" w:ascii="宋体" w:hAnsi="宋体" w:cs="宋体"/>
          <w:color w:val="auto"/>
          <w:szCs w:val="21"/>
          <w:highlight w:val="none"/>
        </w:rPr>
        <w:t>发包人（全称）：</w:t>
      </w:r>
      <w:r>
        <w:rPr>
          <w:rFonts w:hint="eastAsia" w:ascii="宋体" w:hAnsi="宋体" w:cs="宋体"/>
          <w:color w:val="auto"/>
          <w:szCs w:val="21"/>
          <w:highlight w:val="none"/>
          <w:u w:val="single"/>
        </w:rPr>
        <w:t xml:space="preserve">                                    </w:t>
      </w:r>
    </w:p>
    <w:p w14:paraId="37CB304C">
      <w:pPr>
        <w:widowControl/>
        <w:adjustRightInd w:val="0"/>
        <w:snapToGrid w:val="0"/>
        <w:spacing w:line="440" w:lineRule="exact"/>
        <w:ind w:firstLine="600"/>
        <w:rPr>
          <w:rFonts w:hint="eastAsia" w:ascii="宋体" w:hAnsi="宋体" w:cs="宋体"/>
          <w:color w:val="auto"/>
          <w:szCs w:val="21"/>
          <w:highlight w:val="none"/>
        </w:rPr>
      </w:pPr>
      <w:r>
        <w:rPr>
          <w:rFonts w:hint="eastAsia" w:ascii="宋体" w:hAnsi="宋体" w:cs="宋体"/>
          <w:color w:val="auto"/>
          <w:szCs w:val="21"/>
          <w:highlight w:val="none"/>
        </w:rPr>
        <w:t>承包人（全称）：</w:t>
      </w:r>
      <w:r>
        <w:rPr>
          <w:rFonts w:hint="eastAsia" w:ascii="宋体" w:hAnsi="宋体" w:cs="宋体"/>
          <w:color w:val="auto"/>
          <w:szCs w:val="21"/>
          <w:highlight w:val="none"/>
          <w:u w:val="single"/>
        </w:rPr>
        <w:t xml:space="preserve">                                    </w:t>
      </w:r>
    </w:p>
    <w:p w14:paraId="55B9EE46">
      <w:pPr>
        <w:widowControl/>
        <w:adjustRightInd w:val="0"/>
        <w:snapToGrid w:val="0"/>
        <w:spacing w:line="440" w:lineRule="exact"/>
        <w:ind w:firstLine="600"/>
        <w:rPr>
          <w:rFonts w:hint="eastAsia" w:ascii="宋体" w:hAnsi="宋体" w:cs="宋体"/>
          <w:color w:val="auto"/>
          <w:szCs w:val="21"/>
          <w:highlight w:val="none"/>
        </w:rPr>
      </w:pPr>
      <w:r>
        <w:rPr>
          <w:rFonts w:hint="eastAsia" w:ascii="宋体" w:hAnsi="宋体" w:cs="宋体"/>
          <w:color w:val="auto"/>
          <w:szCs w:val="21"/>
          <w:highlight w:val="none"/>
        </w:rPr>
        <w:t>根据《中华人民共和国民法典》、《中华人民共和国建筑法》及有关法律规定，遵循平等、自愿、公平和诚实信用的原则，双方就</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cs="宋体"/>
          <w:color w:val="auto"/>
          <w:szCs w:val="21"/>
          <w:highlight w:val="none"/>
          <w:u w:val="single"/>
          <w:lang w:val="en-US" w:eastAsia="zh-CN"/>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项目的工程总承包及有关事项协商一致，共同达成如下协议：</w:t>
      </w:r>
    </w:p>
    <w:p w14:paraId="364FA307">
      <w:pPr>
        <w:pStyle w:val="219"/>
        <w:widowControl/>
        <w:numPr>
          <w:ilvl w:val="0"/>
          <w:numId w:val="0"/>
        </w:numPr>
        <w:adjustRightInd w:val="0"/>
        <w:snapToGrid w:val="0"/>
        <w:spacing w:before="72" w:beforeLines="30" w:after="72" w:afterLines="30" w:line="440" w:lineRule="exact"/>
        <w:rPr>
          <w:rFonts w:hint="eastAsia" w:cs="宋体"/>
          <w:bCs w:val="0"/>
          <w:color w:val="auto"/>
          <w:sz w:val="21"/>
          <w:szCs w:val="21"/>
          <w:highlight w:val="none"/>
        </w:rPr>
      </w:pPr>
      <w:r>
        <w:rPr>
          <w:rFonts w:hint="eastAsia" w:cs="宋体"/>
          <w:bCs w:val="0"/>
          <w:color w:val="auto"/>
          <w:sz w:val="21"/>
          <w:szCs w:val="21"/>
          <w:highlight w:val="none"/>
        </w:rPr>
        <w:t>一、工程概况</w:t>
      </w:r>
    </w:p>
    <w:p w14:paraId="1491F7A5">
      <w:pPr>
        <w:widowControl/>
        <w:adjustRightInd w:val="0"/>
        <w:snapToGrid w:val="0"/>
        <w:spacing w:line="440" w:lineRule="exact"/>
        <w:ind w:firstLine="600"/>
        <w:rPr>
          <w:rFonts w:hint="eastAsia" w:ascii="宋体" w:hAnsi="宋体" w:cs="宋体"/>
          <w:color w:val="auto"/>
          <w:szCs w:val="21"/>
          <w:highlight w:val="none"/>
        </w:rPr>
      </w:pPr>
      <w:r>
        <w:rPr>
          <w:rFonts w:hint="eastAsia" w:ascii="宋体" w:hAnsi="宋体" w:cs="宋体"/>
          <w:color w:val="auto"/>
          <w:szCs w:val="21"/>
          <w:highlight w:val="none"/>
        </w:rPr>
        <w:t>1. 工程名称：</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307CBE35">
      <w:pPr>
        <w:widowControl/>
        <w:adjustRightInd w:val="0"/>
        <w:snapToGrid w:val="0"/>
        <w:spacing w:line="440" w:lineRule="exact"/>
        <w:ind w:firstLine="600"/>
        <w:rPr>
          <w:rFonts w:hint="eastAsia" w:ascii="宋体" w:hAnsi="宋体" w:cs="宋体"/>
          <w:color w:val="auto"/>
          <w:szCs w:val="21"/>
          <w:highlight w:val="none"/>
        </w:rPr>
      </w:pPr>
      <w:r>
        <w:rPr>
          <w:rFonts w:hint="eastAsia" w:ascii="宋体" w:hAnsi="宋体" w:cs="宋体"/>
          <w:color w:val="auto"/>
          <w:szCs w:val="21"/>
          <w:highlight w:val="none"/>
        </w:rPr>
        <w:t>2. 工程地点：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622A39AB">
      <w:pPr>
        <w:widowControl/>
        <w:adjustRightInd w:val="0"/>
        <w:snapToGrid w:val="0"/>
        <w:spacing w:line="440" w:lineRule="exact"/>
        <w:ind w:firstLine="600"/>
        <w:rPr>
          <w:rFonts w:hint="eastAsia" w:ascii="宋体" w:hAnsi="宋体" w:cs="宋体"/>
          <w:color w:val="auto"/>
          <w:szCs w:val="21"/>
          <w:highlight w:val="none"/>
        </w:rPr>
      </w:pPr>
      <w:r>
        <w:rPr>
          <w:rFonts w:hint="eastAsia" w:ascii="宋体" w:hAnsi="宋体" w:cs="宋体"/>
          <w:color w:val="auto"/>
          <w:szCs w:val="21"/>
          <w:highlight w:val="none"/>
        </w:rPr>
        <w:t>3. 工程审批、核准或备案文号：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52932DAC">
      <w:pPr>
        <w:widowControl/>
        <w:adjustRightInd w:val="0"/>
        <w:snapToGrid w:val="0"/>
        <w:spacing w:line="440" w:lineRule="exact"/>
        <w:ind w:firstLine="600"/>
        <w:rPr>
          <w:rFonts w:hint="eastAsia" w:ascii="宋体" w:hAnsi="宋体" w:cs="宋体"/>
          <w:color w:val="auto"/>
          <w:szCs w:val="21"/>
          <w:highlight w:val="none"/>
        </w:rPr>
      </w:pPr>
      <w:r>
        <w:rPr>
          <w:rFonts w:hint="eastAsia" w:ascii="宋体" w:hAnsi="宋体" w:cs="宋体"/>
          <w:color w:val="auto"/>
          <w:szCs w:val="21"/>
          <w:highlight w:val="none"/>
        </w:rPr>
        <w:t>4. 资金来源：</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75A06920">
      <w:pPr>
        <w:widowControl/>
        <w:adjustRightInd w:val="0"/>
        <w:snapToGrid w:val="0"/>
        <w:spacing w:line="440" w:lineRule="exact"/>
        <w:ind w:firstLine="600"/>
        <w:rPr>
          <w:rFonts w:hint="eastAsia" w:ascii="宋体" w:hAnsi="宋体" w:cs="宋体"/>
          <w:color w:val="auto"/>
          <w:szCs w:val="21"/>
          <w:highlight w:val="none"/>
        </w:rPr>
      </w:pPr>
      <w:r>
        <w:rPr>
          <w:rFonts w:hint="eastAsia" w:ascii="宋体" w:hAnsi="宋体" w:cs="宋体"/>
          <w:color w:val="auto"/>
          <w:szCs w:val="21"/>
          <w:highlight w:val="none"/>
        </w:rPr>
        <w:t>5. 工程内容及规模：</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15159581">
      <w:pPr>
        <w:widowControl/>
        <w:adjustRightInd w:val="0"/>
        <w:snapToGrid w:val="0"/>
        <w:spacing w:line="440" w:lineRule="exact"/>
        <w:ind w:firstLine="600"/>
        <w:rPr>
          <w:rFonts w:hint="eastAsia" w:ascii="宋体" w:hAnsi="宋体" w:cs="宋体"/>
          <w:color w:val="auto"/>
          <w:szCs w:val="21"/>
          <w:highlight w:val="none"/>
        </w:rPr>
      </w:pPr>
      <w:r>
        <w:rPr>
          <w:rFonts w:hint="eastAsia" w:ascii="宋体" w:hAnsi="宋体" w:cs="宋体"/>
          <w:color w:val="auto"/>
          <w:szCs w:val="21"/>
          <w:highlight w:val="none"/>
        </w:rPr>
        <w:t>6. 工程承包范围：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0C4EED91">
      <w:pPr>
        <w:pStyle w:val="219"/>
        <w:widowControl/>
        <w:numPr>
          <w:ilvl w:val="0"/>
          <w:numId w:val="0"/>
        </w:numPr>
        <w:adjustRightInd w:val="0"/>
        <w:snapToGrid w:val="0"/>
        <w:spacing w:before="72" w:beforeLines="30" w:after="72" w:afterLines="30" w:line="440" w:lineRule="exact"/>
        <w:rPr>
          <w:rFonts w:hint="eastAsia" w:cs="宋体"/>
          <w:bCs w:val="0"/>
          <w:color w:val="auto"/>
          <w:sz w:val="21"/>
          <w:szCs w:val="21"/>
          <w:highlight w:val="none"/>
        </w:rPr>
      </w:pPr>
      <w:r>
        <w:rPr>
          <w:rFonts w:hint="eastAsia" w:cs="宋体"/>
          <w:bCs w:val="0"/>
          <w:color w:val="auto"/>
          <w:sz w:val="21"/>
          <w:szCs w:val="21"/>
          <w:highlight w:val="none"/>
        </w:rPr>
        <w:t>二、合同工期</w:t>
      </w:r>
    </w:p>
    <w:p w14:paraId="3F4A0034">
      <w:pPr>
        <w:widowControl/>
        <w:adjustRightInd w:val="0"/>
        <w:snapToGrid w:val="0"/>
        <w:spacing w:line="440" w:lineRule="exact"/>
        <w:ind w:firstLine="600"/>
        <w:rPr>
          <w:rFonts w:hint="eastAsia" w:ascii="宋体" w:hAnsi="宋体" w:cs="宋体"/>
          <w:color w:val="auto"/>
          <w:szCs w:val="21"/>
          <w:highlight w:val="none"/>
        </w:rPr>
      </w:pPr>
      <w:r>
        <w:rPr>
          <w:rFonts w:hint="eastAsia" w:ascii="宋体" w:hAnsi="宋体" w:cs="宋体"/>
          <w:b/>
          <w:color w:val="auto"/>
          <w:sz w:val="21"/>
          <w:szCs w:val="21"/>
          <w:highlight w:val="none"/>
          <w:lang w:val="en-US" w:eastAsia="zh-CN"/>
        </w:rPr>
        <w:t>不高于</w:t>
      </w:r>
      <w:r>
        <w:rPr>
          <w:rFonts w:hint="eastAsia" w:ascii="宋体" w:hAnsi="宋体" w:cs="宋体"/>
          <w:b/>
          <w:color w:val="auto"/>
          <w:sz w:val="21"/>
          <w:szCs w:val="21"/>
          <w:highlight w:val="none"/>
          <w:u w:val="single"/>
          <w:lang w:val="en-US" w:eastAsia="zh-CN"/>
        </w:rPr>
        <w:t xml:space="preserve">    </w:t>
      </w:r>
      <w:r>
        <w:rPr>
          <w:rFonts w:hint="eastAsia" w:ascii="宋体" w:hAnsi="宋体" w:cs="宋体"/>
          <w:b/>
          <w:color w:val="auto"/>
          <w:sz w:val="21"/>
          <w:szCs w:val="21"/>
          <w:highlight w:val="none"/>
          <w:u w:val="none"/>
          <w:lang w:val="en-US" w:eastAsia="zh-CN"/>
        </w:rPr>
        <w:t>个</w:t>
      </w:r>
      <w:r>
        <w:rPr>
          <w:rFonts w:hint="eastAsia" w:ascii="宋体" w:hAnsi="宋体" w:cs="宋体"/>
          <w:b/>
          <w:color w:val="auto"/>
          <w:sz w:val="21"/>
          <w:szCs w:val="21"/>
          <w:highlight w:val="none"/>
          <w:lang w:val="en-US" w:eastAsia="zh-CN"/>
        </w:rPr>
        <w:t>日历天（以中标公示期结束后的第一天起计算工期）。</w:t>
      </w:r>
      <w:r>
        <w:rPr>
          <w:rFonts w:hint="eastAsia" w:ascii="宋体" w:hAnsi="宋体" w:cs="宋体"/>
          <w:color w:val="auto"/>
          <w:sz w:val="21"/>
          <w:szCs w:val="21"/>
          <w:highlight w:val="none"/>
        </w:rPr>
        <w:t xml:space="preserve"> </w:t>
      </w:r>
      <w:r>
        <w:rPr>
          <w:rFonts w:hint="eastAsia" w:ascii="宋体" w:hAnsi="宋体" w:cs="宋体"/>
          <w:color w:val="auto"/>
          <w:szCs w:val="21"/>
          <w:highlight w:val="none"/>
        </w:rPr>
        <w:t>每推迟一天，</w:t>
      </w:r>
      <w:r>
        <w:rPr>
          <w:rFonts w:hint="eastAsia" w:ascii="宋体" w:hAnsi="宋体" w:cs="宋体"/>
          <w:color w:val="FF0000"/>
          <w:szCs w:val="21"/>
          <w:highlight w:val="none"/>
        </w:rPr>
        <w:t>按1000</w:t>
      </w:r>
      <w:r>
        <w:rPr>
          <w:rFonts w:hint="eastAsia" w:ascii="宋体" w:hAnsi="宋体" w:cs="宋体"/>
          <w:color w:val="FF0000"/>
          <w:szCs w:val="21"/>
          <w:highlight w:val="none"/>
          <w:lang w:val="en-US" w:eastAsia="zh-CN"/>
        </w:rPr>
        <w:t>0</w:t>
      </w:r>
      <w:r>
        <w:rPr>
          <w:rFonts w:hint="eastAsia" w:ascii="宋体" w:hAnsi="宋体" w:cs="宋体"/>
          <w:color w:val="auto"/>
          <w:szCs w:val="21"/>
          <w:highlight w:val="none"/>
        </w:rPr>
        <w:t>元/天处以违约金。</w:t>
      </w:r>
    </w:p>
    <w:p w14:paraId="7B752BBA">
      <w:pPr>
        <w:widowControl/>
        <w:adjustRightInd w:val="0"/>
        <w:snapToGrid w:val="0"/>
        <w:spacing w:line="440" w:lineRule="exact"/>
        <w:ind w:firstLine="600"/>
        <w:rPr>
          <w:rFonts w:hint="eastAsia" w:ascii="宋体" w:hAnsi="宋体" w:cs="宋体"/>
          <w:color w:val="auto"/>
          <w:szCs w:val="21"/>
          <w:highlight w:val="none"/>
        </w:rPr>
      </w:pPr>
      <w:r>
        <w:rPr>
          <w:rFonts w:hint="eastAsia" w:ascii="宋体" w:hAnsi="宋体" w:cs="宋体"/>
          <w:color w:val="auto"/>
          <w:szCs w:val="21"/>
          <w:highlight w:val="none"/>
        </w:rPr>
        <w:t>计划开工日期：</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14:paraId="34B3CC71">
      <w:pPr>
        <w:widowControl/>
        <w:adjustRightInd w:val="0"/>
        <w:snapToGrid w:val="0"/>
        <w:spacing w:line="440" w:lineRule="exact"/>
        <w:ind w:firstLine="600"/>
        <w:rPr>
          <w:rFonts w:hint="eastAsia" w:ascii="宋体" w:hAnsi="宋体" w:cs="宋体"/>
          <w:color w:val="auto"/>
          <w:szCs w:val="21"/>
          <w:highlight w:val="none"/>
        </w:rPr>
      </w:pPr>
      <w:r>
        <w:rPr>
          <w:rFonts w:hint="eastAsia" w:ascii="宋体" w:hAnsi="宋体" w:cs="宋体"/>
          <w:color w:val="auto"/>
          <w:szCs w:val="21"/>
          <w:highlight w:val="none"/>
        </w:rPr>
        <w:t>计划竣工日期：</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14:paraId="14FD704E">
      <w:pPr>
        <w:pStyle w:val="219"/>
        <w:widowControl/>
        <w:numPr>
          <w:ilvl w:val="0"/>
          <w:numId w:val="0"/>
        </w:numPr>
        <w:adjustRightInd w:val="0"/>
        <w:snapToGrid w:val="0"/>
        <w:spacing w:before="72" w:beforeLines="30" w:after="72" w:afterLines="30" w:line="440" w:lineRule="exact"/>
        <w:rPr>
          <w:rFonts w:hint="eastAsia" w:cs="宋体"/>
          <w:bCs w:val="0"/>
          <w:color w:val="auto"/>
          <w:sz w:val="21"/>
          <w:szCs w:val="21"/>
          <w:highlight w:val="none"/>
        </w:rPr>
      </w:pPr>
      <w:r>
        <w:rPr>
          <w:rFonts w:hint="eastAsia" w:cs="宋体"/>
          <w:bCs w:val="0"/>
          <w:color w:val="auto"/>
          <w:sz w:val="21"/>
          <w:szCs w:val="21"/>
          <w:highlight w:val="none"/>
        </w:rPr>
        <w:t>三、质量标准</w:t>
      </w:r>
    </w:p>
    <w:p w14:paraId="6F65A460">
      <w:pPr>
        <w:widowControl/>
        <w:adjustRightInd w:val="0"/>
        <w:snapToGrid w:val="0"/>
        <w:spacing w:line="440" w:lineRule="exact"/>
        <w:ind w:firstLine="6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1、施工及设备材料：合格，质量符合GB/T 50796-2012《光伏发电工程验收规范》等相关国家、省、市相关法律、法规、规范要求，确保通过国网公司验收、并网。</w:t>
      </w:r>
    </w:p>
    <w:p w14:paraId="3A193783">
      <w:pPr>
        <w:widowControl/>
        <w:adjustRightInd w:val="0"/>
        <w:snapToGrid w:val="0"/>
        <w:spacing w:line="440" w:lineRule="exact"/>
        <w:ind w:firstLine="6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2、设计：合格。满足招标人需求，符合现行相应行业最新的设计规范，初步设计及概算、优化、施工图及预算通过业主和相关部门审查，施工图达到施工深度要求。</w:t>
      </w:r>
    </w:p>
    <w:p w14:paraId="134FD673">
      <w:pPr>
        <w:widowControl/>
        <w:adjustRightInd w:val="0"/>
        <w:snapToGrid w:val="0"/>
        <w:spacing w:line="440" w:lineRule="exact"/>
        <w:ind w:firstLine="6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3、质量保证期及缺陷责任期：严格按照本项目招标文件相关规定（招标文件未提到的，执行国家、省、市相关标准）。</w:t>
      </w:r>
    </w:p>
    <w:p w14:paraId="008DF153">
      <w:pPr>
        <w:widowControl/>
        <w:adjustRightInd w:val="0"/>
        <w:snapToGrid w:val="0"/>
        <w:spacing w:line="440" w:lineRule="exact"/>
        <w:ind w:firstLine="6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4、相关规范、标准以及《建设标准强制性条文》要求的相关强制性标准。</w:t>
      </w:r>
    </w:p>
    <w:p w14:paraId="1C2272C4">
      <w:pPr>
        <w:widowControl/>
        <w:adjustRightInd w:val="0"/>
        <w:snapToGrid w:val="0"/>
        <w:spacing w:line="440" w:lineRule="exact"/>
        <w:ind w:firstLine="6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5、运维质量要求：合格，符合招标人的日常考核，并达到每年度的保底发电量。</w:t>
      </w:r>
    </w:p>
    <w:p w14:paraId="0AEDAFE1">
      <w:pPr>
        <w:pStyle w:val="219"/>
        <w:widowControl/>
        <w:numPr>
          <w:ilvl w:val="0"/>
          <w:numId w:val="0"/>
        </w:numPr>
        <w:adjustRightInd w:val="0"/>
        <w:snapToGrid w:val="0"/>
        <w:spacing w:before="72" w:beforeLines="30" w:after="72" w:afterLines="30" w:line="440" w:lineRule="exact"/>
        <w:rPr>
          <w:rFonts w:hint="eastAsia" w:cs="宋体"/>
          <w:color w:val="auto"/>
          <w:sz w:val="21"/>
          <w:szCs w:val="21"/>
          <w:highlight w:val="none"/>
        </w:rPr>
      </w:pPr>
      <w:r>
        <w:rPr>
          <w:rFonts w:hint="eastAsia" w:cs="宋体"/>
          <w:color w:val="auto"/>
          <w:sz w:val="21"/>
          <w:szCs w:val="21"/>
          <w:highlight w:val="none"/>
        </w:rPr>
        <w:t>四、签约合同价与合同价格形式</w:t>
      </w:r>
    </w:p>
    <w:p w14:paraId="097D1D9A">
      <w:pPr>
        <w:overflowPunct w:val="0"/>
        <w:autoSpaceDE w:val="0"/>
        <w:autoSpaceDN w:val="0"/>
        <w:adjustRightInd w:val="0"/>
        <w:snapToGrid w:val="0"/>
        <w:spacing w:line="360" w:lineRule="auto"/>
        <w:ind w:firstLine="487" w:firstLineChars="232"/>
        <w:rPr>
          <w:rFonts w:hint="eastAsia" w:ascii="宋体" w:hAnsi="宋体" w:eastAsia="宋体" w:cs="宋体"/>
          <w:color w:val="auto"/>
          <w:spacing w:val="-68"/>
          <w:sz w:val="24"/>
          <w:szCs w:val="24"/>
          <w:highlight w:val="none"/>
          <w:u w:val="none"/>
          <w:lang w:eastAsia="zh-CN"/>
        </w:rPr>
      </w:pP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本合同</w:t>
      </w:r>
      <w:r>
        <w:rPr>
          <w:rFonts w:hint="eastAsia" w:ascii="宋体" w:hAnsi="宋体" w:cs="宋体"/>
          <w:color w:val="auto"/>
          <w:szCs w:val="21"/>
          <w:highlight w:val="none"/>
          <w:lang w:val="en-US" w:eastAsia="zh-CN"/>
        </w:rPr>
        <w:t>中标单价</w:t>
      </w:r>
      <w:r>
        <w:rPr>
          <w:rFonts w:hint="eastAsia" w:ascii="宋体" w:hAnsi="宋体" w:cs="宋体"/>
          <w:color w:val="auto"/>
          <w:szCs w:val="21"/>
          <w:highlight w:val="none"/>
        </w:rPr>
        <w:t>为</w:t>
      </w:r>
      <w:r>
        <w:rPr>
          <w:rFonts w:hint="eastAsia" w:ascii="宋体" w:hAnsi="宋体" w:cs="宋体"/>
          <w:color w:val="auto"/>
          <w:szCs w:val="21"/>
          <w:highlight w:val="none"/>
          <w:u w:val="single"/>
          <w:lang w:val="en-US" w:eastAsia="zh-CN"/>
        </w:rPr>
        <w:t xml:space="preserve">          元/WP </w:t>
      </w:r>
      <w:r>
        <w:rPr>
          <w:rFonts w:hint="eastAsia" w:ascii="宋体" w:hAnsi="宋体" w:eastAsia="宋体" w:cs="宋体"/>
          <w:color w:val="auto"/>
          <w:spacing w:val="14"/>
          <w:sz w:val="24"/>
          <w:szCs w:val="24"/>
          <w:highlight w:val="none"/>
          <w:u w:val="none"/>
          <w:lang w:val="en-US" w:eastAsia="zh-CN"/>
        </w:rPr>
        <w:t xml:space="preserve"> </w:t>
      </w:r>
    </w:p>
    <w:p w14:paraId="29815BC6">
      <w:pPr>
        <w:pStyle w:val="219"/>
        <w:keepNext w:val="0"/>
        <w:keepLines w:val="0"/>
        <w:pageBreakBefore w:val="0"/>
        <w:widowControl/>
        <w:numPr>
          <w:ilvl w:val="0"/>
          <w:numId w:val="0"/>
        </w:numPr>
        <w:wordWrap/>
        <w:overflowPunct/>
        <w:topLinePunct w:val="0"/>
        <w:bidi w:val="0"/>
        <w:adjustRightInd w:val="0"/>
        <w:snapToGrid w:val="0"/>
        <w:spacing w:before="72" w:beforeLines="30" w:after="72" w:afterLines="30" w:line="440" w:lineRule="exact"/>
        <w:ind w:firstLine="630" w:firstLineChars="300"/>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结算价=</w:t>
      </w:r>
      <w:r>
        <w:rPr>
          <w:rFonts w:hint="eastAsia" w:ascii="宋体" w:hAnsi="宋体" w:cs="宋体"/>
          <w:b w:val="0"/>
          <w:color w:val="auto"/>
          <w:kern w:val="2"/>
          <w:sz w:val="21"/>
          <w:szCs w:val="21"/>
          <w:highlight w:val="none"/>
          <w:lang w:val="en-US" w:eastAsia="zh-CN" w:bidi="ar"/>
        </w:rPr>
        <w:t>直流侧</w:t>
      </w:r>
      <w:r>
        <w:rPr>
          <w:rFonts w:hint="eastAsia" w:ascii="宋体" w:hAnsi="宋体" w:eastAsia="宋体" w:cs="宋体"/>
          <w:b w:val="0"/>
          <w:bCs/>
          <w:color w:val="auto"/>
          <w:sz w:val="21"/>
          <w:szCs w:val="21"/>
          <w:highlight w:val="none"/>
          <w:lang w:val="en-US" w:eastAsia="zh-CN"/>
        </w:rPr>
        <w:t>实际装机容量*中标单价（组件若须调整，单价进行相应调整）</w:t>
      </w:r>
    </w:p>
    <w:p w14:paraId="1B0CF8D5">
      <w:pPr>
        <w:keepNext w:val="0"/>
        <w:keepLines w:val="0"/>
        <w:pageBreakBefore w:val="0"/>
        <w:widowControl/>
        <w:kinsoku w:val="0"/>
        <w:wordWrap/>
        <w:overflowPunct/>
        <w:topLinePunct w:val="0"/>
        <w:bidi w:val="0"/>
        <w:adjustRightInd w:val="0"/>
        <w:snapToGrid w:val="0"/>
        <w:spacing w:line="440" w:lineRule="exact"/>
        <w:ind w:left="263" w:leftChars="125" w:firstLine="210" w:firstLineChars="1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 合同价格形式：</w:t>
      </w:r>
    </w:p>
    <w:p w14:paraId="729D306A">
      <w:pPr>
        <w:keepNext w:val="0"/>
        <w:keepLines w:val="0"/>
        <w:pageBreakBefore w:val="0"/>
        <w:widowControl/>
        <w:wordWrap/>
        <w:overflowPunct/>
        <w:topLinePunct w:val="0"/>
        <w:bidi w:val="0"/>
        <w:adjustRightInd w:val="0"/>
        <w:snapToGrid w:val="0"/>
        <w:spacing w:line="440" w:lineRule="exact"/>
        <w:ind w:firstLine="630" w:firstLineChars="3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合同价格形式为固定单价合同。</w:t>
      </w:r>
    </w:p>
    <w:p w14:paraId="1F06566A">
      <w:pPr>
        <w:pStyle w:val="219"/>
        <w:keepNext w:val="0"/>
        <w:keepLines w:val="0"/>
        <w:pageBreakBefore w:val="0"/>
        <w:widowControl/>
        <w:numPr>
          <w:ilvl w:val="0"/>
          <w:numId w:val="0"/>
        </w:numPr>
        <w:wordWrap/>
        <w:overflowPunct/>
        <w:topLinePunct w:val="0"/>
        <w:bidi w:val="0"/>
        <w:adjustRightInd w:val="0"/>
        <w:snapToGrid w:val="0"/>
        <w:spacing w:before="72" w:beforeLines="30" w:after="72" w:afterLines="30" w:line="440" w:lineRule="exact"/>
        <w:ind w:firstLine="630" w:firstLineChars="300"/>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合同单价包含但不限于</w:t>
      </w:r>
    </w:p>
    <w:p w14:paraId="21689872">
      <w:pPr>
        <w:keepNext w:val="0"/>
        <w:keepLines w:val="0"/>
        <w:widowControl/>
        <w:suppressLineNumbers w:val="0"/>
        <w:spacing w:before="0" w:beforeAutospacing="0" w:after="0" w:afterAutospacing="0" w:line="440" w:lineRule="exact"/>
        <w:ind w:left="0" w:right="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（1）设计部分：包括但不限于本项目投资分析、现场勘察、</w:t>
      </w:r>
      <w:r>
        <w:rPr>
          <w:rFonts w:hint="eastAsia" w:ascii="宋体" w:hAnsi="宋体" w:cs="宋体"/>
          <w:color w:val="auto"/>
          <w:kern w:val="0"/>
          <w:szCs w:val="21"/>
          <w:highlight w:val="none"/>
          <w:lang w:val="en-US" w:eastAsia="zh-CN"/>
        </w:rPr>
        <w:t>地勘报告、</w:t>
      </w:r>
      <w:r>
        <w:rPr>
          <w:rFonts w:hint="eastAsia" w:ascii="宋体" w:hAnsi="宋体" w:eastAsia="宋体" w:cs="宋体"/>
          <w:color w:val="auto"/>
          <w:kern w:val="0"/>
          <w:szCs w:val="21"/>
          <w:highlight w:val="none"/>
          <w:lang w:val="en-US" w:eastAsia="zh-CN"/>
        </w:rPr>
        <w:t>初步设计方案（含设计基础排布）、荷载鉴定报告、加固设计方案（如需）、施工图设计、竣工图编制、概算编制、配合图纸审查等，以上如涉及必须提供。</w:t>
      </w:r>
    </w:p>
    <w:p w14:paraId="40E5E0D9">
      <w:pPr>
        <w:keepNext w:val="0"/>
        <w:keepLines w:val="0"/>
        <w:widowControl/>
        <w:suppressLineNumbers w:val="0"/>
        <w:spacing w:before="0" w:beforeAutospacing="0" w:after="0" w:afterAutospacing="0" w:line="440" w:lineRule="exact"/>
        <w:ind w:left="0" w:right="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（2）施工部分：包括但不限于备案、并网接入等相关手续办理、施工图范围内的所有</w:t>
      </w:r>
    </w:p>
    <w:p w14:paraId="1830F365">
      <w:pPr>
        <w:keepNext w:val="0"/>
        <w:keepLines w:val="0"/>
        <w:widowControl/>
        <w:suppressLineNumbers w:val="0"/>
        <w:tabs>
          <w:tab w:val="left" w:pos="3360"/>
        </w:tabs>
        <w:spacing w:before="0" w:beforeAutospacing="0" w:after="0" w:afterAutospacing="0" w:line="440" w:lineRule="exact"/>
        <w:ind w:left="0" w:right="0"/>
        <w:rPr>
          <w:rFonts w:hint="eastAsia" w:ascii="宋体" w:hAnsi="宋体" w:eastAsia="宋体" w:cs="宋体"/>
          <w:color w:val="auto"/>
          <w:kern w:val="0"/>
          <w:szCs w:val="21"/>
          <w:highlight w:val="none"/>
          <w:u w:val="none"/>
          <w:lang w:val="en-US" w:eastAsia="zh-CN"/>
        </w:rPr>
      </w:pPr>
      <w:r>
        <w:rPr>
          <w:rFonts w:hint="eastAsia" w:ascii="宋体" w:hAnsi="宋体" w:eastAsia="宋体" w:cs="宋体"/>
          <w:color w:val="auto"/>
          <w:kern w:val="0"/>
          <w:szCs w:val="21"/>
          <w:highlight w:val="none"/>
        </w:rPr>
        <w:t>工作内容、</w:t>
      </w:r>
      <w:r>
        <w:rPr>
          <w:rFonts w:hint="eastAsia" w:ascii="宋体" w:hAnsi="宋体" w:cs="宋体"/>
          <w:color w:val="auto"/>
          <w:kern w:val="0"/>
          <w:szCs w:val="21"/>
          <w:highlight w:val="none"/>
          <w:lang w:val="en-US" w:eastAsia="zh-CN"/>
        </w:rPr>
        <w:t>建筑</w:t>
      </w:r>
      <w:r>
        <w:rPr>
          <w:rFonts w:hint="eastAsia" w:ascii="宋体" w:hAnsi="宋体" w:eastAsia="宋体" w:cs="宋体"/>
          <w:color w:val="auto"/>
          <w:kern w:val="0"/>
          <w:szCs w:val="21"/>
          <w:highlight w:val="none"/>
        </w:rPr>
        <w:t>加固（如需）、</w:t>
      </w:r>
      <w:r>
        <w:rPr>
          <w:rFonts w:hint="eastAsia" w:ascii="宋体" w:hAnsi="宋体" w:eastAsia="宋体" w:cs="宋体"/>
          <w:color w:val="auto"/>
          <w:kern w:val="0"/>
          <w:szCs w:val="21"/>
          <w:highlight w:val="none"/>
          <w:lang w:val="en-US" w:eastAsia="zh-CN"/>
        </w:rPr>
        <w:t>绿化移栽、</w:t>
      </w:r>
      <w:r>
        <w:rPr>
          <w:rFonts w:hint="eastAsia" w:ascii="宋体" w:hAnsi="宋体" w:eastAsia="宋体" w:cs="宋体"/>
          <w:color w:val="auto"/>
          <w:kern w:val="0"/>
          <w:szCs w:val="21"/>
          <w:highlight w:val="none"/>
        </w:rPr>
        <w:t>土建</w:t>
      </w:r>
      <w:r>
        <w:rPr>
          <w:rFonts w:hint="eastAsia"/>
          <w:color w:val="auto"/>
          <w:highlight w:val="none"/>
          <w:lang w:eastAsia="zh-CN"/>
        </w:rPr>
        <w:t>、</w:t>
      </w:r>
      <w:r>
        <w:rPr>
          <w:rFonts w:hint="eastAsia"/>
          <w:color w:val="auto"/>
          <w:highlight w:val="none"/>
          <w:lang w:val="en-US" w:eastAsia="zh-CN"/>
        </w:rPr>
        <w:t>施工现场所必须的管线及其他设施设备迁移</w:t>
      </w:r>
      <w:r>
        <w:rPr>
          <w:rFonts w:hint="eastAsia" w:ascii="宋体" w:hAnsi="宋体" w:eastAsia="宋体" w:cs="宋体"/>
          <w:color w:val="auto"/>
          <w:kern w:val="0"/>
          <w:szCs w:val="21"/>
          <w:highlight w:val="none"/>
        </w:rPr>
        <w:t>及安装施工等工作、本工程内所有设备和系统的供货安装、检验、试验、竣工验收、全站全容量并网240小时安全稳定试运行(出具试运行报告)、消缺、整套系统启动的性能保证的考核验收、技术和售后服务、人员培训、直至移交等全部工作。</w:t>
      </w:r>
      <w:r>
        <w:rPr>
          <w:rFonts w:hint="eastAsia" w:ascii="宋体" w:hAnsi="宋体" w:eastAsia="宋体" w:cs="宋体"/>
          <w:color w:val="auto"/>
          <w:kern w:val="0"/>
          <w:szCs w:val="21"/>
          <w:highlight w:val="none"/>
          <w:lang w:val="en-US" w:eastAsia="zh-CN"/>
        </w:rPr>
        <w:t>本项目的逆变器、数据采集器、远红、视频监控等设备，由中标单位设计和采购，并负责接入招标人已建或者后续要建设的能源管理平台（相关设备参数符合平台使用要求）便于后期统一运营管理</w:t>
      </w:r>
      <w:r>
        <w:rPr>
          <w:rFonts w:hint="eastAsia" w:ascii="宋体" w:hAnsi="宋体" w:cs="宋体"/>
          <w:color w:val="auto"/>
          <w:kern w:val="0"/>
          <w:szCs w:val="21"/>
          <w:highlight w:val="none"/>
          <w:lang w:val="en-US" w:eastAsia="zh-CN"/>
        </w:rPr>
        <w:t>，</w:t>
      </w:r>
      <w:r>
        <w:rPr>
          <w:rFonts w:hint="eastAsia" w:ascii="宋体" w:hAnsi="宋体" w:eastAsia="宋体" w:cs="宋体"/>
          <w:color w:val="auto"/>
          <w:kern w:val="0"/>
          <w:szCs w:val="21"/>
          <w:highlight w:val="none"/>
          <w:lang w:val="en-US" w:eastAsia="zh-CN"/>
        </w:rPr>
        <w:t>相关费用均在投标报价中。</w:t>
      </w:r>
      <w:r>
        <w:rPr>
          <w:rFonts w:hint="eastAsia" w:ascii="宋体" w:hAnsi="宋体" w:eastAsia="宋体" w:cs="宋体"/>
          <w:color w:val="auto"/>
          <w:kern w:val="0"/>
          <w:szCs w:val="21"/>
          <w:highlight w:val="none"/>
        </w:rPr>
        <w:t>移交前的运维管理，竣工验收交付后，光伏板产品质保 10 年、发电量质保25 年、逆变器质保5年，其他电器设备2年质保，免费运维2年；具体以招标人实施需求为准</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u w:val="none"/>
          <w:lang w:eastAsia="zh-CN"/>
        </w:rPr>
        <w:t>产品质保期</w:t>
      </w:r>
      <w:r>
        <w:rPr>
          <w:rFonts w:hint="eastAsia" w:ascii="宋体" w:hAnsi="宋体" w:eastAsia="宋体" w:cs="宋体"/>
          <w:color w:val="auto"/>
          <w:kern w:val="0"/>
          <w:szCs w:val="21"/>
          <w:highlight w:val="none"/>
          <w:u w:val="none"/>
          <w:lang w:val="en-US" w:eastAsia="zh-CN"/>
        </w:rPr>
        <w:t>内</w:t>
      </w:r>
      <w:r>
        <w:rPr>
          <w:rFonts w:hint="eastAsia" w:ascii="宋体" w:hAnsi="宋体" w:eastAsia="宋体" w:cs="宋体"/>
          <w:color w:val="auto"/>
          <w:kern w:val="0"/>
          <w:szCs w:val="21"/>
          <w:highlight w:val="none"/>
          <w:u w:val="none"/>
          <w:lang w:eastAsia="zh-CN"/>
        </w:rPr>
        <w:t>要响应业主需求，及时开展相关工作</w:t>
      </w:r>
      <w:r>
        <w:rPr>
          <w:rFonts w:hint="eastAsia" w:ascii="宋体" w:hAnsi="宋体" w:eastAsia="宋体" w:cs="宋体"/>
          <w:color w:val="auto"/>
          <w:kern w:val="0"/>
          <w:szCs w:val="21"/>
          <w:highlight w:val="none"/>
          <w:u w:val="none"/>
        </w:rPr>
        <w:t>；具体以招标人实施需求为准。</w:t>
      </w:r>
      <w:r>
        <w:rPr>
          <w:rFonts w:hint="eastAsia" w:ascii="宋体" w:hAnsi="宋体" w:eastAsia="宋体" w:cs="宋体"/>
          <w:color w:val="auto"/>
          <w:kern w:val="0"/>
          <w:szCs w:val="21"/>
          <w:highlight w:val="none"/>
          <w:u w:val="none"/>
          <w:lang w:val="en-US" w:eastAsia="zh-CN"/>
        </w:rPr>
        <w:t>项目施工按照施工设计方案开展，具体实际施工根据业主单位及招标单位意见开展，相关费用包含在项目报价中。</w:t>
      </w:r>
    </w:p>
    <w:p w14:paraId="6230E2F0">
      <w:pPr>
        <w:widowControl/>
        <w:tabs>
          <w:tab w:val="left" w:pos="3360"/>
        </w:tabs>
        <w:spacing w:line="440" w:lineRule="exact"/>
        <w:ind w:left="0"/>
        <w:rPr>
          <w:rFonts w:hint="eastAsia" w:ascii="宋体" w:hAnsi="宋体" w:cs="宋体"/>
          <w:color w:val="auto"/>
          <w:kern w:val="0"/>
          <w:szCs w:val="21"/>
          <w:highlight w:val="none"/>
          <w:lang w:val="en-US" w:eastAsia="zh-CN"/>
        </w:rPr>
      </w:pPr>
      <w:r>
        <w:rPr>
          <w:rFonts w:hint="eastAsia" w:ascii="宋体" w:hAnsi="宋体" w:eastAsia="宋体" w:cs="宋体"/>
          <w:color w:val="auto"/>
          <w:kern w:val="0"/>
          <w:szCs w:val="21"/>
          <w:highlight w:val="none"/>
          <w:u w:val="none"/>
          <w:lang w:val="en-US" w:eastAsia="zh-CN"/>
        </w:rPr>
        <w:t>本项目为“交钥匙”工程</w:t>
      </w:r>
      <w:r>
        <w:rPr>
          <w:rFonts w:hint="eastAsia" w:ascii="宋体" w:hAnsi="宋体" w:cs="宋体"/>
          <w:color w:val="auto"/>
          <w:kern w:val="0"/>
          <w:szCs w:val="21"/>
          <w:highlight w:val="none"/>
          <w:u w:val="none"/>
          <w:lang w:val="en-US" w:eastAsia="zh-CN"/>
        </w:rPr>
        <w:t>，含设计、采购、安装、调试</w:t>
      </w:r>
      <w:r>
        <w:rPr>
          <w:rFonts w:hint="eastAsia" w:ascii="宋体" w:hAnsi="宋体" w:eastAsia="宋体" w:cs="宋体"/>
          <w:color w:val="auto"/>
          <w:kern w:val="0"/>
          <w:szCs w:val="21"/>
          <w:highlight w:val="none"/>
          <w:u w:val="none"/>
          <w:lang w:val="en-US" w:eastAsia="zh-CN"/>
        </w:rPr>
        <w:t>、并通过验收</w:t>
      </w:r>
      <w:r>
        <w:rPr>
          <w:rFonts w:hint="eastAsia" w:ascii="宋体" w:hAnsi="宋体" w:cs="宋体"/>
          <w:color w:val="auto"/>
          <w:kern w:val="0"/>
          <w:szCs w:val="21"/>
          <w:highlight w:val="none"/>
          <w:u w:val="none"/>
          <w:lang w:val="en-US" w:eastAsia="zh-CN"/>
        </w:rPr>
        <w:t>及后期运维</w:t>
      </w:r>
      <w:r>
        <w:rPr>
          <w:rFonts w:hint="eastAsia" w:ascii="宋体" w:hAnsi="宋体" w:eastAsia="宋体" w:cs="宋体"/>
          <w:color w:val="auto"/>
          <w:kern w:val="0"/>
          <w:szCs w:val="21"/>
          <w:highlight w:val="none"/>
          <w:u w:val="none"/>
          <w:lang w:val="en-US" w:eastAsia="zh-CN"/>
        </w:rPr>
        <w:t>。</w:t>
      </w:r>
    </w:p>
    <w:p w14:paraId="45A7C710">
      <w:pPr>
        <w:keepNext w:val="0"/>
        <w:keepLines w:val="0"/>
        <w:pageBreakBefore w:val="0"/>
        <w:widowControl/>
        <w:kinsoku w:val="0"/>
        <w:wordWrap/>
        <w:overflowPunct/>
        <w:topLinePunct w:val="0"/>
        <w:bidi w:val="0"/>
        <w:adjustRightInd w:val="0"/>
        <w:snapToGrid w:val="0"/>
        <w:spacing w:line="44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合同当事人对合同价格形式的其他约定：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1.</w:t>
      </w:r>
      <w:r>
        <w:rPr>
          <w:rFonts w:hint="eastAsia" w:cs="宋体"/>
          <w:color w:val="auto"/>
          <w:szCs w:val="21"/>
          <w:highlight w:val="none"/>
          <w:u w:val="single"/>
        </w:rPr>
        <w:t>详见专用合同条件</w:t>
      </w:r>
      <w:r>
        <w:rPr>
          <w:rFonts w:hint="eastAsia" w:cs="宋体"/>
          <w:color w:val="auto"/>
          <w:szCs w:val="21"/>
          <w:highlight w:val="none"/>
          <w:u w:val="single"/>
          <w:lang w:eastAsia="zh-CN"/>
        </w:rPr>
        <w:t>；</w:t>
      </w:r>
      <w:r>
        <w:rPr>
          <w:rFonts w:hint="eastAsia" w:cs="宋体"/>
          <w:color w:val="auto"/>
          <w:szCs w:val="21"/>
          <w:highlight w:val="none"/>
          <w:u w:val="single"/>
          <w:lang w:val="en-US" w:eastAsia="zh-CN"/>
        </w:rPr>
        <w:t>2.所支付合同价中已包含设计所需相关费用，如为联合体投标，应自行约定支付时间等，不得因费用支付造成工期拖延，否则按合同约定处理</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75BE676E">
      <w:pPr>
        <w:keepNext w:val="0"/>
        <w:keepLines w:val="0"/>
        <w:pageBreakBefore w:val="0"/>
        <w:widowControl/>
        <w:kinsoku w:val="0"/>
        <w:wordWrap/>
        <w:overflowPunct/>
        <w:topLinePunct w:val="0"/>
        <w:bidi w:val="0"/>
        <w:adjustRightInd w:val="0"/>
        <w:snapToGrid w:val="0"/>
        <w:spacing w:line="440" w:lineRule="exact"/>
        <w:ind w:left="263" w:leftChars="125" w:firstLine="210" w:firstLineChars="1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项目装机容量</w:t>
      </w:r>
    </w:p>
    <w:p w14:paraId="2AB32A53">
      <w:pPr>
        <w:pStyle w:val="219"/>
        <w:keepNext w:val="0"/>
        <w:keepLines w:val="0"/>
        <w:pageBreakBefore w:val="0"/>
        <w:widowControl/>
        <w:numPr>
          <w:ilvl w:val="0"/>
          <w:numId w:val="0"/>
        </w:numPr>
        <w:wordWrap/>
        <w:overflowPunct/>
        <w:topLinePunct w:val="0"/>
        <w:bidi w:val="0"/>
        <w:adjustRightInd w:val="0"/>
        <w:snapToGrid w:val="0"/>
        <w:spacing w:before="72" w:beforeLines="30" w:after="72" w:afterLines="30" w:line="440" w:lineRule="exact"/>
        <w:ind w:firstLine="420" w:firstLineChars="200"/>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项目拟装机容量为【</w:t>
      </w:r>
      <w:r>
        <w:rPr>
          <w:rFonts w:hint="eastAsia" w:ascii="宋体" w:hAnsi="宋体" w:eastAsia="宋体" w:cs="宋体"/>
          <w:color w:val="auto"/>
          <w:kern w:val="2"/>
          <w:sz w:val="21"/>
          <w:szCs w:val="21"/>
          <w:highlight w:val="none"/>
          <w:lang w:val="en-US" w:eastAsia="zh-CN" w:bidi="ar"/>
        </w:rPr>
        <w:t>1MWp</w:t>
      </w:r>
      <w:r>
        <w:rPr>
          <w:rFonts w:hint="eastAsia" w:ascii="宋体" w:hAnsi="宋体" w:eastAsia="宋体" w:cs="宋体"/>
          <w:b w:val="0"/>
          <w:bCs/>
          <w:color w:val="auto"/>
          <w:sz w:val="21"/>
          <w:szCs w:val="21"/>
          <w:highlight w:val="none"/>
          <w:lang w:val="en-US" w:eastAsia="zh-CN"/>
        </w:rPr>
        <w:t>】（暂定)，实际装机容量以项目通过竣工验收且并网</w:t>
      </w:r>
      <w:r>
        <w:rPr>
          <w:rFonts w:hint="eastAsia" w:cs="宋体"/>
          <w:b w:val="0"/>
          <w:bCs/>
          <w:color w:val="auto"/>
          <w:sz w:val="21"/>
          <w:szCs w:val="21"/>
          <w:highlight w:val="none"/>
          <w:lang w:val="en-US" w:eastAsia="zh-CN"/>
        </w:rPr>
        <w:t>正常</w:t>
      </w:r>
      <w:r>
        <w:rPr>
          <w:rFonts w:hint="eastAsia" w:ascii="宋体" w:hAnsi="宋体" w:eastAsia="宋体" w:cs="宋体"/>
          <w:b w:val="0"/>
          <w:bCs/>
          <w:color w:val="auto"/>
          <w:sz w:val="21"/>
          <w:szCs w:val="21"/>
          <w:highlight w:val="none"/>
          <w:lang w:val="en-US" w:eastAsia="zh-CN"/>
        </w:rPr>
        <w:t>发电的装机容量为准。</w:t>
      </w:r>
    </w:p>
    <w:p w14:paraId="07ED67CE">
      <w:pPr>
        <w:keepNext w:val="0"/>
        <w:keepLines w:val="0"/>
        <w:pageBreakBefore w:val="0"/>
        <w:widowControl/>
        <w:kinsoku w:val="0"/>
        <w:wordWrap/>
        <w:overflowPunct/>
        <w:topLinePunct w:val="0"/>
        <w:bidi w:val="0"/>
        <w:adjustRightInd w:val="0"/>
        <w:snapToGrid w:val="0"/>
        <w:spacing w:line="440" w:lineRule="exact"/>
        <w:ind w:left="263" w:leftChars="125" w:firstLine="210" w:firstLineChars="1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安全目标</w:t>
      </w:r>
    </w:p>
    <w:p w14:paraId="73EA9C70">
      <w:pPr>
        <w:pStyle w:val="219"/>
        <w:keepNext w:val="0"/>
        <w:keepLines w:val="0"/>
        <w:pageBreakBefore w:val="0"/>
        <w:widowControl/>
        <w:numPr>
          <w:ilvl w:val="0"/>
          <w:numId w:val="0"/>
        </w:numPr>
        <w:wordWrap/>
        <w:overflowPunct/>
        <w:topLinePunct w:val="0"/>
        <w:bidi w:val="0"/>
        <w:adjustRightInd w:val="0"/>
        <w:snapToGrid w:val="0"/>
        <w:spacing w:before="72" w:beforeLines="30" w:after="72" w:afterLines="30" w:line="440" w:lineRule="exact"/>
        <w:ind w:firstLine="420" w:firstLineChars="200"/>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杜绝人身死亡、伤害事故；杜绝重大机械设备事故；杜绝重大火灾事故；杜绝主要设备的损坏事故；杜绝负主要责任的重大交通事故；杜绝重大环境污染事故；杜绝重大垮（坍）塌事故；避免和严格控制一般安全事故。</w:t>
      </w:r>
    </w:p>
    <w:p w14:paraId="59DA7E79">
      <w:pPr>
        <w:spacing w:line="440" w:lineRule="exact"/>
        <w:ind w:left="3"/>
        <w:outlineLvl w:val="1"/>
        <w:rPr>
          <w:rFonts w:ascii="宋体" w:hAnsi="宋体" w:cs="宋体"/>
          <w:color w:val="auto"/>
          <w:szCs w:val="21"/>
          <w:highlight w:val="none"/>
        </w:rPr>
      </w:pPr>
      <w:r>
        <w:rPr>
          <w:rFonts w:ascii="宋体" w:hAnsi="宋体" w:cs="宋体"/>
          <w:color w:val="auto"/>
          <w:spacing w:val="-1"/>
          <w:szCs w:val="21"/>
          <w:highlight w:val="none"/>
        </w:rPr>
        <w:t>五、工程总承</w:t>
      </w:r>
      <w:r>
        <w:rPr>
          <w:rFonts w:ascii="宋体" w:hAnsi="宋体" w:cs="宋体"/>
          <w:color w:val="auto"/>
          <w:szCs w:val="21"/>
          <w:highlight w:val="none"/>
        </w:rPr>
        <w:t>包项目经理</w:t>
      </w:r>
    </w:p>
    <w:p w14:paraId="0D059143">
      <w:pPr>
        <w:spacing w:line="440" w:lineRule="exact"/>
        <w:ind w:left="423"/>
        <w:rPr>
          <w:rFonts w:ascii="宋体" w:hAnsi="宋体" w:cs="宋体"/>
          <w:color w:val="auto"/>
          <w:spacing w:val="-2"/>
          <w:szCs w:val="21"/>
          <w:highlight w:val="none"/>
        </w:rPr>
      </w:pPr>
      <w:r>
        <w:rPr>
          <w:rFonts w:ascii="宋体" w:hAnsi="宋体" w:cs="宋体"/>
          <w:color w:val="auto"/>
          <w:spacing w:val="-4"/>
          <w:szCs w:val="21"/>
          <w:highlight w:val="none"/>
        </w:rPr>
        <w:t>项目经理</w:t>
      </w:r>
      <w:r>
        <w:rPr>
          <w:rFonts w:hint="eastAsia" w:ascii="宋体" w:hAnsi="宋体" w:cs="宋体"/>
          <w:color w:val="auto"/>
          <w:spacing w:val="-4"/>
          <w:szCs w:val="21"/>
          <w:highlight w:val="none"/>
          <w:lang w:eastAsia="zh-CN"/>
        </w:rPr>
        <w:t>（</w:t>
      </w:r>
      <w:r>
        <w:rPr>
          <w:rFonts w:hint="eastAsia" w:ascii="宋体" w:hAnsi="宋体" w:cs="宋体"/>
          <w:color w:val="auto"/>
          <w:spacing w:val="-4"/>
          <w:szCs w:val="21"/>
          <w:highlight w:val="none"/>
          <w:lang w:val="en-US" w:eastAsia="zh-CN"/>
        </w:rPr>
        <w:t>建造师</w:t>
      </w:r>
      <w:r>
        <w:rPr>
          <w:rFonts w:hint="eastAsia" w:ascii="宋体" w:hAnsi="宋体" w:cs="宋体"/>
          <w:color w:val="auto"/>
          <w:spacing w:val="-4"/>
          <w:szCs w:val="21"/>
          <w:highlight w:val="none"/>
          <w:lang w:eastAsia="zh-CN"/>
        </w:rPr>
        <w:t>）</w:t>
      </w:r>
      <w:r>
        <w:rPr>
          <w:rFonts w:ascii="宋体" w:hAnsi="宋体" w:cs="宋体"/>
          <w:color w:val="auto"/>
          <w:spacing w:val="-4"/>
          <w:szCs w:val="21"/>
          <w:highlight w:val="none"/>
        </w:rPr>
        <w:t>：</w:t>
      </w:r>
      <w:r>
        <w:rPr>
          <w:rFonts w:ascii="宋体" w:hAnsi="宋体" w:cs="宋体"/>
          <w:color w:val="auto"/>
          <w:spacing w:val="-4"/>
          <w:szCs w:val="21"/>
          <w:highlight w:val="none"/>
          <w:u w:val="single"/>
        </w:rPr>
        <w:t xml:space="preserve">   </w:t>
      </w:r>
      <w:r>
        <w:rPr>
          <w:rFonts w:ascii="宋体" w:hAnsi="宋体" w:cs="宋体"/>
          <w:color w:val="auto"/>
          <w:spacing w:val="-2"/>
          <w:szCs w:val="21"/>
          <w:highlight w:val="none"/>
          <w:u w:val="single"/>
        </w:rPr>
        <w:t xml:space="preserve">                           </w:t>
      </w:r>
      <w:r>
        <w:rPr>
          <w:rFonts w:ascii="宋体" w:hAnsi="宋体" w:cs="宋体"/>
          <w:color w:val="auto"/>
          <w:spacing w:val="-2"/>
          <w:szCs w:val="21"/>
          <w:highlight w:val="none"/>
        </w:rPr>
        <w:t>。</w:t>
      </w:r>
    </w:p>
    <w:p w14:paraId="39559EC8">
      <w:pPr>
        <w:spacing w:line="440" w:lineRule="exact"/>
        <w:ind w:left="423"/>
        <w:rPr>
          <w:rFonts w:hint="eastAsia" w:ascii="宋体" w:hAnsi="宋体" w:eastAsia="宋体" w:cs="宋体"/>
          <w:color w:val="auto"/>
          <w:szCs w:val="21"/>
          <w:highlight w:val="none"/>
          <w:lang w:eastAsia="zh-CN"/>
        </w:rPr>
      </w:pPr>
      <w:r>
        <w:rPr>
          <w:rFonts w:hint="eastAsia" w:ascii="宋体" w:hAnsi="宋体" w:cs="宋体"/>
          <w:color w:val="auto"/>
          <w:spacing w:val="-2"/>
          <w:szCs w:val="21"/>
          <w:highlight w:val="none"/>
          <w:lang w:val="en-US" w:eastAsia="zh-CN"/>
        </w:rPr>
        <w:t>设计负责人：</w:t>
      </w:r>
      <w:r>
        <w:rPr>
          <w:rFonts w:hint="eastAsia" w:ascii="宋体" w:hAnsi="宋体" w:cs="宋体"/>
          <w:color w:val="auto"/>
          <w:spacing w:val="-2"/>
          <w:szCs w:val="21"/>
          <w:highlight w:val="none"/>
          <w:u w:val="single"/>
          <w:lang w:val="en-US" w:eastAsia="zh-CN"/>
        </w:rPr>
        <w:t xml:space="preserve">                                     </w:t>
      </w:r>
      <w:r>
        <w:rPr>
          <w:rFonts w:hint="eastAsia" w:ascii="宋体" w:hAnsi="宋体" w:cs="宋体"/>
          <w:color w:val="auto"/>
          <w:spacing w:val="-2"/>
          <w:szCs w:val="21"/>
          <w:highlight w:val="none"/>
          <w:lang w:eastAsia="zh-CN"/>
        </w:rPr>
        <w:t>。</w:t>
      </w:r>
    </w:p>
    <w:p w14:paraId="1FE07194">
      <w:pPr>
        <w:spacing w:line="440" w:lineRule="exact"/>
        <w:ind w:left="1"/>
        <w:outlineLvl w:val="1"/>
        <w:rPr>
          <w:rFonts w:ascii="宋体" w:hAnsi="宋体" w:cs="宋体"/>
          <w:color w:val="auto"/>
          <w:szCs w:val="21"/>
          <w:highlight w:val="none"/>
        </w:rPr>
      </w:pPr>
      <w:r>
        <w:rPr>
          <w:rFonts w:ascii="宋体" w:hAnsi="宋体" w:cs="宋体"/>
          <w:color w:val="auto"/>
          <w:spacing w:val="-1"/>
          <w:szCs w:val="21"/>
          <w:highlight w:val="none"/>
        </w:rPr>
        <w:t>六、合同文件</w:t>
      </w:r>
      <w:r>
        <w:rPr>
          <w:rFonts w:ascii="宋体" w:hAnsi="宋体" w:cs="宋体"/>
          <w:color w:val="auto"/>
          <w:szCs w:val="21"/>
          <w:highlight w:val="none"/>
        </w:rPr>
        <w:t>构成</w:t>
      </w:r>
    </w:p>
    <w:p w14:paraId="0B757DFA">
      <w:pPr>
        <w:spacing w:line="440" w:lineRule="exact"/>
        <w:ind w:left="421"/>
        <w:rPr>
          <w:rFonts w:ascii="宋体" w:hAnsi="宋体" w:cs="宋体"/>
          <w:color w:val="auto"/>
          <w:szCs w:val="21"/>
          <w:highlight w:val="none"/>
        </w:rPr>
      </w:pPr>
      <w:r>
        <w:rPr>
          <w:rFonts w:ascii="宋体" w:hAnsi="宋体" w:cs="宋体"/>
          <w:color w:val="auto"/>
          <w:spacing w:val="-4"/>
          <w:szCs w:val="21"/>
          <w:highlight w:val="none"/>
        </w:rPr>
        <w:t>本协议书与</w:t>
      </w:r>
      <w:r>
        <w:rPr>
          <w:rFonts w:ascii="宋体" w:hAnsi="宋体" w:cs="宋体"/>
          <w:color w:val="auto"/>
          <w:spacing w:val="-3"/>
          <w:szCs w:val="21"/>
          <w:highlight w:val="none"/>
        </w:rPr>
        <w:t>下</w:t>
      </w:r>
      <w:r>
        <w:rPr>
          <w:rFonts w:ascii="宋体" w:hAnsi="宋体" w:cs="宋体"/>
          <w:color w:val="auto"/>
          <w:spacing w:val="-2"/>
          <w:szCs w:val="21"/>
          <w:highlight w:val="none"/>
        </w:rPr>
        <w:t>列文件一起构成合同文件：</w:t>
      </w:r>
    </w:p>
    <w:p w14:paraId="478C2744">
      <w:pPr>
        <w:spacing w:line="440" w:lineRule="exact"/>
        <w:ind w:left="426"/>
        <w:rPr>
          <w:rFonts w:ascii="宋体" w:hAnsi="宋体" w:cs="宋体"/>
          <w:color w:val="auto"/>
          <w:szCs w:val="21"/>
          <w:highlight w:val="none"/>
        </w:rPr>
      </w:pPr>
      <w:r>
        <w:rPr>
          <w:rFonts w:ascii="宋体" w:hAnsi="宋体" w:cs="宋体"/>
          <w:color w:val="auto"/>
          <w:spacing w:val="17"/>
          <w:szCs w:val="21"/>
          <w:highlight w:val="none"/>
        </w:rPr>
        <w:t>(</w:t>
      </w:r>
      <w:r>
        <w:rPr>
          <w:rFonts w:ascii="宋体" w:hAnsi="宋体" w:cs="宋体"/>
          <w:color w:val="auto"/>
          <w:spacing w:val="16"/>
          <w:szCs w:val="21"/>
          <w:highlight w:val="none"/>
        </w:rPr>
        <w:t>1)  中标通知书(如果有)；</w:t>
      </w:r>
    </w:p>
    <w:p w14:paraId="78371B39">
      <w:pPr>
        <w:spacing w:line="440" w:lineRule="exact"/>
        <w:ind w:left="426"/>
        <w:rPr>
          <w:rFonts w:ascii="宋体" w:hAnsi="宋体" w:cs="宋体"/>
          <w:color w:val="auto"/>
          <w:szCs w:val="21"/>
          <w:highlight w:val="none"/>
        </w:rPr>
      </w:pPr>
      <w:r>
        <w:rPr>
          <w:rFonts w:ascii="宋体" w:hAnsi="宋体" w:cs="宋体"/>
          <w:color w:val="auto"/>
          <w:spacing w:val="13"/>
          <w:szCs w:val="21"/>
          <w:highlight w:val="none"/>
        </w:rPr>
        <w:t>(2)  投标函及投标函附录(如果有)</w:t>
      </w:r>
      <w:r>
        <w:rPr>
          <w:rFonts w:ascii="宋体" w:hAnsi="宋体" w:cs="宋体"/>
          <w:color w:val="auto"/>
          <w:spacing w:val="12"/>
          <w:szCs w:val="21"/>
          <w:highlight w:val="none"/>
        </w:rPr>
        <w:t>；</w:t>
      </w:r>
    </w:p>
    <w:p w14:paraId="0DB6AEC3">
      <w:pPr>
        <w:spacing w:line="440" w:lineRule="exact"/>
        <w:ind w:left="427"/>
        <w:rPr>
          <w:rFonts w:ascii="宋体" w:hAnsi="宋体" w:cs="宋体"/>
          <w:color w:val="auto"/>
          <w:szCs w:val="21"/>
          <w:highlight w:val="none"/>
        </w:rPr>
      </w:pPr>
      <w:r>
        <w:rPr>
          <w:rFonts w:ascii="宋体" w:hAnsi="宋体" w:cs="宋体"/>
          <w:color w:val="auto"/>
          <w:spacing w:val="4"/>
          <w:szCs w:val="21"/>
          <w:highlight w:val="none"/>
        </w:rPr>
        <w:t>(3)</w:t>
      </w:r>
      <w:r>
        <w:rPr>
          <w:rFonts w:ascii="宋体" w:hAnsi="宋体" w:cs="宋体"/>
          <w:color w:val="auto"/>
          <w:spacing w:val="3"/>
          <w:szCs w:val="21"/>
          <w:highlight w:val="none"/>
        </w:rPr>
        <w:t xml:space="preserve"> </w:t>
      </w:r>
      <w:r>
        <w:rPr>
          <w:rFonts w:ascii="宋体" w:hAnsi="宋体" w:cs="宋体"/>
          <w:color w:val="auto"/>
          <w:spacing w:val="2"/>
          <w:szCs w:val="21"/>
          <w:highlight w:val="none"/>
        </w:rPr>
        <w:t xml:space="preserve"> 专用合同条件及《发包人要求》等附件；</w:t>
      </w:r>
    </w:p>
    <w:p w14:paraId="73F0AD3A">
      <w:pPr>
        <w:spacing w:line="440" w:lineRule="exact"/>
        <w:ind w:left="427"/>
        <w:rPr>
          <w:rFonts w:ascii="宋体" w:hAnsi="宋体" w:cs="宋体"/>
          <w:color w:val="auto"/>
          <w:szCs w:val="21"/>
          <w:highlight w:val="none"/>
        </w:rPr>
      </w:pPr>
      <w:r>
        <w:rPr>
          <w:rFonts w:ascii="宋体" w:hAnsi="宋体" w:cs="宋体"/>
          <w:color w:val="auto"/>
          <w:spacing w:val="8"/>
          <w:szCs w:val="21"/>
          <w:highlight w:val="none"/>
        </w:rPr>
        <w:t>(</w:t>
      </w:r>
      <w:r>
        <w:rPr>
          <w:rFonts w:ascii="宋体" w:hAnsi="宋体" w:cs="宋体"/>
          <w:color w:val="auto"/>
          <w:spacing w:val="5"/>
          <w:szCs w:val="21"/>
          <w:highlight w:val="none"/>
        </w:rPr>
        <w:t>4</w:t>
      </w:r>
      <w:r>
        <w:rPr>
          <w:rFonts w:ascii="宋体" w:hAnsi="宋体" w:cs="宋体"/>
          <w:color w:val="auto"/>
          <w:spacing w:val="4"/>
          <w:szCs w:val="21"/>
          <w:highlight w:val="none"/>
        </w:rPr>
        <w:t>)  通用合同条件；</w:t>
      </w:r>
    </w:p>
    <w:p w14:paraId="31103194">
      <w:pPr>
        <w:spacing w:line="440" w:lineRule="exact"/>
        <w:ind w:left="427"/>
        <w:rPr>
          <w:rFonts w:ascii="宋体" w:hAnsi="宋体" w:cs="宋体"/>
          <w:color w:val="auto"/>
          <w:szCs w:val="21"/>
          <w:highlight w:val="none"/>
        </w:rPr>
      </w:pPr>
      <w:r>
        <w:rPr>
          <w:rFonts w:ascii="宋体" w:hAnsi="宋体" w:cs="宋体"/>
          <w:color w:val="auto"/>
          <w:spacing w:val="8"/>
          <w:szCs w:val="21"/>
          <w:highlight w:val="none"/>
        </w:rPr>
        <w:t>(</w:t>
      </w:r>
      <w:r>
        <w:rPr>
          <w:rFonts w:ascii="宋体" w:hAnsi="宋体" w:cs="宋体"/>
          <w:color w:val="auto"/>
          <w:spacing w:val="5"/>
          <w:szCs w:val="21"/>
          <w:highlight w:val="none"/>
        </w:rPr>
        <w:t>5</w:t>
      </w:r>
      <w:r>
        <w:rPr>
          <w:rFonts w:ascii="宋体" w:hAnsi="宋体" w:cs="宋体"/>
          <w:color w:val="auto"/>
          <w:spacing w:val="4"/>
          <w:szCs w:val="21"/>
          <w:highlight w:val="none"/>
        </w:rPr>
        <w:t>)  承包人建议书；</w:t>
      </w:r>
    </w:p>
    <w:p w14:paraId="717B21F9">
      <w:pPr>
        <w:spacing w:line="440" w:lineRule="exact"/>
        <w:ind w:left="427"/>
        <w:rPr>
          <w:rFonts w:ascii="宋体" w:hAnsi="宋体" w:cs="宋体"/>
          <w:color w:val="auto"/>
          <w:szCs w:val="21"/>
          <w:highlight w:val="none"/>
        </w:rPr>
      </w:pPr>
      <w:r>
        <w:rPr>
          <w:rFonts w:ascii="宋体" w:hAnsi="宋体" w:cs="宋体"/>
          <w:color w:val="auto"/>
          <w:spacing w:val="10"/>
          <w:szCs w:val="21"/>
          <w:highlight w:val="none"/>
        </w:rPr>
        <w:t>(</w:t>
      </w:r>
      <w:r>
        <w:rPr>
          <w:rFonts w:ascii="宋体" w:hAnsi="宋体" w:cs="宋体"/>
          <w:color w:val="auto"/>
          <w:spacing w:val="5"/>
          <w:szCs w:val="21"/>
          <w:highlight w:val="none"/>
        </w:rPr>
        <w:t>6)  价格清单；</w:t>
      </w:r>
    </w:p>
    <w:p w14:paraId="2D41DA4B">
      <w:pPr>
        <w:spacing w:line="440" w:lineRule="exact"/>
        <w:ind w:left="427"/>
        <w:rPr>
          <w:rFonts w:ascii="宋体" w:hAnsi="宋体" w:cs="宋体"/>
          <w:color w:val="auto"/>
          <w:szCs w:val="21"/>
          <w:highlight w:val="none"/>
        </w:rPr>
      </w:pPr>
      <w:r>
        <w:rPr>
          <w:rFonts w:ascii="宋体" w:hAnsi="宋体" w:cs="宋体"/>
          <w:color w:val="auto"/>
          <w:spacing w:val="5"/>
          <w:szCs w:val="21"/>
          <w:highlight w:val="none"/>
        </w:rPr>
        <w:t>(</w:t>
      </w:r>
      <w:r>
        <w:rPr>
          <w:rFonts w:ascii="宋体" w:hAnsi="宋体" w:cs="宋体"/>
          <w:color w:val="auto"/>
          <w:spacing w:val="4"/>
          <w:szCs w:val="21"/>
          <w:highlight w:val="none"/>
        </w:rPr>
        <w:t>7)  双方约定的其他合同文件。</w:t>
      </w:r>
    </w:p>
    <w:p w14:paraId="73BDF0BC">
      <w:pPr>
        <w:spacing w:line="440" w:lineRule="exact"/>
        <w:ind w:right="14" w:firstLine="422"/>
        <w:rPr>
          <w:rFonts w:ascii="宋体" w:hAnsi="宋体" w:cs="宋体"/>
          <w:color w:val="auto"/>
          <w:szCs w:val="21"/>
          <w:highlight w:val="none"/>
        </w:rPr>
      </w:pPr>
      <w:r>
        <w:rPr>
          <w:rFonts w:ascii="宋体" w:hAnsi="宋体" w:cs="宋体"/>
          <w:color w:val="auto"/>
          <w:spacing w:val="1"/>
          <w:szCs w:val="21"/>
          <w:highlight w:val="none"/>
        </w:rPr>
        <w:t>上述各项合同文件包括双方就该项合同文件所作出的补充和修改，属于同一类内容的合同</w:t>
      </w:r>
      <w:r>
        <w:rPr>
          <w:rFonts w:ascii="宋体" w:hAnsi="宋体" w:cs="宋体"/>
          <w:color w:val="auto"/>
          <w:szCs w:val="21"/>
          <w:highlight w:val="none"/>
        </w:rPr>
        <w:t xml:space="preserve">文件 </w:t>
      </w:r>
      <w:r>
        <w:rPr>
          <w:rFonts w:ascii="宋体" w:hAnsi="宋体" w:cs="宋体"/>
          <w:color w:val="auto"/>
          <w:spacing w:val="-1"/>
          <w:szCs w:val="21"/>
          <w:highlight w:val="none"/>
        </w:rPr>
        <w:t>应以最新签署的为准。专用合同条件及其附件须经</w:t>
      </w:r>
      <w:r>
        <w:rPr>
          <w:rFonts w:ascii="宋体" w:hAnsi="宋体" w:cs="宋体"/>
          <w:color w:val="auto"/>
          <w:szCs w:val="21"/>
          <w:highlight w:val="none"/>
        </w:rPr>
        <w:t>合同当事人签字或盖章。</w:t>
      </w:r>
    </w:p>
    <w:p w14:paraId="40945FF7">
      <w:pPr>
        <w:spacing w:line="440" w:lineRule="exact"/>
        <w:outlineLvl w:val="1"/>
        <w:rPr>
          <w:rFonts w:ascii="宋体" w:hAnsi="宋体" w:cs="宋体"/>
          <w:color w:val="auto"/>
          <w:szCs w:val="21"/>
          <w:highlight w:val="none"/>
        </w:rPr>
      </w:pPr>
      <w:r>
        <w:rPr>
          <w:rFonts w:ascii="宋体" w:hAnsi="宋体" w:cs="宋体"/>
          <w:color w:val="auto"/>
          <w:spacing w:val="-2"/>
          <w:szCs w:val="21"/>
          <w:highlight w:val="none"/>
        </w:rPr>
        <w:t>七</w:t>
      </w:r>
      <w:r>
        <w:rPr>
          <w:rFonts w:ascii="宋体" w:hAnsi="宋体" w:cs="宋体"/>
          <w:color w:val="auto"/>
          <w:spacing w:val="-1"/>
          <w:szCs w:val="21"/>
          <w:highlight w:val="none"/>
        </w:rPr>
        <w:t>、承诺</w:t>
      </w:r>
    </w:p>
    <w:p w14:paraId="4E0DB326">
      <w:pPr>
        <w:spacing w:line="440" w:lineRule="exact"/>
        <w:ind w:left="5" w:firstLine="431"/>
        <w:rPr>
          <w:rFonts w:ascii="宋体" w:hAnsi="宋体" w:cs="宋体"/>
          <w:color w:val="auto"/>
          <w:szCs w:val="21"/>
          <w:highlight w:val="none"/>
        </w:rPr>
      </w:pPr>
      <w:r>
        <w:rPr>
          <w:rFonts w:ascii="宋体" w:hAnsi="宋体" w:cs="宋体"/>
          <w:color w:val="auto"/>
          <w:spacing w:val="-2"/>
          <w:szCs w:val="21"/>
          <w:highlight w:val="none"/>
        </w:rPr>
        <w:t>1. 发包人承诺按照法律规定履行项目审批手续</w:t>
      </w:r>
      <w:r>
        <w:rPr>
          <w:rFonts w:ascii="宋体" w:hAnsi="宋体" w:cs="宋体"/>
          <w:color w:val="auto"/>
          <w:spacing w:val="-1"/>
          <w:szCs w:val="21"/>
          <w:highlight w:val="none"/>
        </w:rPr>
        <w:t>、筹集工程建设资金并按照合同约定的期限和方</w:t>
      </w:r>
      <w:r>
        <w:rPr>
          <w:rFonts w:ascii="宋体" w:hAnsi="宋体" w:cs="宋体"/>
          <w:color w:val="auto"/>
          <w:szCs w:val="21"/>
          <w:highlight w:val="none"/>
        </w:rPr>
        <w:t xml:space="preserve"> </w:t>
      </w:r>
      <w:r>
        <w:rPr>
          <w:rFonts w:ascii="宋体" w:hAnsi="宋体" w:cs="宋体"/>
          <w:color w:val="auto"/>
          <w:spacing w:val="-7"/>
          <w:szCs w:val="21"/>
          <w:highlight w:val="none"/>
        </w:rPr>
        <w:t>式</w:t>
      </w:r>
      <w:r>
        <w:rPr>
          <w:rFonts w:ascii="宋体" w:hAnsi="宋体" w:cs="宋体"/>
          <w:color w:val="auto"/>
          <w:spacing w:val="-4"/>
          <w:szCs w:val="21"/>
          <w:highlight w:val="none"/>
        </w:rPr>
        <w:t>支付合同价款。</w:t>
      </w:r>
    </w:p>
    <w:p w14:paraId="110AE0C5">
      <w:pPr>
        <w:spacing w:line="440" w:lineRule="exact"/>
        <w:ind w:firstLine="423"/>
        <w:rPr>
          <w:rFonts w:ascii="宋体" w:hAnsi="宋体" w:cs="宋体"/>
          <w:color w:val="auto"/>
          <w:szCs w:val="21"/>
          <w:highlight w:val="none"/>
        </w:rPr>
      </w:pPr>
      <w:r>
        <w:rPr>
          <w:rFonts w:ascii="宋体" w:hAnsi="宋体" w:cs="宋体"/>
          <w:color w:val="auto"/>
          <w:spacing w:val="-6"/>
          <w:szCs w:val="21"/>
          <w:highlight w:val="none"/>
        </w:rPr>
        <w:t>2. 承包人承诺</w:t>
      </w:r>
      <w:r>
        <w:rPr>
          <w:rFonts w:ascii="宋体" w:hAnsi="宋体" w:cs="宋体"/>
          <w:color w:val="auto"/>
          <w:spacing w:val="-5"/>
          <w:szCs w:val="21"/>
          <w:highlight w:val="none"/>
        </w:rPr>
        <w:t>按</w:t>
      </w:r>
      <w:r>
        <w:rPr>
          <w:rFonts w:ascii="宋体" w:hAnsi="宋体" w:cs="宋体"/>
          <w:color w:val="auto"/>
          <w:spacing w:val="-3"/>
          <w:szCs w:val="21"/>
          <w:highlight w:val="none"/>
        </w:rPr>
        <w:t>照法律规定及合同约定组织完成工程的设计、采购和施工等工作， 确保工程质</w:t>
      </w:r>
      <w:r>
        <w:rPr>
          <w:rFonts w:ascii="宋体" w:hAnsi="宋体" w:cs="宋体"/>
          <w:color w:val="auto"/>
          <w:szCs w:val="21"/>
          <w:highlight w:val="none"/>
        </w:rPr>
        <w:t xml:space="preserve"> </w:t>
      </w:r>
      <w:r>
        <w:rPr>
          <w:rFonts w:ascii="宋体" w:hAnsi="宋体" w:cs="宋体"/>
          <w:color w:val="auto"/>
          <w:spacing w:val="-1"/>
          <w:szCs w:val="21"/>
          <w:highlight w:val="none"/>
        </w:rPr>
        <w:t>量和安全，不进行转包及违法分包，并在缺</w:t>
      </w:r>
      <w:r>
        <w:rPr>
          <w:rFonts w:ascii="宋体" w:hAnsi="宋体" w:cs="宋体"/>
          <w:color w:val="auto"/>
          <w:szCs w:val="21"/>
          <w:highlight w:val="none"/>
        </w:rPr>
        <w:t>陷责任期及保修期内承担相应的工程维修责任。</w:t>
      </w:r>
    </w:p>
    <w:p w14:paraId="06CC5A6C">
      <w:pPr>
        <w:spacing w:line="440" w:lineRule="exact"/>
        <w:ind w:left="4"/>
        <w:outlineLvl w:val="1"/>
        <w:rPr>
          <w:rFonts w:ascii="宋体" w:hAnsi="宋体" w:cs="宋体"/>
          <w:color w:val="auto"/>
          <w:szCs w:val="21"/>
          <w:highlight w:val="none"/>
        </w:rPr>
      </w:pPr>
      <w:r>
        <w:rPr>
          <w:rFonts w:ascii="宋体" w:hAnsi="宋体" w:cs="宋体"/>
          <w:color w:val="auto"/>
          <w:spacing w:val="-2"/>
          <w:szCs w:val="21"/>
          <w:highlight w:val="none"/>
        </w:rPr>
        <w:t>八、</w:t>
      </w:r>
      <w:r>
        <w:rPr>
          <w:rFonts w:ascii="宋体" w:hAnsi="宋体" w:cs="宋体"/>
          <w:color w:val="auto"/>
          <w:spacing w:val="-1"/>
          <w:szCs w:val="21"/>
          <w:highlight w:val="none"/>
        </w:rPr>
        <w:t>订立时间</w:t>
      </w:r>
    </w:p>
    <w:p w14:paraId="76935192">
      <w:pPr>
        <w:spacing w:line="440" w:lineRule="exact"/>
        <w:ind w:left="422"/>
        <w:rPr>
          <w:rFonts w:ascii="宋体" w:hAnsi="宋体" w:cs="宋体"/>
          <w:color w:val="auto"/>
          <w:szCs w:val="21"/>
          <w:highlight w:val="none"/>
        </w:rPr>
      </w:pPr>
      <w:r>
        <w:rPr>
          <w:rFonts w:ascii="宋体" w:hAnsi="宋体" w:cs="宋体"/>
          <w:color w:val="auto"/>
          <w:spacing w:val="-8"/>
          <w:szCs w:val="21"/>
          <w:highlight w:val="none"/>
        </w:rPr>
        <w:t>本</w:t>
      </w:r>
      <w:r>
        <w:rPr>
          <w:rFonts w:ascii="宋体" w:hAnsi="宋体" w:cs="宋体"/>
          <w:color w:val="auto"/>
          <w:spacing w:val="-5"/>
          <w:szCs w:val="21"/>
          <w:highlight w:val="none"/>
        </w:rPr>
        <w:t>合</w:t>
      </w:r>
      <w:r>
        <w:rPr>
          <w:rFonts w:ascii="宋体" w:hAnsi="宋体" w:cs="宋体"/>
          <w:color w:val="auto"/>
          <w:spacing w:val="-4"/>
          <w:szCs w:val="21"/>
          <w:highlight w:val="none"/>
        </w:rPr>
        <w:t>同于</w:t>
      </w:r>
      <w:r>
        <w:rPr>
          <w:rFonts w:ascii="宋体" w:hAnsi="宋体" w:cs="宋体"/>
          <w:color w:val="auto"/>
          <w:spacing w:val="-4"/>
          <w:szCs w:val="21"/>
          <w:highlight w:val="none"/>
          <w:u w:val="single"/>
        </w:rPr>
        <w:t xml:space="preserve">        </w:t>
      </w:r>
      <w:r>
        <w:rPr>
          <w:rFonts w:ascii="宋体" w:hAnsi="宋体" w:cs="宋体"/>
          <w:color w:val="auto"/>
          <w:spacing w:val="-4"/>
          <w:szCs w:val="21"/>
          <w:highlight w:val="none"/>
        </w:rPr>
        <w:t xml:space="preserve"> 年</w:t>
      </w:r>
      <w:r>
        <w:rPr>
          <w:rFonts w:ascii="宋体" w:hAnsi="宋体" w:cs="宋体"/>
          <w:color w:val="auto"/>
          <w:spacing w:val="-4"/>
          <w:szCs w:val="21"/>
          <w:highlight w:val="none"/>
          <w:u w:val="single"/>
        </w:rPr>
        <w:t xml:space="preserve">     </w:t>
      </w:r>
      <w:r>
        <w:rPr>
          <w:rFonts w:ascii="宋体" w:hAnsi="宋体" w:cs="宋体"/>
          <w:color w:val="auto"/>
          <w:spacing w:val="-4"/>
          <w:szCs w:val="21"/>
          <w:highlight w:val="none"/>
        </w:rPr>
        <w:t>月</w:t>
      </w:r>
      <w:r>
        <w:rPr>
          <w:rFonts w:ascii="宋体" w:hAnsi="宋体" w:cs="宋体"/>
          <w:color w:val="auto"/>
          <w:spacing w:val="-4"/>
          <w:szCs w:val="21"/>
          <w:highlight w:val="none"/>
          <w:u w:val="single"/>
        </w:rPr>
        <w:t xml:space="preserve">     </w:t>
      </w:r>
      <w:r>
        <w:rPr>
          <w:rFonts w:ascii="宋体" w:hAnsi="宋体" w:cs="宋体"/>
          <w:color w:val="auto"/>
          <w:spacing w:val="-4"/>
          <w:szCs w:val="21"/>
          <w:highlight w:val="none"/>
        </w:rPr>
        <w:t>日订立。</w:t>
      </w:r>
    </w:p>
    <w:p w14:paraId="7DCA5A5E">
      <w:pPr>
        <w:spacing w:line="440" w:lineRule="exact"/>
        <w:ind w:left="5"/>
        <w:outlineLvl w:val="1"/>
        <w:rPr>
          <w:rFonts w:ascii="宋体" w:hAnsi="宋体" w:cs="宋体"/>
          <w:color w:val="auto"/>
          <w:szCs w:val="21"/>
          <w:highlight w:val="none"/>
        </w:rPr>
      </w:pPr>
      <w:r>
        <w:rPr>
          <w:rFonts w:ascii="宋体" w:hAnsi="宋体" w:cs="宋体"/>
          <w:color w:val="auto"/>
          <w:spacing w:val="-2"/>
          <w:szCs w:val="21"/>
          <w:highlight w:val="none"/>
        </w:rPr>
        <w:t>九、订立地点</w:t>
      </w:r>
    </w:p>
    <w:p w14:paraId="77276100">
      <w:pPr>
        <w:spacing w:line="440" w:lineRule="exact"/>
        <w:ind w:left="422"/>
        <w:rPr>
          <w:rFonts w:ascii="宋体" w:hAnsi="宋体" w:cs="宋体"/>
          <w:color w:val="auto"/>
          <w:szCs w:val="21"/>
          <w:highlight w:val="none"/>
        </w:rPr>
      </w:pPr>
      <w:r>
        <w:rPr>
          <w:rFonts w:ascii="宋体" w:hAnsi="宋体" w:cs="宋体"/>
          <w:color w:val="auto"/>
          <w:spacing w:val="-4"/>
          <w:szCs w:val="21"/>
          <w:highlight w:val="none"/>
        </w:rPr>
        <w:t>本合同在</w:t>
      </w:r>
      <w:r>
        <w:rPr>
          <w:rFonts w:ascii="宋体" w:hAnsi="宋体" w:cs="宋体"/>
          <w:color w:val="auto"/>
          <w:spacing w:val="-4"/>
          <w:szCs w:val="21"/>
          <w:highlight w:val="none"/>
          <w:u w:val="single"/>
        </w:rPr>
        <w:t xml:space="preserve">                        </w:t>
      </w:r>
      <w:r>
        <w:rPr>
          <w:rFonts w:ascii="宋体" w:hAnsi="宋体" w:cs="宋体"/>
          <w:color w:val="auto"/>
          <w:spacing w:val="-4"/>
          <w:szCs w:val="21"/>
          <w:highlight w:val="none"/>
        </w:rPr>
        <w:t xml:space="preserve"> 订立</w:t>
      </w:r>
      <w:r>
        <w:rPr>
          <w:rFonts w:ascii="宋体" w:hAnsi="宋体" w:cs="宋体"/>
          <w:color w:val="auto"/>
          <w:spacing w:val="-2"/>
          <w:szCs w:val="21"/>
          <w:highlight w:val="none"/>
        </w:rPr>
        <w:t>。</w:t>
      </w:r>
    </w:p>
    <w:p w14:paraId="508746FC">
      <w:pPr>
        <w:spacing w:line="440" w:lineRule="exact"/>
        <w:ind w:left="1"/>
        <w:outlineLvl w:val="1"/>
        <w:rPr>
          <w:rFonts w:ascii="宋体" w:hAnsi="宋体" w:cs="宋体"/>
          <w:color w:val="auto"/>
          <w:szCs w:val="21"/>
          <w:highlight w:val="none"/>
        </w:rPr>
      </w:pPr>
      <w:r>
        <w:rPr>
          <w:rFonts w:ascii="宋体" w:hAnsi="宋体" w:cs="宋体"/>
          <w:color w:val="auto"/>
          <w:spacing w:val="-1"/>
          <w:szCs w:val="21"/>
          <w:highlight w:val="none"/>
        </w:rPr>
        <w:t>十、合同生效</w:t>
      </w:r>
    </w:p>
    <w:p w14:paraId="7F89A39D">
      <w:pPr>
        <w:spacing w:line="440" w:lineRule="exact"/>
        <w:ind w:left="422"/>
        <w:rPr>
          <w:rFonts w:ascii="宋体" w:hAnsi="宋体" w:cs="宋体"/>
          <w:color w:val="auto"/>
          <w:szCs w:val="21"/>
          <w:highlight w:val="none"/>
        </w:rPr>
      </w:pPr>
      <w:r>
        <w:rPr>
          <w:rFonts w:ascii="宋体" w:hAnsi="宋体" w:cs="宋体"/>
          <w:color w:val="auto"/>
          <w:spacing w:val="-1"/>
          <w:szCs w:val="21"/>
          <w:highlight w:val="none"/>
        </w:rPr>
        <w:t>本合同经</w:t>
      </w:r>
      <w:r>
        <w:rPr>
          <w:rFonts w:hint="eastAsia" w:ascii="宋体" w:hAnsi="宋体" w:cs="宋体"/>
          <w:color w:val="auto"/>
          <w:spacing w:val="-1"/>
          <w:szCs w:val="21"/>
          <w:highlight w:val="none"/>
          <w:u w:val="single"/>
          <w:lang w:val="en-US" w:eastAsia="zh-CN"/>
        </w:rPr>
        <w:t xml:space="preserve">   </w:t>
      </w:r>
      <w:r>
        <w:rPr>
          <w:rFonts w:ascii="宋体" w:hAnsi="宋体" w:cs="宋体"/>
          <w:color w:val="auto"/>
          <w:spacing w:val="-1"/>
          <w:szCs w:val="21"/>
          <w:highlight w:val="none"/>
          <w:u w:val="single"/>
        </w:rPr>
        <w:t>双方签字盖章后</w:t>
      </w:r>
      <w:r>
        <w:rPr>
          <w:rFonts w:ascii="宋体" w:hAnsi="宋体" w:cs="宋体"/>
          <w:color w:val="auto"/>
          <w:szCs w:val="21"/>
          <w:highlight w:val="none"/>
          <w:u w:val="single"/>
        </w:rPr>
        <w:t xml:space="preserve">   </w:t>
      </w:r>
      <w:r>
        <w:rPr>
          <w:rFonts w:ascii="宋体" w:hAnsi="宋体" w:cs="宋体"/>
          <w:color w:val="auto"/>
          <w:szCs w:val="21"/>
          <w:highlight w:val="none"/>
        </w:rPr>
        <w:t>生效。</w:t>
      </w:r>
    </w:p>
    <w:p w14:paraId="331E90E6">
      <w:pPr>
        <w:spacing w:line="440" w:lineRule="exact"/>
        <w:ind w:left="1"/>
        <w:outlineLvl w:val="1"/>
        <w:rPr>
          <w:rFonts w:ascii="宋体" w:hAnsi="宋体" w:cs="宋体"/>
          <w:color w:val="auto"/>
          <w:szCs w:val="21"/>
          <w:highlight w:val="none"/>
        </w:rPr>
      </w:pPr>
      <w:r>
        <w:rPr>
          <w:rFonts w:ascii="宋体" w:hAnsi="宋体" w:cs="宋体"/>
          <w:color w:val="auto"/>
          <w:spacing w:val="-1"/>
          <w:szCs w:val="21"/>
          <w:highlight w:val="none"/>
        </w:rPr>
        <w:t>十一、合同份</w:t>
      </w:r>
      <w:r>
        <w:rPr>
          <w:rFonts w:ascii="宋体" w:hAnsi="宋体" w:cs="宋体"/>
          <w:color w:val="auto"/>
          <w:szCs w:val="21"/>
          <w:highlight w:val="none"/>
        </w:rPr>
        <w:t>数</w:t>
      </w:r>
    </w:p>
    <w:p w14:paraId="799FD791">
      <w:pPr>
        <w:spacing w:line="440" w:lineRule="exact"/>
        <w:ind w:left="422"/>
        <w:rPr>
          <w:rFonts w:ascii="宋体" w:hAnsi="宋体" w:cs="宋体"/>
          <w:color w:val="auto"/>
          <w:szCs w:val="21"/>
          <w:highlight w:val="none"/>
        </w:rPr>
      </w:pPr>
      <w:r>
        <w:rPr>
          <w:rFonts w:ascii="宋体" w:hAnsi="宋体" w:cs="宋体"/>
          <w:color w:val="auto"/>
          <w:spacing w:val="-1"/>
          <w:szCs w:val="21"/>
          <w:highlight w:val="none"/>
        </w:rPr>
        <w:t>本合同一式</w:t>
      </w:r>
      <w:r>
        <w:rPr>
          <w:rFonts w:ascii="宋体" w:hAnsi="宋体" w:cs="宋体"/>
          <w:color w:val="auto"/>
          <w:spacing w:val="-1"/>
          <w:szCs w:val="21"/>
          <w:highlight w:val="none"/>
          <w:u w:val="single"/>
        </w:rPr>
        <w:t xml:space="preserve">   </w:t>
      </w:r>
      <w:r>
        <w:rPr>
          <w:rFonts w:ascii="宋体" w:hAnsi="宋体" w:cs="宋体"/>
          <w:color w:val="auto"/>
          <w:spacing w:val="-1"/>
          <w:szCs w:val="21"/>
          <w:highlight w:val="none"/>
        </w:rPr>
        <w:t xml:space="preserve"> 份，均</w:t>
      </w:r>
      <w:r>
        <w:rPr>
          <w:rFonts w:ascii="宋体" w:hAnsi="宋体" w:cs="宋体"/>
          <w:color w:val="auto"/>
          <w:szCs w:val="21"/>
          <w:highlight w:val="none"/>
        </w:rPr>
        <w:t>具有同等法律效力，发包人执</w:t>
      </w:r>
      <w:r>
        <w:rPr>
          <w:rFonts w:ascii="宋体" w:hAnsi="宋体" w:cs="宋体"/>
          <w:color w:val="auto"/>
          <w:szCs w:val="21"/>
          <w:highlight w:val="none"/>
          <w:u w:val="single"/>
        </w:rPr>
        <w:t xml:space="preserve">   </w:t>
      </w:r>
      <w:r>
        <w:rPr>
          <w:rFonts w:ascii="宋体" w:hAnsi="宋体" w:cs="宋体"/>
          <w:color w:val="auto"/>
          <w:szCs w:val="21"/>
          <w:highlight w:val="none"/>
        </w:rPr>
        <w:t xml:space="preserve"> 份，承包人执</w:t>
      </w:r>
      <w:r>
        <w:rPr>
          <w:rFonts w:ascii="宋体" w:hAnsi="宋体" w:cs="宋体"/>
          <w:color w:val="auto"/>
          <w:szCs w:val="21"/>
          <w:highlight w:val="none"/>
          <w:u w:val="single"/>
        </w:rPr>
        <w:t xml:space="preserve">   </w:t>
      </w:r>
      <w:r>
        <w:rPr>
          <w:rFonts w:ascii="宋体" w:hAnsi="宋体" w:cs="宋体"/>
          <w:color w:val="auto"/>
          <w:szCs w:val="21"/>
          <w:highlight w:val="none"/>
        </w:rPr>
        <w:t xml:space="preserve"> 份。</w:t>
      </w:r>
    </w:p>
    <w:p w14:paraId="363C4EB8">
      <w:pPr>
        <w:rPr>
          <w:color w:val="auto"/>
          <w:highlight w:val="none"/>
        </w:rPr>
      </w:pPr>
    </w:p>
    <w:p w14:paraId="5595BE12">
      <w:pPr>
        <w:spacing w:line="94" w:lineRule="exact"/>
        <w:rPr>
          <w:color w:val="auto"/>
          <w:highlight w:val="none"/>
        </w:rPr>
      </w:pPr>
    </w:p>
    <w:p w14:paraId="7AB15DB2">
      <w:pPr>
        <w:rPr>
          <w:color w:val="auto"/>
          <w:highlight w:val="none"/>
        </w:rPr>
        <w:sectPr>
          <w:footerReference r:id="rId9" w:type="default"/>
          <w:pgSz w:w="11910" w:h="16845"/>
          <w:pgMar w:top="1128" w:right="1403" w:bottom="1220" w:left="1419" w:header="0" w:footer="1006" w:gutter="0"/>
          <w:pgNumType w:fmt="decimal"/>
          <w:cols w:space="720" w:num="1"/>
        </w:sectPr>
      </w:pPr>
    </w:p>
    <w:p w14:paraId="66E18F22">
      <w:pPr>
        <w:spacing w:before="42" w:line="185" w:lineRule="auto"/>
        <w:ind w:left="289"/>
        <w:rPr>
          <w:rFonts w:ascii="宋体" w:hAnsi="宋体" w:cs="宋体"/>
          <w:color w:val="auto"/>
          <w:szCs w:val="21"/>
          <w:highlight w:val="none"/>
        </w:rPr>
      </w:pPr>
      <w:r>
        <w:rPr>
          <w:rFonts w:ascii="宋体" w:hAnsi="宋体" w:cs="宋体"/>
          <w:color w:val="auto"/>
          <w:spacing w:val="-3"/>
          <w:szCs w:val="21"/>
          <w:highlight w:val="none"/>
        </w:rPr>
        <w:t>发包人：(公章)</w:t>
      </w:r>
    </w:p>
    <w:p w14:paraId="262750C4">
      <w:pPr>
        <w:spacing w:line="14" w:lineRule="auto"/>
        <w:rPr>
          <w:rFonts w:ascii="Arial"/>
          <w:color w:val="auto"/>
          <w:sz w:val="2"/>
          <w:highlight w:val="none"/>
        </w:rPr>
      </w:pPr>
      <w:r>
        <w:rPr>
          <w:rFonts w:ascii="Arial" w:hAnsi="Arial" w:eastAsia="Arial" w:cs="Arial"/>
          <w:color w:val="auto"/>
          <w:sz w:val="2"/>
          <w:szCs w:val="2"/>
          <w:highlight w:val="none"/>
        </w:rPr>
        <w:br w:type="column"/>
      </w:r>
    </w:p>
    <w:p w14:paraId="159D43BA">
      <w:pPr>
        <w:spacing w:before="41" w:line="185" w:lineRule="auto"/>
        <w:rPr>
          <w:rFonts w:ascii="宋体" w:hAnsi="宋体" w:cs="宋体"/>
          <w:color w:val="auto"/>
          <w:szCs w:val="21"/>
          <w:highlight w:val="none"/>
        </w:rPr>
      </w:pPr>
      <w:r>
        <w:rPr>
          <w:rFonts w:ascii="宋体" w:hAnsi="宋体" w:cs="宋体"/>
          <w:color w:val="auto"/>
          <w:spacing w:val="-4"/>
          <w:szCs w:val="21"/>
          <w:highlight w:val="none"/>
        </w:rPr>
        <w:t>承包</w:t>
      </w:r>
      <w:r>
        <w:rPr>
          <w:rFonts w:ascii="宋体" w:hAnsi="宋体" w:cs="宋体"/>
          <w:color w:val="auto"/>
          <w:spacing w:val="-2"/>
          <w:szCs w:val="21"/>
          <w:highlight w:val="none"/>
        </w:rPr>
        <w:t>人：(公章)</w:t>
      </w:r>
    </w:p>
    <w:p w14:paraId="3F10EDA1">
      <w:pPr>
        <w:rPr>
          <w:color w:val="auto"/>
          <w:highlight w:val="none"/>
        </w:rPr>
        <w:sectPr>
          <w:type w:val="continuous"/>
          <w:pgSz w:w="11910" w:h="16845"/>
          <w:pgMar w:top="1128" w:right="1403" w:bottom="1220" w:left="1419" w:header="0" w:footer="1006" w:gutter="0"/>
          <w:pgNumType w:fmt="decimal"/>
          <w:cols w:equalWidth="0" w:num="2">
            <w:col w:w="4707" w:space="100"/>
            <w:col w:w="4281"/>
          </w:cols>
        </w:sectPr>
      </w:pPr>
    </w:p>
    <w:p w14:paraId="23B98166">
      <w:pPr>
        <w:rPr>
          <w:color w:val="auto"/>
          <w:highlight w:val="none"/>
        </w:rPr>
      </w:pPr>
    </w:p>
    <w:p w14:paraId="5EB3A4E0">
      <w:pPr>
        <w:rPr>
          <w:color w:val="auto"/>
          <w:highlight w:val="none"/>
        </w:rPr>
        <w:sectPr>
          <w:type w:val="continuous"/>
          <w:pgSz w:w="11910" w:h="16845"/>
          <w:pgMar w:top="1128" w:right="1403" w:bottom="1220" w:left="1419" w:header="0" w:footer="1006" w:gutter="0"/>
          <w:pgNumType w:fmt="decimal"/>
          <w:cols w:space="720" w:num="1"/>
        </w:sectPr>
      </w:pPr>
    </w:p>
    <w:p w14:paraId="66ABDEE3">
      <w:pPr>
        <w:spacing w:before="42" w:line="450" w:lineRule="exact"/>
        <w:ind w:left="286"/>
        <w:rPr>
          <w:rFonts w:ascii="宋体" w:hAnsi="宋体" w:cs="宋体"/>
          <w:color w:val="auto"/>
          <w:szCs w:val="21"/>
          <w:highlight w:val="none"/>
        </w:rPr>
      </w:pPr>
      <w:r>
        <w:rPr>
          <w:rFonts w:ascii="宋体" w:hAnsi="宋体" w:cs="宋体"/>
          <w:color w:val="auto"/>
          <w:spacing w:val="-6"/>
          <w:position w:val="18"/>
          <w:szCs w:val="21"/>
          <w:highlight w:val="none"/>
        </w:rPr>
        <w:t>法定代</w:t>
      </w:r>
      <w:r>
        <w:rPr>
          <w:rFonts w:ascii="宋体" w:hAnsi="宋体" w:cs="宋体"/>
          <w:color w:val="auto"/>
          <w:spacing w:val="-3"/>
          <w:position w:val="18"/>
          <w:szCs w:val="21"/>
          <w:highlight w:val="none"/>
        </w:rPr>
        <w:t>表人或其委托代理人：</w:t>
      </w:r>
    </w:p>
    <w:p w14:paraId="4B453B98">
      <w:pPr>
        <w:spacing w:before="1" w:line="184" w:lineRule="auto"/>
        <w:ind w:left="291"/>
        <w:rPr>
          <w:rFonts w:ascii="宋体" w:hAnsi="宋体" w:cs="宋体"/>
          <w:color w:val="auto"/>
          <w:szCs w:val="21"/>
          <w:highlight w:val="none"/>
        </w:rPr>
      </w:pPr>
      <w:r>
        <w:rPr>
          <w:rFonts w:ascii="宋体" w:hAnsi="宋体" w:cs="宋体"/>
          <w:color w:val="auto"/>
          <w:spacing w:val="21"/>
          <w:szCs w:val="21"/>
          <w:highlight w:val="none"/>
        </w:rPr>
        <w:t>(</w:t>
      </w:r>
      <w:r>
        <w:rPr>
          <w:rFonts w:ascii="宋体" w:hAnsi="宋体" w:cs="宋体"/>
          <w:color w:val="auto"/>
          <w:spacing w:val="19"/>
          <w:szCs w:val="21"/>
          <w:highlight w:val="none"/>
        </w:rPr>
        <w:t>签字)</w:t>
      </w:r>
    </w:p>
    <w:p w14:paraId="73076402">
      <w:pPr>
        <w:spacing w:line="14" w:lineRule="auto"/>
        <w:rPr>
          <w:rFonts w:ascii="Arial"/>
          <w:color w:val="auto"/>
          <w:sz w:val="2"/>
          <w:highlight w:val="none"/>
        </w:rPr>
      </w:pPr>
      <w:r>
        <w:rPr>
          <w:rFonts w:ascii="Arial" w:hAnsi="Arial" w:eastAsia="Arial" w:cs="Arial"/>
          <w:color w:val="auto"/>
          <w:sz w:val="2"/>
          <w:szCs w:val="2"/>
          <w:highlight w:val="none"/>
        </w:rPr>
        <w:br w:type="column"/>
      </w:r>
    </w:p>
    <w:p w14:paraId="105A3C29">
      <w:pPr>
        <w:spacing w:before="40" w:line="451" w:lineRule="exact"/>
        <w:rPr>
          <w:rFonts w:ascii="宋体" w:hAnsi="宋体" w:cs="宋体"/>
          <w:color w:val="auto"/>
          <w:szCs w:val="21"/>
          <w:highlight w:val="none"/>
        </w:rPr>
      </w:pPr>
      <w:r>
        <w:rPr>
          <w:rFonts w:ascii="宋体" w:hAnsi="宋体" w:cs="宋体"/>
          <w:color w:val="auto"/>
          <w:spacing w:val="-6"/>
          <w:position w:val="18"/>
          <w:szCs w:val="21"/>
          <w:highlight w:val="none"/>
        </w:rPr>
        <w:t>法定代</w:t>
      </w:r>
      <w:r>
        <w:rPr>
          <w:rFonts w:ascii="宋体" w:hAnsi="宋体" w:cs="宋体"/>
          <w:color w:val="auto"/>
          <w:spacing w:val="-3"/>
          <w:position w:val="18"/>
          <w:szCs w:val="21"/>
          <w:highlight w:val="none"/>
        </w:rPr>
        <w:t>表人或其委托代理人：</w:t>
      </w:r>
    </w:p>
    <w:p w14:paraId="60CF8866">
      <w:pPr>
        <w:spacing w:line="184" w:lineRule="auto"/>
        <w:ind w:left="4"/>
        <w:rPr>
          <w:rFonts w:ascii="宋体" w:hAnsi="宋体" w:cs="宋体"/>
          <w:color w:val="auto"/>
          <w:szCs w:val="21"/>
          <w:highlight w:val="none"/>
        </w:rPr>
      </w:pPr>
      <w:r>
        <w:rPr>
          <w:rFonts w:ascii="宋体" w:hAnsi="宋体" w:cs="宋体"/>
          <w:color w:val="auto"/>
          <w:spacing w:val="21"/>
          <w:szCs w:val="21"/>
          <w:highlight w:val="none"/>
        </w:rPr>
        <w:t>(</w:t>
      </w:r>
      <w:r>
        <w:rPr>
          <w:rFonts w:ascii="宋体" w:hAnsi="宋体" w:cs="宋体"/>
          <w:color w:val="auto"/>
          <w:spacing w:val="19"/>
          <w:szCs w:val="21"/>
          <w:highlight w:val="none"/>
        </w:rPr>
        <w:t>签字)</w:t>
      </w:r>
    </w:p>
    <w:p w14:paraId="72759FAB">
      <w:pPr>
        <w:rPr>
          <w:color w:val="auto"/>
          <w:highlight w:val="none"/>
        </w:rPr>
        <w:sectPr>
          <w:type w:val="continuous"/>
          <w:pgSz w:w="11910" w:h="16845"/>
          <w:pgMar w:top="1128" w:right="1403" w:bottom="1220" w:left="1419" w:header="0" w:footer="1006" w:gutter="0"/>
          <w:pgNumType w:fmt="decimal"/>
          <w:cols w:equalWidth="0" w:num="2">
            <w:col w:w="4708" w:space="100"/>
            <w:col w:w="4280"/>
          </w:cols>
        </w:sectPr>
      </w:pPr>
    </w:p>
    <w:p w14:paraId="6351913C">
      <w:pPr>
        <w:rPr>
          <w:color w:val="auto"/>
          <w:highlight w:val="none"/>
        </w:rPr>
      </w:pPr>
    </w:p>
    <w:p w14:paraId="68B46DD6">
      <w:pPr>
        <w:tabs>
          <w:tab w:val="left" w:pos="4410"/>
        </w:tabs>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组织机构代码：</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组织机构代码：</w:t>
      </w:r>
      <w:r>
        <w:rPr>
          <w:rFonts w:hint="eastAsia" w:ascii="宋体" w:hAnsi="宋体" w:cs="宋体"/>
          <w:color w:val="auto"/>
          <w:szCs w:val="21"/>
          <w:highlight w:val="none"/>
          <w:u w:val="single"/>
        </w:rPr>
        <w:t>            </w:t>
      </w:r>
      <w:r>
        <w:rPr>
          <w:rFonts w:hint="eastAsia" w:ascii="宋体" w:hAnsi="宋体" w:cs="宋体"/>
          <w:color w:val="auto"/>
          <w:szCs w:val="21"/>
          <w:highlight w:val="none"/>
        </w:rPr>
        <w:t xml:space="preserve"> </w:t>
      </w:r>
    </w:p>
    <w:p w14:paraId="6FC4FED9">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地  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地  址：</w:t>
      </w:r>
      <w:r>
        <w:rPr>
          <w:rFonts w:hint="eastAsia" w:ascii="宋体" w:hAnsi="宋体" w:cs="宋体"/>
          <w:color w:val="auto"/>
          <w:szCs w:val="21"/>
          <w:highlight w:val="none"/>
          <w:u w:val="single"/>
        </w:rPr>
        <w:t xml:space="preserve">                    </w:t>
      </w:r>
    </w:p>
    <w:p w14:paraId="030766AB">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邮政编码：</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邮政编码：</w:t>
      </w:r>
      <w:r>
        <w:rPr>
          <w:rFonts w:hint="eastAsia" w:ascii="宋体" w:hAnsi="宋体" w:cs="宋体"/>
          <w:color w:val="auto"/>
          <w:szCs w:val="21"/>
          <w:highlight w:val="none"/>
          <w:u w:val="single"/>
        </w:rPr>
        <w:t xml:space="preserve">                    </w:t>
      </w:r>
    </w:p>
    <w:p w14:paraId="00B51F12">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法定代表人：</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法定代表人：</w:t>
      </w:r>
      <w:r>
        <w:rPr>
          <w:rFonts w:hint="eastAsia" w:ascii="宋体" w:hAnsi="宋体" w:cs="宋体"/>
          <w:color w:val="auto"/>
          <w:szCs w:val="21"/>
          <w:highlight w:val="none"/>
          <w:u w:val="single"/>
        </w:rPr>
        <w:t xml:space="preserve">              </w:t>
      </w:r>
    </w:p>
    <w:p w14:paraId="5D60D365">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委托代理人：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委托代理人：</w:t>
      </w:r>
      <w:r>
        <w:rPr>
          <w:rFonts w:hint="eastAsia" w:ascii="宋体" w:hAnsi="宋体" w:cs="宋体"/>
          <w:color w:val="auto"/>
          <w:szCs w:val="21"/>
          <w:highlight w:val="none"/>
          <w:u w:val="single"/>
        </w:rPr>
        <w:t xml:space="preserve">                  </w:t>
      </w:r>
    </w:p>
    <w:p w14:paraId="75D3B4A3">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电  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rPr>
        <w:t xml:space="preserve">                      </w:t>
      </w:r>
    </w:p>
    <w:p w14:paraId="68D20CE7">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传  真：</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传  真：</w:t>
      </w:r>
      <w:r>
        <w:rPr>
          <w:rFonts w:hint="eastAsia" w:ascii="宋体" w:hAnsi="宋体" w:cs="宋体"/>
          <w:color w:val="auto"/>
          <w:szCs w:val="21"/>
          <w:highlight w:val="none"/>
          <w:u w:val="single"/>
        </w:rPr>
        <w:t xml:space="preserve">                    </w:t>
      </w:r>
    </w:p>
    <w:p w14:paraId="74412F1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电子信箱：</w:t>
      </w:r>
      <w:r>
        <w:rPr>
          <w:rFonts w:hint="eastAsia" w:ascii="宋体" w:hAnsi="宋体" w:cs="宋体"/>
          <w:color w:val="auto"/>
          <w:szCs w:val="21"/>
          <w:highlight w:val="none"/>
          <w:u w:val="single"/>
        </w:rPr>
        <w:t xml:space="preserve">                    </w:t>
      </w:r>
    </w:p>
    <w:p w14:paraId="25BB05EF">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开户银行：</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开户银行：</w:t>
      </w:r>
      <w:r>
        <w:rPr>
          <w:rFonts w:hint="eastAsia" w:ascii="宋体" w:hAnsi="宋体" w:cs="宋体"/>
          <w:color w:val="auto"/>
          <w:szCs w:val="21"/>
          <w:highlight w:val="none"/>
          <w:u w:val="single"/>
        </w:rPr>
        <w:t xml:space="preserve">                    </w:t>
      </w:r>
    </w:p>
    <w:p w14:paraId="154417B1">
      <w:pPr>
        <w:ind w:firstLine="420" w:firstLineChars="200"/>
        <w:rPr>
          <w:rFonts w:hint="eastAsia" w:ascii="宋体" w:hAnsi="宋体" w:cs="宋体"/>
          <w:color w:val="auto"/>
          <w:highlight w:val="none"/>
        </w:rPr>
      </w:pPr>
      <w:r>
        <w:rPr>
          <w:rFonts w:hint="eastAsia" w:ascii="宋体" w:hAnsi="宋体" w:cs="宋体"/>
          <w:color w:val="auto"/>
          <w:szCs w:val="21"/>
          <w:highlight w:val="none"/>
        </w:rPr>
        <w:t>账  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账  号：</w:t>
      </w:r>
      <w:r>
        <w:rPr>
          <w:rFonts w:hint="eastAsia" w:ascii="宋体" w:hAnsi="宋体" w:cs="宋体"/>
          <w:color w:val="auto"/>
          <w:szCs w:val="21"/>
          <w:highlight w:val="none"/>
          <w:u w:val="single"/>
        </w:rPr>
        <w:t xml:space="preserve">                      </w:t>
      </w:r>
    </w:p>
    <w:p w14:paraId="3D740C51">
      <w:pPr>
        <w:spacing w:before="199" w:line="185" w:lineRule="auto"/>
        <w:ind w:left="5"/>
        <w:rPr>
          <w:rFonts w:ascii="宋体" w:hAnsi="宋体" w:cs="宋体"/>
          <w:color w:val="auto"/>
          <w:szCs w:val="21"/>
          <w:highlight w:val="none"/>
        </w:rPr>
      </w:pPr>
    </w:p>
    <w:p w14:paraId="4C7A83A8">
      <w:pPr>
        <w:rPr>
          <w:color w:val="auto"/>
          <w:highlight w:val="none"/>
        </w:rPr>
      </w:pPr>
    </w:p>
    <w:p w14:paraId="18DDE222">
      <w:pPr>
        <w:rPr>
          <w:color w:val="auto"/>
          <w:highlight w:val="none"/>
        </w:rPr>
      </w:pPr>
    </w:p>
    <w:p w14:paraId="5087B12D">
      <w:pPr>
        <w:rPr>
          <w:color w:val="auto"/>
          <w:highlight w:val="none"/>
        </w:rPr>
      </w:pPr>
    </w:p>
    <w:p w14:paraId="229A654B">
      <w:pPr>
        <w:rPr>
          <w:color w:val="auto"/>
          <w:highlight w:val="none"/>
        </w:rPr>
      </w:pPr>
    </w:p>
    <w:p w14:paraId="4ADCA20B">
      <w:pPr>
        <w:rPr>
          <w:color w:val="auto"/>
          <w:highlight w:val="none"/>
        </w:rPr>
      </w:pPr>
    </w:p>
    <w:p w14:paraId="3E09BBEC">
      <w:pPr>
        <w:rPr>
          <w:color w:val="auto"/>
          <w:highlight w:val="none"/>
        </w:rPr>
      </w:pPr>
    </w:p>
    <w:p w14:paraId="03F2765F">
      <w:pPr>
        <w:rPr>
          <w:color w:val="auto"/>
          <w:highlight w:val="none"/>
        </w:rPr>
      </w:pPr>
    </w:p>
    <w:p w14:paraId="3D96D72A">
      <w:pPr>
        <w:rPr>
          <w:color w:val="auto"/>
          <w:highlight w:val="none"/>
        </w:rPr>
      </w:pPr>
    </w:p>
    <w:p w14:paraId="5CE53E10">
      <w:pPr>
        <w:rPr>
          <w:color w:val="auto"/>
          <w:highlight w:val="none"/>
        </w:rPr>
      </w:pPr>
    </w:p>
    <w:p w14:paraId="29826721">
      <w:pPr>
        <w:rPr>
          <w:color w:val="auto"/>
          <w:highlight w:val="none"/>
        </w:rPr>
      </w:pPr>
    </w:p>
    <w:p w14:paraId="7A00E02B">
      <w:pPr>
        <w:rPr>
          <w:color w:val="auto"/>
          <w:highlight w:val="none"/>
        </w:rPr>
      </w:pPr>
    </w:p>
    <w:p w14:paraId="06522B4D">
      <w:pPr>
        <w:rPr>
          <w:color w:val="auto"/>
          <w:highlight w:val="none"/>
        </w:rPr>
      </w:pPr>
    </w:p>
    <w:p w14:paraId="0B2A4944">
      <w:pPr>
        <w:rPr>
          <w:color w:val="auto"/>
          <w:highlight w:val="none"/>
        </w:rPr>
      </w:pPr>
    </w:p>
    <w:p w14:paraId="18E6E77F">
      <w:pPr>
        <w:rPr>
          <w:color w:val="auto"/>
          <w:highlight w:val="none"/>
        </w:rPr>
      </w:pPr>
    </w:p>
    <w:p w14:paraId="19EC8565">
      <w:pPr>
        <w:rPr>
          <w:color w:val="auto"/>
          <w:highlight w:val="none"/>
        </w:rPr>
      </w:pPr>
    </w:p>
    <w:p w14:paraId="2D6D3CD2">
      <w:pPr>
        <w:rPr>
          <w:color w:val="auto"/>
          <w:highlight w:val="none"/>
        </w:rPr>
      </w:pPr>
    </w:p>
    <w:p w14:paraId="509447ED">
      <w:pPr>
        <w:rPr>
          <w:color w:val="auto"/>
          <w:highlight w:val="none"/>
        </w:rPr>
      </w:pPr>
    </w:p>
    <w:p w14:paraId="277109EA">
      <w:pPr>
        <w:rPr>
          <w:color w:val="auto"/>
          <w:highlight w:val="none"/>
        </w:rPr>
      </w:pPr>
    </w:p>
    <w:p w14:paraId="1ABF8376">
      <w:pPr>
        <w:rPr>
          <w:color w:val="auto"/>
          <w:highlight w:val="none"/>
        </w:rPr>
      </w:pPr>
    </w:p>
    <w:p w14:paraId="47D3E7D2">
      <w:pPr>
        <w:rPr>
          <w:color w:val="auto"/>
          <w:highlight w:val="none"/>
        </w:rPr>
      </w:pPr>
    </w:p>
    <w:p w14:paraId="0434E2EF">
      <w:pPr>
        <w:rPr>
          <w:color w:val="auto"/>
          <w:highlight w:val="none"/>
        </w:rPr>
      </w:pPr>
    </w:p>
    <w:p w14:paraId="4A7E8BDD">
      <w:pPr>
        <w:rPr>
          <w:color w:val="auto"/>
          <w:highlight w:val="none"/>
        </w:rPr>
      </w:pPr>
    </w:p>
    <w:p w14:paraId="239D5FB0">
      <w:pPr>
        <w:rPr>
          <w:color w:val="auto"/>
          <w:highlight w:val="none"/>
        </w:rPr>
      </w:pPr>
    </w:p>
    <w:p w14:paraId="7B561E66">
      <w:pPr>
        <w:rPr>
          <w:color w:val="auto"/>
          <w:highlight w:val="none"/>
        </w:rPr>
      </w:pPr>
    </w:p>
    <w:p w14:paraId="1FF9F885">
      <w:pPr>
        <w:rPr>
          <w:color w:val="auto"/>
          <w:highlight w:val="none"/>
        </w:rPr>
      </w:pPr>
    </w:p>
    <w:p w14:paraId="6635498C">
      <w:pPr>
        <w:rPr>
          <w:color w:val="auto"/>
          <w:highlight w:val="none"/>
        </w:rPr>
      </w:pPr>
    </w:p>
    <w:p w14:paraId="67F11DAD">
      <w:pPr>
        <w:rPr>
          <w:color w:val="auto"/>
          <w:highlight w:val="none"/>
        </w:rPr>
      </w:pPr>
    </w:p>
    <w:p w14:paraId="37E5153B">
      <w:pPr>
        <w:rPr>
          <w:color w:val="auto"/>
          <w:highlight w:val="none"/>
        </w:rPr>
      </w:pPr>
    </w:p>
    <w:p w14:paraId="3702EA51">
      <w:pPr>
        <w:rPr>
          <w:color w:val="auto"/>
          <w:highlight w:val="none"/>
        </w:rPr>
      </w:pPr>
    </w:p>
    <w:p w14:paraId="0CABFEA9">
      <w:pPr>
        <w:rPr>
          <w:color w:val="auto"/>
          <w:highlight w:val="none"/>
        </w:rPr>
      </w:pPr>
    </w:p>
    <w:p w14:paraId="6868D8AB">
      <w:pPr>
        <w:rPr>
          <w:color w:val="auto"/>
          <w:highlight w:val="none"/>
        </w:rPr>
      </w:pPr>
    </w:p>
    <w:p w14:paraId="42B624A0">
      <w:pPr>
        <w:rPr>
          <w:color w:val="auto"/>
          <w:highlight w:val="none"/>
        </w:rPr>
      </w:pPr>
    </w:p>
    <w:p w14:paraId="766AA005">
      <w:pPr>
        <w:rPr>
          <w:color w:val="auto"/>
          <w:highlight w:val="none"/>
        </w:rPr>
      </w:pPr>
    </w:p>
    <w:p w14:paraId="1EA563CD">
      <w:pPr>
        <w:rPr>
          <w:color w:val="auto"/>
          <w:highlight w:val="none"/>
        </w:rPr>
      </w:pPr>
    </w:p>
    <w:p w14:paraId="3F3F6A32">
      <w:pPr>
        <w:rPr>
          <w:color w:val="auto"/>
          <w:highlight w:val="none"/>
        </w:rPr>
      </w:pPr>
    </w:p>
    <w:p w14:paraId="64988F5C">
      <w:pPr>
        <w:rPr>
          <w:color w:val="auto"/>
          <w:highlight w:val="none"/>
        </w:rPr>
      </w:pPr>
    </w:p>
    <w:p w14:paraId="48AAEA98">
      <w:pPr>
        <w:rPr>
          <w:color w:val="auto"/>
          <w:highlight w:val="none"/>
        </w:rPr>
      </w:pPr>
    </w:p>
    <w:p w14:paraId="00129ECC">
      <w:pPr>
        <w:rPr>
          <w:color w:val="auto"/>
          <w:highlight w:val="none"/>
        </w:rPr>
      </w:pPr>
    </w:p>
    <w:p w14:paraId="2BEB2418">
      <w:pPr>
        <w:rPr>
          <w:color w:val="auto"/>
          <w:highlight w:val="none"/>
        </w:rPr>
      </w:pPr>
    </w:p>
    <w:p w14:paraId="5258BCC0">
      <w:pPr>
        <w:keepNext w:val="0"/>
        <w:keepLines w:val="0"/>
        <w:widowControl/>
        <w:adjustRightInd w:val="0"/>
        <w:snapToGrid w:val="0"/>
        <w:spacing w:before="120" w:beforeLines="50" w:after="120" w:afterLines="50" w:line="440" w:lineRule="exact"/>
        <w:jc w:val="center"/>
        <w:rPr>
          <w:rFonts w:hint="eastAsia" w:cs="宋体"/>
          <w:color w:val="auto"/>
          <w:sz w:val="32"/>
          <w:szCs w:val="32"/>
          <w:highlight w:val="none"/>
        </w:rPr>
      </w:pPr>
      <w:r>
        <w:rPr>
          <w:rFonts w:hint="eastAsia" w:cs="宋体"/>
          <w:color w:val="auto"/>
          <w:sz w:val="32"/>
          <w:szCs w:val="32"/>
          <w:highlight w:val="none"/>
        </w:rPr>
        <w:br w:type="page"/>
      </w:r>
    </w:p>
    <w:p w14:paraId="56E905A9">
      <w:pPr>
        <w:pStyle w:val="218"/>
        <w:keepNext w:val="0"/>
        <w:keepLines w:val="0"/>
        <w:widowControl/>
        <w:adjustRightInd w:val="0"/>
        <w:snapToGrid w:val="0"/>
        <w:spacing w:before="120" w:beforeLines="50" w:after="120" w:afterLines="50" w:line="440" w:lineRule="exact"/>
        <w:jc w:val="center"/>
        <w:rPr>
          <w:rFonts w:hint="eastAsia" w:cs="宋体"/>
          <w:color w:val="auto"/>
          <w:sz w:val="32"/>
          <w:szCs w:val="32"/>
          <w:highlight w:val="none"/>
        </w:rPr>
      </w:pPr>
      <w:r>
        <w:rPr>
          <w:rFonts w:hint="eastAsia" w:cs="宋体"/>
          <w:color w:val="auto"/>
          <w:sz w:val="32"/>
          <w:szCs w:val="32"/>
          <w:highlight w:val="none"/>
        </w:rPr>
        <w:t>第二部分 通用合同条件</w:t>
      </w:r>
    </w:p>
    <w:p w14:paraId="5896CB5F">
      <w:pPr>
        <w:pStyle w:val="220"/>
        <w:widowControl/>
        <w:numPr>
          <w:ilvl w:val="0"/>
          <w:numId w:val="0"/>
        </w:numPr>
        <w:adjustRightInd w:val="0"/>
        <w:snapToGrid w:val="0"/>
        <w:spacing w:after="0" w:line="440" w:lineRule="exact"/>
        <w:ind w:firstLine="420" w:firstLineChars="200"/>
        <w:jc w:val="left"/>
        <w:rPr>
          <w:rFonts w:hint="eastAsia"/>
          <w:b w:val="0"/>
          <w:color w:val="auto"/>
          <w:highlight w:val="none"/>
        </w:rPr>
      </w:pPr>
      <w:r>
        <w:rPr>
          <w:rFonts w:hint="eastAsia" w:ascii="宋体" w:hAnsi="宋体" w:eastAsia="宋体" w:cs="宋体"/>
          <w:b w:val="0"/>
          <w:color w:val="auto"/>
          <w:sz w:val="21"/>
          <w:szCs w:val="21"/>
          <w:highlight w:val="none"/>
        </w:rPr>
        <w:t>使用住房和城乡建设部、市场监管总局制定的《建设项目工程总承包合同（示范文本）》（GF-2020-0216）第二部分通用合同条件。上述资料由投标人自行准备。</w:t>
      </w:r>
    </w:p>
    <w:p w14:paraId="483BF212">
      <w:pPr>
        <w:pStyle w:val="218"/>
        <w:keepNext w:val="0"/>
        <w:keepLines w:val="0"/>
        <w:widowControl/>
        <w:tabs>
          <w:tab w:val="left" w:pos="220"/>
        </w:tabs>
        <w:adjustRightInd w:val="0"/>
        <w:snapToGrid w:val="0"/>
        <w:spacing w:before="156" w:beforeLines="50" w:after="156" w:afterLines="50" w:line="440" w:lineRule="exact"/>
        <w:ind w:left="0" w:leftChars="0" w:right="250" w:rightChars="119" w:hanging="15" w:firstLineChars="0"/>
        <w:jc w:val="center"/>
        <w:rPr>
          <w:rFonts w:hint="eastAsia" w:cs="宋体"/>
          <w:color w:val="auto"/>
          <w:sz w:val="32"/>
          <w:szCs w:val="32"/>
          <w:highlight w:val="none"/>
        </w:rPr>
      </w:pPr>
      <w:r>
        <w:rPr>
          <w:rFonts w:hint="eastAsia" w:cs="宋体"/>
          <w:color w:val="auto"/>
          <w:sz w:val="32"/>
          <w:szCs w:val="32"/>
          <w:highlight w:val="none"/>
        </w:rPr>
        <w:t>第三部分 专用合同条件</w:t>
      </w:r>
    </w:p>
    <w:p w14:paraId="663F8586">
      <w:pPr>
        <w:pStyle w:val="221"/>
        <w:widowControl/>
        <w:tabs>
          <w:tab w:val="left" w:pos="220"/>
        </w:tabs>
        <w:adjustRightInd w:val="0"/>
        <w:snapToGrid w:val="0"/>
        <w:spacing w:before="93" w:beforeLines="30" w:after="93" w:afterLines="30" w:line="440" w:lineRule="exact"/>
        <w:ind w:left="0" w:leftChars="0" w:right="250" w:rightChars="119" w:hanging="15" w:firstLineChars="0"/>
        <w:jc w:val="left"/>
        <w:rPr>
          <w:rFonts w:hint="eastAsia" w:cs="宋体"/>
          <w:bCs w:val="0"/>
          <w:color w:val="auto"/>
          <w:sz w:val="21"/>
          <w:szCs w:val="21"/>
          <w:highlight w:val="none"/>
        </w:rPr>
      </w:pPr>
      <w:r>
        <w:rPr>
          <w:rFonts w:hint="eastAsia" w:cs="宋体"/>
          <w:bCs w:val="0"/>
          <w:color w:val="auto"/>
          <w:sz w:val="21"/>
          <w:szCs w:val="21"/>
          <w:highlight w:val="none"/>
        </w:rPr>
        <w:t>第1条 一般约定</w:t>
      </w:r>
    </w:p>
    <w:p w14:paraId="1856656D">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1.1 词语定义和解释</w:t>
      </w:r>
    </w:p>
    <w:p w14:paraId="459A1AA6">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1.1.1 合同</w:t>
      </w:r>
    </w:p>
    <w:p w14:paraId="0919FE6E">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1.1.1.10 其他合同文件：</w:t>
      </w:r>
      <w:r>
        <w:rPr>
          <w:rFonts w:hint="eastAsia" w:ascii="宋体" w:hAnsi="宋体" w:cs="宋体"/>
          <w:color w:val="auto"/>
          <w:szCs w:val="21"/>
          <w:highlight w:val="none"/>
          <w:u w:val="single"/>
        </w:rPr>
        <w:t xml:space="preserve"> 本项目招标文件、在合同订立及履行过程中形成的与合同有关的文件均构成合同文件组成部分。</w:t>
      </w:r>
    </w:p>
    <w:p w14:paraId="3F42714E">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1.1.3 工程和设备</w:t>
      </w:r>
    </w:p>
    <w:p w14:paraId="46233737">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1.1.3.5 单位/区段工程的范围：</w:t>
      </w:r>
      <w:r>
        <w:rPr>
          <w:rFonts w:hint="eastAsia" w:ascii="宋体" w:hAnsi="宋体" w:cs="宋体"/>
          <w:color w:val="auto"/>
          <w:szCs w:val="21"/>
          <w:highlight w:val="none"/>
          <w:u w:val="single"/>
        </w:rPr>
        <w:t>执行通用合同条件</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2BE77C2B">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1.1.3.9 作为施工场所组成部分的其他场所包括：</w:t>
      </w:r>
      <w:r>
        <w:rPr>
          <w:rFonts w:hint="eastAsia" w:ascii="宋体" w:hAnsi="宋体" w:cs="宋体"/>
          <w:color w:val="auto"/>
          <w:szCs w:val="21"/>
          <w:highlight w:val="none"/>
          <w:u w:val="single"/>
        </w:rPr>
        <w:t>见施工图纸并现场确定</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00D67C68">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1.1.3.10 永久占地包括：</w:t>
      </w:r>
      <w:r>
        <w:rPr>
          <w:rFonts w:hint="eastAsia" w:cs="宋体"/>
          <w:color w:val="auto"/>
          <w:szCs w:val="21"/>
          <w:highlight w:val="none"/>
          <w:u w:val="single"/>
        </w:rPr>
        <w:t xml:space="preserve">现场确定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521E19C9">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1.1.3.11 临时占地包括：</w:t>
      </w:r>
      <w:r>
        <w:rPr>
          <w:rFonts w:hint="eastAsia" w:ascii="宋体" w:hAnsi="宋体" w:cs="宋体"/>
          <w:color w:val="auto"/>
          <w:szCs w:val="21"/>
          <w:highlight w:val="none"/>
          <w:u w:val="single"/>
        </w:rPr>
        <w:t>现场确定</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15751B36">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1.2 语言文字</w:t>
      </w:r>
    </w:p>
    <w:p w14:paraId="403BA939">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本合同除使用汉语外，还使用</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   </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语言。</w:t>
      </w:r>
    </w:p>
    <w:p w14:paraId="4A6F459A">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1.3 法律</w:t>
      </w:r>
    </w:p>
    <w:p w14:paraId="66C8F6C5">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适用于合同的其他规范性文件：</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673AED0F">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1.4 标准和规范</w:t>
      </w:r>
    </w:p>
    <w:p w14:paraId="0A76A56D">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1.4.1 适用于本合同的标准、规范（名称）包括：</w:t>
      </w:r>
      <w:r>
        <w:rPr>
          <w:rFonts w:hint="eastAsia" w:ascii="宋体" w:hAnsi="宋体" w:cs="宋体"/>
          <w:color w:val="auto"/>
          <w:szCs w:val="21"/>
          <w:highlight w:val="none"/>
          <w:u w:val="single"/>
        </w:rPr>
        <w:t xml:space="preserve"> 中华人民共和国住房和城乡建设部</w:t>
      </w:r>
      <w:r>
        <w:rPr>
          <w:rFonts w:hint="eastAsia" w:ascii="宋体" w:hAnsi="宋体" w:cs="宋体"/>
          <w:color w:val="auto"/>
          <w:szCs w:val="21"/>
          <w:highlight w:val="none"/>
          <w:u w:val="single"/>
          <w:lang w:eastAsia="zh-CN"/>
        </w:rPr>
        <w:t>、发改委、标准委</w:t>
      </w:r>
      <w:r>
        <w:rPr>
          <w:rFonts w:hint="eastAsia" w:ascii="宋体" w:hAnsi="宋体" w:cs="宋体"/>
          <w:color w:val="auto"/>
          <w:szCs w:val="21"/>
          <w:highlight w:val="none"/>
          <w:u w:val="single"/>
        </w:rPr>
        <w:t xml:space="preserve">等部门及省、市发布的有关文件 </w:t>
      </w:r>
      <w:r>
        <w:rPr>
          <w:rFonts w:hint="eastAsia" w:ascii="宋体" w:hAnsi="宋体" w:cs="宋体"/>
          <w:color w:val="auto"/>
          <w:szCs w:val="21"/>
          <w:highlight w:val="none"/>
        </w:rPr>
        <w:t>。</w:t>
      </w:r>
    </w:p>
    <w:p w14:paraId="4E2844CD">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1.4.2 发包人提供的国外标准、规范的名称：</w:t>
      </w:r>
      <w:r>
        <w:rPr>
          <w:rFonts w:hint="eastAsia" w:ascii="宋体" w:hAnsi="宋体" w:cs="宋体"/>
          <w:color w:val="auto"/>
          <w:szCs w:val="21"/>
          <w:highlight w:val="none"/>
          <w:u w:val="single"/>
        </w:rPr>
        <w:t>承包人自备国内现行适用的标准、规范</w:t>
      </w:r>
      <w:r>
        <w:rPr>
          <w:rFonts w:hint="eastAsia" w:cs="宋体"/>
          <w:color w:val="auto"/>
          <w:szCs w:val="21"/>
          <w:highlight w:val="none"/>
          <w:u w:val="single"/>
        </w:rPr>
        <w:t xml:space="preserve"> </w:t>
      </w:r>
      <w:r>
        <w:rPr>
          <w:rFonts w:hint="eastAsia" w:ascii="宋体" w:hAnsi="宋体" w:cs="宋体"/>
          <w:color w:val="auto"/>
          <w:szCs w:val="21"/>
          <w:highlight w:val="none"/>
        </w:rPr>
        <w:t>；发包人提供的国外标准、规范的份数：</w:t>
      </w:r>
      <w:r>
        <w:rPr>
          <w:rFonts w:hint="eastAsia" w:ascii="宋体" w:hAnsi="宋体" w:cs="宋体"/>
          <w:color w:val="auto"/>
          <w:szCs w:val="21"/>
          <w:highlight w:val="none"/>
          <w:u w:val="single"/>
        </w:rPr>
        <w:t xml:space="preserve">   </w:t>
      </w:r>
      <w:r>
        <w:rPr>
          <w:rFonts w:hint="eastAsia" w:cs="宋体"/>
          <w:color w:val="auto"/>
          <w:szCs w:val="21"/>
          <w:highlight w:val="none"/>
          <w:u w:val="single"/>
        </w:rPr>
        <w:t>无</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；发包人提供的国外标准、规范的时间：</w:t>
      </w:r>
      <w:r>
        <w:rPr>
          <w:rFonts w:hint="eastAsia" w:ascii="宋体" w:hAnsi="宋体" w:cs="宋体"/>
          <w:color w:val="auto"/>
          <w:szCs w:val="21"/>
          <w:highlight w:val="none"/>
          <w:u w:val="single"/>
        </w:rPr>
        <w:t xml:space="preserve">   </w:t>
      </w:r>
      <w:r>
        <w:rPr>
          <w:rFonts w:hint="eastAsia" w:cs="宋体"/>
          <w:color w:val="auto"/>
          <w:szCs w:val="21"/>
          <w:highlight w:val="none"/>
          <w:u w:val="single"/>
        </w:rPr>
        <w:t>无</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74672007">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1.4.3 没有成文规范、标准规定的约定：</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无       </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6E8C1329">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1.4.4 发包人对于工程的技术标准、功能要求：</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现行规范执行</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463BA6B6">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1.5 合同文件的优先顺序</w:t>
      </w:r>
    </w:p>
    <w:p w14:paraId="56D8AA69">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合同文件组成及优先顺序为：</w:t>
      </w:r>
      <w:r>
        <w:rPr>
          <w:rFonts w:hint="eastAsia" w:ascii="宋体" w:hAnsi="宋体" w:cs="宋体"/>
          <w:color w:val="auto"/>
          <w:szCs w:val="21"/>
          <w:highlight w:val="none"/>
          <w:u w:val="single"/>
        </w:rPr>
        <w:t xml:space="preserve"> （1）合同协议书；（2）中标通知书；（3）投标函及其附录；（4）招标文件；（5）专用合同条款及其附件；（6）通用合同</w:t>
      </w:r>
      <w:r>
        <w:rPr>
          <w:rFonts w:hint="eastAsia" w:cs="宋体"/>
          <w:color w:val="auto"/>
          <w:szCs w:val="21"/>
          <w:highlight w:val="none"/>
          <w:u w:val="single"/>
        </w:rPr>
        <w:t>条件</w:t>
      </w:r>
      <w:r>
        <w:rPr>
          <w:rFonts w:hint="eastAsia" w:ascii="宋体" w:hAnsi="宋体" w:cs="宋体"/>
          <w:color w:val="auto"/>
          <w:szCs w:val="21"/>
          <w:highlight w:val="none"/>
          <w:u w:val="single"/>
        </w:rPr>
        <w:t>；（7）技术标准和要求；（8）图纸；（9）预算书；（10）其他合同文件</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33AB925C">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上述各项合同文件包括合同当事人就该项合同文件所作出的补充和修改，属于同一类内容的文件，应以最新签署的为准。</w:t>
      </w:r>
    </w:p>
    <w:p w14:paraId="6B1D8127">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在合同订立及履行过程中形成的与合同有关的文件均构成合同文件组成部分，并根据其性质确定优先解释顺序。</w:t>
      </w:r>
    </w:p>
    <w:p w14:paraId="1A832E76">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1.6 文件的提供和照管</w:t>
      </w:r>
    </w:p>
    <w:p w14:paraId="46CD21F2">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1.6.1 发包人文件的提供</w:t>
      </w:r>
    </w:p>
    <w:p w14:paraId="2E4635B8">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发包人文件的提供期限、名称、数量和形式：</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1540303F">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1.6.2 承包人文件的提供</w:t>
      </w:r>
    </w:p>
    <w:p w14:paraId="59A70A54">
      <w:pPr>
        <w:widowControl/>
        <w:tabs>
          <w:tab w:val="left" w:pos="220"/>
          <w:tab w:val="left" w:pos="5760"/>
          <w:tab w:val="left" w:pos="8880"/>
        </w:tabs>
        <w:adjustRightInd w:val="0"/>
        <w:snapToGrid w:val="0"/>
        <w:spacing w:line="440" w:lineRule="exact"/>
        <w:ind w:left="0" w:leftChars="0" w:right="250" w:rightChars="119" w:hanging="15" w:firstLineChars="0"/>
        <w:jc w:val="left"/>
        <w:rPr>
          <w:rFonts w:ascii="宋体" w:hAnsi="宋体" w:cs="宋体"/>
          <w:color w:val="auto"/>
          <w:szCs w:val="21"/>
          <w:highlight w:val="none"/>
          <w:u w:val="single"/>
        </w:rPr>
      </w:pPr>
      <w:r>
        <w:rPr>
          <w:rFonts w:hint="eastAsia" w:ascii="宋体" w:hAnsi="宋体" w:cs="宋体"/>
          <w:color w:val="auto"/>
          <w:szCs w:val="21"/>
          <w:highlight w:val="none"/>
        </w:rPr>
        <w:t>承包人文件的内容、提供期限、名称、数量和</w:t>
      </w:r>
      <w:r>
        <w:rPr>
          <w:rFonts w:hint="eastAsia" w:cs="宋体"/>
          <w:color w:val="auto"/>
          <w:szCs w:val="21"/>
          <w:highlight w:val="none"/>
        </w:rPr>
        <w:t>形式：</w:t>
      </w:r>
      <w:r>
        <w:rPr>
          <w:rFonts w:hint="eastAsia" w:cs="宋体"/>
          <w:color w:val="auto"/>
          <w:szCs w:val="21"/>
          <w:highlight w:val="none"/>
          <w:u w:val="single"/>
        </w:rPr>
        <w:t xml:space="preserve"> 按监理要求执行，包括但不限于项目部人员证书（在领取中标通知书前）、项目部任命文、实施性施工组织设计等   </w:t>
      </w:r>
      <w:r>
        <w:rPr>
          <w:rFonts w:hint="eastAsia" w:cs="宋体"/>
          <w:color w:val="auto"/>
          <w:szCs w:val="21"/>
          <w:highlight w:val="none"/>
        </w:rPr>
        <w:t>。</w:t>
      </w:r>
    </w:p>
    <w:p w14:paraId="700B13EA">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1.6.4 文件的照管</w:t>
      </w:r>
    </w:p>
    <w:p w14:paraId="5B3428BC">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关于现场文件准备的约定：</w:t>
      </w:r>
      <w:r>
        <w:rPr>
          <w:rFonts w:hint="eastAsia" w:ascii="宋体" w:hAnsi="宋体" w:cs="宋体"/>
          <w:color w:val="auto"/>
          <w:szCs w:val="21"/>
          <w:highlight w:val="none"/>
          <w:u w:val="single"/>
        </w:rPr>
        <w:t xml:space="preserve"> 除专用合同条款另有约定外，承包人应在施工现场另外保存一套完整的图纸和承包人文件，供发包人、监理人及有关人员进行工程检查时使用 </w:t>
      </w:r>
      <w:r>
        <w:rPr>
          <w:rFonts w:hint="eastAsia" w:ascii="宋体" w:hAnsi="宋体" w:cs="宋体"/>
          <w:color w:val="auto"/>
          <w:szCs w:val="21"/>
          <w:highlight w:val="none"/>
        </w:rPr>
        <w:t>。</w:t>
      </w:r>
    </w:p>
    <w:p w14:paraId="062B7F68">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1.7 联络</w:t>
      </w:r>
    </w:p>
    <w:p w14:paraId="65A78EB3">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1.7.2 发包人指定的送达方式（包括电子传输方</w:t>
      </w:r>
      <w:r>
        <w:rPr>
          <w:rFonts w:hint="eastAsia" w:cs="宋体"/>
          <w:color w:val="auto"/>
          <w:szCs w:val="21"/>
          <w:highlight w:val="none"/>
        </w:rPr>
        <w:t>式）：</w:t>
      </w:r>
      <w:r>
        <w:rPr>
          <w:rFonts w:hint="eastAsia" w:cs="宋体"/>
          <w:color w:val="auto"/>
          <w:szCs w:val="21"/>
          <w:highlight w:val="none"/>
          <w:u w:val="single"/>
        </w:rPr>
        <w:t xml:space="preserve">        </w:t>
      </w:r>
      <w:r>
        <w:rPr>
          <w:rFonts w:hint="eastAsia" w:ascii="宋体" w:hAnsi="宋体" w:cs="宋体"/>
          <w:color w:val="auto"/>
          <w:szCs w:val="21"/>
          <w:highlight w:val="none"/>
          <w:u w:val="single"/>
        </w:rPr>
        <w:t>书面函件</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14A66FB2">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发包人的送达地址：</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项目部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4911A54D">
      <w:pPr>
        <w:widowControl/>
        <w:tabs>
          <w:tab w:val="left" w:pos="220"/>
        </w:tabs>
        <w:adjustRightInd w:val="0"/>
        <w:snapToGrid w:val="0"/>
        <w:spacing w:line="440" w:lineRule="exact"/>
        <w:ind w:left="0" w:leftChars="0" w:right="250" w:rightChars="119" w:hanging="15" w:firstLineChars="0"/>
        <w:jc w:val="left"/>
        <w:rPr>
          <w:rFonts w:ascii="宋体" w:hAnsi="宋体" w:cs="宋体"/>
          <w:color w:val="auto"/>
          <w:szCs w:val="21"/>
          <w:highlight w:val="none"/>
        </w:rPr>
      </w:pPr>
      <w:r>
        <w:rPr>
          <w:rFonts w:hint="eastAsia" w:ascii="宋体" w:hAnsi="宋体" w:cs="宋体"/>
          <w:color w:val="auto"/>
          <w:szCs w:val="21"/>
          <w:highlight w:val="none"/>
        </w:rPr>
        <w:t>承包人指定的送达方式（包括电子传输方</w:t>
      </w:r>
      <w:r>
        <w:rPr>
          <w:rFonts w:hint="eastAsia" w:cs="宋体"/>
          <w:color w:val="auto"/>
          <w:szCs w:val="21"/>
          <w:highlight w:val="none"/>
        </w:rPr>
        <w:t>式）：</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书面函件   </w:t>
      </w:r>
      <w:r>
        <w:rPr>
          <w:rFonts w:hint="eastAsia" w:cs="宋体"/>
          <w:color w:val="auto"/>
          <w:szCs w:val="21"/>
          <w:highlight w:val="none"/>
          <w:u w:val="single"/>
        </w:rPr>
        <w:t xml:space="preserve">          </w:t>
      </w:r>
      <w:r>
        <w:rPr>
          <w:rFonts w:hint="eastAsia" w:cs="宋体"/>
          <w:color w:val="auto"/>
          <w:szCs w:val="21"/>
          <w:highlight w:val="none"/>
        </w:rPr>
        <w:t>。</w:t>
      </w:r>
    </w:p>
    <w:p w14:paraId="44D449DC">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承包人的送达地址：</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项目部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795BB6D5">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1.10 知识产权</w:t>
      </w:r>
    </w:p>
    <w:p w14:paraId="08B18D82">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1.10.1 由发包人（或以发包人名义）编制的《发包人要求》和其他文件的著作权归</w:t>
      </w:r>
      <w:r>
        <w:rPr>
          <w:rFonts w:hint="eastAsia" w:cs="宋体"/>
          <w:color w:val="auto"/>
          <w:szCs w:val="21"/>
          <w:highlight w:val="none"/>
        </w:rPr>
        <w:t>属：</w:t>
      </w:r>
      <w:r>
        <w:rPr>
          <w:rFonts w:hint="eastAsia" w:cs="宋体"/>
          <w:color w:val="auto"/>
          <w:szCs w:val="21"/>
          <w:highlight w:val="none"/>
          <w:u w:val="single"/>
        </w:rPr>
        <w:t>发包人。</w:t>
      </w:r>
    </w:p>
    <w:p w14:paraId="4F494C65">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1.10.2 由承包人（或以承包人名义）为实施工程所编制的文件、承包人完成的设计工作成果和建造完成的建筑物的知识产权归属：</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发包人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2675F305">
      <w:pPr>
        <w:widowControl/>
        <w:tabs>
          <w:tab w:val="left" w:pos="220"/>
        </w:tabs>
        <w:adjustRightInd w:val="0"/>
        <w:snapToGrid w:val="0"/>
        <w:spacing w:line="440" w:lineRule="exact"/>
        <w:ind w:left="0" w:leftChars="0" w:right="250" w:rightChars="119" w:hanging="15" w:firstLineChars="0"/>
        <w:jc w:val="left"/>
        <w:rPr>
          <w:rFonts w:hint="eastAsia" w:cs="宋体"/>
          <w:color w:val="auto"/>
          <w:szCs w:val="21"/>
          <w:highlight w:val="none"/>
          <w:u w:val="single"/>
        </w:rPr>
      </w:pPr>
      <w:r>
        <w:rPr>
          <w:rFonts w:hint="eastAsia" w:ascii="宋体" w:hAnsi="宋体" w:cs="宋体"/>
          <w:color w:val="auto"/>
          <w:szCs w:val="21"/>
          <w:highlight w:val="none"/>
        </w:rPr>
        <w:t>1.10.4 承包人在投标文件中采用的专利、专有技术、技术秘密的使用费的承担方</w:t>
      </w:r>
      <w:r>
        <w:rPr>
          <w:rFonts w:hint="eastAsia" w:cs="宋体"/>
          <w:color w:val="auto"/>
          <w:szCs w:val="21"/>
          <w:highlight w:val="none"/>
        </w:rPr>
        <w:t>式：</w:t>
      </w:r>
      <w:r>
        <w:rPr>
          <w:rFonts w:hint="eastAsia" w:cs="宋体"/>
          <w:color w:val="auto"/>
          <w:szCs w:val="21"/>
          <w:highlight w:val="none"/>
          <w:u w:val="single"/>
        </w:rPr>
        <w:t>该费用已包含在签约合同价中。</w:t>
      </w:r>
    </w:p>
    <w:p w14:paraId="34933778">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1.11 保密</w:t>
      </w:r>
    </w:p>
    <w:p w14:paraId="4A3F4CE6">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双方订立的商业保密协议（名称）：</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无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r>
        <w:rPr>
          <w:rFonts w:hint="eastAsia" w:ascii="宋体" w:hAnsi="宋体" w:cs="宋体"/>
          <w:color w:val="auto"/>
          <w:szCs w:val="21"/>
          <w:highlight w:val="none"/>
          <w:lang w:eastAsia="zh-CN"/>
        </w:rPr>
        <w:t>但乙方应在合同缔约、订立、履行、项目后期维护等过程中知悉的甲方信息采取合理的保密措施，因乙方未尽合理保密义务，应对甲方造成的损失承担赔偿责任。</w:t>
      </w:r>
    </w:p>
    <w:p w14:paraId="455C8671">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双方订立的技术保密协议（名称）：</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无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，作为本合同附件。</w:t>
      </w:r>
    </w:p>
    <w:p w14:paraId="0CC603BB">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1.13 责任限制</w:t>
      </w:r>
    </w:p>
    <w:p w14:paraId="59C4ECC9">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承包人对发包人赔偿责任的最高限额为</w:t>
      </w:r>
      <w:r>
        <w:rPr>
          <w:rFonts w:hint="eastAsia" w:ascii="宋体" w:hAnsi="宋体" w:cs="宋体"/>
          <w:color w:val="auto"/>
          <w:szCs w:val="21"/>
          <w:highlight w:val="none"/>
          <w:u w:val="single"/>
        </w:rPr>
        <w:t xml:space="preserve"> </w:t>
      </w:r>
      <w:r>
        <w:rPr>
          <w:rFonts w:hint="eastAsia" w:cs="宋体"/>
          <w:color w:val="auto"/>
          <w:szCs w:val="21"/>
          <w:highlight w:val="none"/>
          <w:u w:val="single"/>
        </w:rPr>
        <w:t>不应超过签约合同价，</w:t>
      </w:r>
      <w:r>
        <w:rPr>
          <w:rFonts w:hint="eastAsia" w:cs="宋体"/>
          <w:color w:val="auto"/>
          <w:szCs w:val="21"/>
          <w:highlight w:val="none"/>
          <w:u w:val="single"/>
          <w:lang w:eastAsia="zh-CN"/>
        </w:rPr>
        <w:t>合同价低于实际损失的，承包人应另行足额赔偿，</w:t>
      </w:r>
      <w:r>
        <w:rPr>
          <w:rFonts w:hint="eastAsia" w:cs="宋体"/>
          <w:color w:val="auto"/>
          <w:szCs w:val="21"/>
          <w:highlight w:val="none"/>
          <w:u w:val="single"/>
        </w:rPr>
        <w:t>但对于因欺诈、犯罪、故意、重大过失、人身伤害等不当行为造成的损失，赔偿的责任限度不受最高限额的限制</w:t>
      </w:r>
      <w:r>
        <w:rPr>
          <w:rFonts w:hint="eastAsia" w:ascii="宋体" w:hAnsi="宋体" w:cs="宋体"/>
          <w:color w:val="auto"/>
          <w:szCs w:val="21"/>
          <w:highlight w:val="none"/>
        </w:rPr>
        <w:t>。</w:t>
      </w:r>
    </w:p>
    <w:p w14:paraId="03842931">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1.14 建筑信息模型技术的应用</w:t>
      </w:r>
    </w:p>
    <w:p w14:paraId="754B96B4">
      <w:pPr>
        <w:widowControl/>
        <w:tabs>
          <w:tab w:val="left" w:pos="220"/>
        </w:tabs>
        <w:adjustRightInd w:val="0"/>
        <w:snapToGrid w:val="0"/>
        <w:spacing w:line="440" w:lineRule="exact"/>
        <w:ind w:left="0" w:leftChars="0" w:right="250" w:rightChars="119" w:hanging="15" w:firstLineChars="0"/>
        <w:jc w:val="left"/>
        <w:rPr>
          <w:rFonts w:ascii="宋体" w:hAnsi="宋体" w:cs="宋体"/>
          <w:color w:val="auto"/>
          <w:szCs w:val="21"/>
          <w:highlight w:val="none"/>
        </w:rPr>
      </w:pPr>
      <w:r>
        <w:rPr>
          <w:rFonts w:hint="eastAsia" w:ascii="宋体" w:hAnsi="宋体" w:cs="宋体"/>
          <w:color w:val="auto"/>
          <w:szCs w:val="21"/>
          <w:highlight w:val="none"/>
        </w:rPr>
        <w:t>关于建筑信息模型技术的开发、使用、存储、传输、交付及费用约定如</w:t>
      </w:r>
      <w:r>
        <w:rPr>
          <w:rFonts w:hint="eastAsia" w:cs="宋体"/>
          <w:color w:val="auto"/>
          <w:szCs w:val="21"/>
          <w:highlight w:val="none"/>
        </w:rPr>
        <w:t>下：</w:t>
      </w:r>
      <w:r>
        <w:rPr>
          <w:rFonts w:hint="eastAsia" w:cs="宋体"/>
          <w:color w:val="auto"/>
          <w:szCs w:val="21"/>
          <w:highlight w:val="none"/>
          <w:u w:val="single"/>
        </w:rPr>
        <w:t xml:space="preserve"> </w:t>
      </w:r>
      <w:r>
        <w:rPr>
          <w:rFonts w:hint="eastAsia" w:cs="宋体"/>
          <w:color w:val="auto"/>
          <w:szCs w:val="21"/>
          <w:highlight w:val="none"/>
          <w:u w:val="single"/>
          <w:lang w:eastAsia="zh-CN"/>
        </w:rPr>
        <w:t>含在合同价内</w:t>
      </w:r>
      <w:r>
        <w:rPr>
          <w:rFonts w:hint="eastAsia" w:cs="宋体"/>
          <w:color w:val="auto"/>
          <w:szCs w:val="21"/>
          <w:highlight w:val="none"/>
          <w:u w:val="single"/>
        </w:rPr>
        <w:t xml:space="preserve">  </w:t>
      </w:r>
      <w:r>
        <w:rPr>
          <w:rFonts w:hint="eastAsia" w:cs="宋体"/>
          <w:color w:val="auto"/>
          <w:szCs w:val="21"/>
          <w:highlight w:val="none"/>
        </w:rPr>
        <w:t>。</w:t>
      </w:r>
    </w:p>
    <w:p w14:paraId="40C278E3">
      <w:pPr>
        <w:pStyle w:val="221"/>
        <w:widowControl/>
        <w:tabs>
          <w:tab w:val="left" w:pos="220"/>
        </w:tabs>
        <w:adjustRightInd w:val="0"/>
        <w:snapToGrid w:val="0"/>
        <w:spacing w:before="93" w:beforeLines="30" w:after="93" w:afterLines="30" w:line="440" w:lineRule="exact"/>
        <w:ind w:left="0" w:leftChars="0" w:right="250" w:rightChars="119" w:hanging="15" w:firstLineChars="0"/>
        <w:jc w:val="left"/>
        <w:rPr>
          <w:rFonts w:hint="eastAsia" w:cs="宋体"/>
          <w:bCs w:val="0"/>
          <w:color w:val="auto"/>
          <w:sz w:val="21"/>
          <w:szCs w:val="21"/>
          <w:highlight w:val="none"/>
        </w:rPr>
      </w:pPr>
      <w:r>
        <w:rPr>
          <w:rFonts w:hint="eastAsia" w:cs="宋体"/>
          <w:bCs w:val="0"/>
          <w:color w:val="auto"/>
          <w:sz w:val="21"/>
          <w:szCs w:val="21"/>
          <w:highlight w:val="none"/>
        </w:rPr>
        <w:t>第2条 发包人</w:t>
      </w:r>
    </w:p>
    <w:p w14:paraId="130E23CD">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2.2 提供施工现场和工作条件</w:t>
      </w:r>
    </w:p>
    <w:p w14:paraId="7EEB25CE">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2.2.1 提供施工现场</w:t>
      </w:r>
    </w:p>
    <w:p w14:paraId="07D83E46">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关于发包人提供施工现场的范围和期限：</w:t>
      </w:r>
      <w:r>
        <w:rPr>
          <w:rFonts w:hint="eastAsia" w:ascii="宋体" w:hAnsi="宋体" w:cs="宋体"/>
          <w:color w:val="auto"/>
          <w:szCs w:val="21"/>
          <w:highlight w:val="none"/>
          <w:u w:val="single"/>
        </w:rPr>
        <w:t xml:space="preserve"> 发包人应最迟于开工日期7天前向承包人移交施工现场</w:t>
      </w:r>
      <w:r>
        <w:rPr>
          <w:rFonts w:hint="eastAsia" w:cs="宋体"/>
          <w:color w:val="auto"/>
          <w:szCs w:val="21"/>
          <w:highlight w:val="none"/>
          <w:u w:val="single"/>
        </w:rPr>
        <w:t>，但承包人未能按照第4.2款[履约担保]提供履约担保的除外</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10A2A230">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2.2.2 提供工作条件</w:t>
      </w:r>
    </w:p>
    <w:p w14:paraId="04A1F674">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关于发包人应负责提供的工作条件包括：</w:t>
      </w:r>
      <w:r>
        <w:rPr>
          <w:rFonts w:hint="eastAsia" w:ascii="宋体" w:hAnsi="宋体" w:cs="宋体"/>
          <w:color w:val="auto"/>
          <w:szCs w:val="21"/>
          <w:highlight w:val="none"/>
          <w:u w:val="single"/>
        </w:rPr>
        <w:t>（1）将施工用水、电力等施工所必需的条件接至施工现场内；（2）向承包人提供正常施工所需要的进入施工现场的交通条件</w:t>
      </w:r>
      <w:r>
        <w:rPr>
          <w:rFonts w:hint="eastAsia" w:ascii="宋体" w:hAnsi="宋体" w:cs="宋体"/>
          <w:color w:val="auto"/>
          <w:szCs w:val="21"/>
          <w:highlight w:val="none"/>
          <w:u w:val="single"/>
          <w:lang w:eastAsia="zh-CN"/>
        </w:rPr>
        <w:t>（不含可移动设备及车辆）</w:t>
      </w:r>
      <w:r>
        <w:rPr>
          <w:rFonts w:hint="eastAsia" w:ascii="宋体" w:hAnsi="宋体" w:cs="宋体"/>
          <w:color w:val="auto"/>
          <w:szCs w:val="21"/>
          <w:highlight w:val="none"/>
          <w:u w:val="single"/>
        </w:rPr>
        <w:t>；（3）协调处理施工现场周围地下管线和邻近建筑物、构筑物、古树名木的保护工作，</w:t>
      </w:r>
      <w:r>
        <w:rPr>
          <w:rFonts w:hint="eastAsia" w:ascii="宋体" w:hAnsi="宋体" w:cs="宋体"/>
          <w:color w:val="auto"/>
          <w:szCs w:val="21"/>
          <w:highlight w:val="none"/>
          <w:u w:val="single"/>
          <w:lang w:eastAsia="zh-CN"/>
        </w:rPr>
        <w:t>不</w:t>
      </w:r>
      <w:r>
        <w:rPr>
          <w:rFonts w:hint="eastAsia" w:ascii="宋体" w:hAnsi="宋体" w:cs="宋体"/>
          <w:color w:val="auto"/>
          <w:szCs w:val="21"/>
          <w:highlight w:val="none"/>
          <w:u w:val="single"/>
        </w:rPr>
        <w:t>承担相关费用</w:t>
      </w:r>
      <w:r>
        <w:rPr>
          <w:rFonts w:hint="eastAsia" w:ascii="宋体" w:hAnsi="宋体" w:cs="宋体"/>
          <w:color w:val="auto"/>
          <w:szCs w:val="21"/>
          <w:highlight w:val="none"/>
        </w:rPr>
        <w:t>。</w:t>
      </w:r>
    </w:p>
    <w:p w14:paraId="6067743F">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2.3 提供基础资料</w:t>
      </w:r>
    </w:p>
    <w:p w14:paraId="09F61CBF">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u w:val="single"/>
        </w:rPr>
      </w:pPr>
      <w:r>
        <w:rPr>
          <w:rFonts w:hint="eastAsia" w:ascii="宋体" w:hAnsi="宋体" w:cs="宋体"/>
          <w:color w:val="auto"/>
          <w:szCs w:val="21"/>
          <w:highlight w:val="none"/>
        </w:rPr>
        <w:t>关于发包人应提供的基础资料的范围和期限：</w:t>
      </w:r>
      <w:r>
        <w:rPr>
          <w:rFonts w:hint="eastAsia" w:ascii="宋体" w:hAnsi="宋体" w:cs="宋体"/>
          <w:color w:val="auto"/>
          <w:szCs w:val="21"/>
          <w:highlight w:val="none"/>
          <w:u w:val="single"/>
        </w:rPr>
        <w:t>向承包人提供施工现场及工程实施所必需的毗邻区域内的供水、排水、供电等地上、地下管线和设施资料，气象和水文观测资料</w:t>
      </w:r>
      <w:r>
        <w:rPr>
          <w:rFonts w:hint="eastAsia" w:ascii="宋体" w:hAnsi="宋体" w:cs="宋体"/>
          <w:color w:val="auto"/>
          <w:szCs w:val="21"/>
          <w:highlight w:val="none"/>
          <w:u w:val="single"/>
          <w:lang w:eastAsia="zh-CN"/>
        </w:rPr>
        <w:t>、</w:t>
      </w:r>
      <w:r>
        <w:rPr>
          <w:rFonts w:hint="eastAsia" w:ascii="宋体" w:hAnsi="宋体" w:cs="宋体"/>
          <w:color w:val="auto"/>
          <w:szCs w:val="21"/>
          <w:highlight w:val="none"/>
          <w:u w:val="single"/>
        </w:rPr>
        <w:t>地质勘察资料，相邻建筑物、构筑物和地下工程等有关基础资料</w:t>
      </w:r>
      <w:r>
        <w:rPr>
          <w:rFonts w:hint="eastAsia" w:ascii="宋体" w:hAnsi="宋体" w:cs="宋体"/>
          <w:color w:val="auto"/>
          <w:szCs w:val="21"/>
          <w:highlight w:val="none"/>
          <w:u w:val="single"/>
          <w:lang w:eastAsia="zh-CN"/>
        </w:rPr>
        <w:t>（如有）</w:t>
      </w:r>
      <w:r>
        <w:rPr>
          <w:rFonts w:hint="eastAsia" w:ascii="宋体" w:hAnsi="宋体" w:cs="宋体"/>
          <w:color w:val="auto"/>
          <w:szCs w:val="21"/>
          <w:highlight w:val="none"/>
          <w:u w:val="single"/>
        </w:rPr>
        <w:t>。上述资料在开工前</w:t>
      </w:r>
      <w:r>
        <w:rPr>
          <w:rFonts w:hint="eastAsia" w:ascii="宋体" w:hAnsi="宋体" w:cs="宋体"/>
          <w:color w:val="auto"/>
          <w:szCs w:val="21"/>
          <w:highlight w:val="none"/>
          <w:u w:val="single"/>
          <w:lang w:val="en-US" w:eastAsia="zh-CN"/>
        </w:rPr>
        <w:t>7</w:t>
      </w:r>
      <w:r>
        <w:rPr>
          <w:rFonts w:hint="eastAsia" w:ascii="宋体" w:hAnsi="宋体" w:cs="宋体"/>
          <w:color w:val="auto"/>
          <w:szCs w:val="21"/>
          <w:highlight w:val="none"/>
          <w:u w:val="single"/>
        </w:rPr>
        <w:t>日内提供。</w:t>
      </w:r>
    </w:p>
    <w:p w14:paraId="7DA8EA78">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 xml:space="preserve"> 其他义务</w:t>
      </w:r>
    </w:p>
    <w:p w14:paraId="19D6C31B">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发包人应履行的其他义务：</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1FE2499A">
      <w:pPr>
        <w:pStyle w:val="221"/>
        <w:widowControl/>
        <w:tabs>
          <w:tab w:val="left" w:pos="220"/>
        </w:tabs>
        <w:adjustRightInd w:val="0"/>
        <w:snapToGrid w:val="0"/>
        <w:spacing w:before="93" w:beforeLines="30" w:after="93" w:afterLines="30" w:line="440" w:lineRule="exact"/>
        <w:ind w:left="0" w:leftChars="0" w:right="250" w:rightChars="119" w:hanging="15" w:firstLineChars="0"/>
        <w:jc w:val="left"/>
        <w:rPr>
          <w:rFonts w:hint="eastAsia" w:cs="宋体"/>
          <w:bCs w:val="0"/>
          <w:color w:val="auto"/>
          <w:sz w:val="21"/>
          <w:szCs w:val="21"/>
          <w:highlight w:val="none"/>
        </w:rPr>
      </w:pPr>
      <w:r>
        <w:rPr>
          <w:rFonts w:hint="eastAsia" w:cs="宋体"/>
          <w:bCs w:val="0"/>
          <w:color w:val="auto"/>
          <w:sz w:val="21"/>
          <w:szCs w:val="21"/>
          <w:highlight w:val="none"/>
        </w:rPr>
        <w:t>第3条 发包人的管理</w:t>
      </w:r>
    </w:p>
    <w:p w14:paraId="730D3C9D">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3.1 发包人代表</w:t>
      </w:r>
    </w:p>
    <w:p w14:paraId="46D2CD4C">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发包人代表的姓名：</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1F03DD55">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发包人代表的身份证号：</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3842D42C">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发包人代表的职务：</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547E35BB">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发包人代表的联系电话：</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cs="宋体"/>
          <w:color w:val="auto"/>
          <w:szCs w:val="21"/>
          <w:highlight w:val="none"/>
          <w:u w:val="single"/>
          <w:lang w:val="en-US" w:eastAsia="zh-CN"/>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0045FBC4">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发包人代表的电子邮箱：</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44FBE3B3">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发包人代表的通信地址：</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3488C9CB">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u w:val="single"/>
        </w:rPr>
      </w:pPr>
      <w:r>
        <w:rPr>
          <w:rFonts w:hint="eastAsia" w:ascii="宋体" w:hAnsi="宋体" w:cs="宋体"/>
          <w:color w:val="auto"/>
          <w:szCs w:val="21"/>
          <w:highlight w:val="none"/>
        </w:rPr>
        <w:t>发包人对发包人代表的授权范围如下：</w:t>
      </w:r>
      <w:r>
        <w:rPr>
          <w:rFonts w:hint="eastAsia" w:ascii="宋体" w:hAnsi="宋体" w:cs="宋体"/>
          <w:color w:val="auto"/>
          <w:szCs w:val="21"/>
          <w:highlight w:val="none"/>
          <w:u w:val="single"/>
        </w:rPr>
        <w:t>施工组织设计和总进度计划的审批权和调整权；人员在岗、工程进度、质量、安全、环保的监督检查权和建议处罚权；工程款的初步审查权；第三方检测的委托权；主要材料的质量否决权；工程量的确认权；工程变更签证的审核权；可调价格材料的价格确认权；工程结算的审核权；合同的解释；等等。</w:t>
      </w:r>
    </w:p>
    <w:p w14:paraId="1B81243D">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发包人代表的职责：</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执行通用合同条件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14ABF4DC">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3.2 发包人人员</w:t>
      </w:r>
    </w:p>
    <w:p w14:paraId="5B53448B">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发包人人员姓名：</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3650D9B3">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发包人人员职务：</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r>
        <w:rPr>
          <w:rFonts w:hint="eastAsia" w:cs="宋体"/>
          <w:color w:val="auto"/>
          <w:szCs w:val="21"/>
          <w:highlight w:val="none"/>
        </w:rPr>
        <w:t xml:space="preserve"> </w:t>
      </w:r>
    </w:p>
    <w:p w14:paraId="7388213B">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发包人人员职责：</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71F629FF">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3.3 工程师（注册监理工程师）</w:t>
      </w:r>
    </w:p>
    <w:p w14:paraId="10E5415B">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3.3.1 工程师姓名：</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78C73E38">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工程师监督管理范围、内</w:t>
      </w:r>
      <w:r>
        <w:rPr>
          <w:rFonts w:hint="eastAsia" w:cs="宋体"/>
          <w:color w:val="auto"/>
          <w:szCs w:val="21"/>
          <w:highlight w:val="none"/>
        </w:rPr>
        <w:t>容：</w:t>
      </w:r>
      <w:r>
        <w:rPr>
          <w:rFonts w:hint="eastAsia" w:cs="宋体"/>
          <w:color w:val="auto"/>
          <w:szCs w:val="21"/>
          <w:highlight w:val="none"/>
          <w:u w:val="single"/>
        </w:rPr>
        <w:t xml:space="preserve">   详见监理合同                           </w:t>
      </w:r>
      <w:r>
        <w:rPr>
          <w:rFonts w:hint="eastAsia" w:ascii="宋体" w:hAnsi="宋体" w:cs="宋体"/>
          <w:color w:val="auto"/>
          <w:szCs w:val="21"/>
          <w:highlight w:val="none"/>
        </w:rPr>
        <w:t>；</w:t>
      </w:r>
    </w:p>
    <w:p w14:paraId="2CC1F1E2">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工程师权限：</w:t>
      </w:r>
      <w:r>
        <w:rPr>
          <w:rFonts w:hint="eastAsia" w:ascii="宋体" w:hAnsi="宋体" w:cs="宋体"/>
          <w:color w:val="auto"/>
          <w:szCs w:val="21"/>
          <w:highlight w:val="none"/>
          <w:u w:val="single"/>
        </w:rPr>
        <w:t>发布开工令、停工令、复工令权；工程质量的监督权；工程上使用的材料和施工质量检验权、确认权；工程施工进度、安全的检查、监督权、发包人授权的处罚权；工程款支付的审核权；向承包人提出施工组织设计和技术方案的建议权；发包人和承包人间的组织协调的主持权；撤换不合格的工程建设分包单位和注册建造师及有关人员的建议权；分包单位资质及能力的审查权；</w:t>
      </w:r>
      <w:r>
        <w:rPr>
          <w:rFonts w:hint="eastAsia" w:cs="宋体"/>
          <w:color w:val="auto"/>
          <w:szCs w:val="21"/>
          <w:highlight w:val="none"/>
          <w:u w:val="single"/>
        </w:rPr>
        <w:t>对承包人的设计、采购、施工、服务等工作过程或过程节点实施监理管理，</w:t>
      </w:r>
      <w:r>
        <w:rPr>
          <w:rFonts w:hint="eastAsia" w:ascii="宋体" w:hAnsi="宋体" w:cs="宋体"/>
          <w:color w:val="auto"/>
          <w:szCs w:val="21"/>
          <w:highlight w:val="none"/>
          <w:u w:val="single"/>
        </w:rPr>
        <w:t>等等。</w:t>
      </w:r>
    </w:p>
    <w:p w14:paraId="24BC4D0B">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3.6 商定或确定</w:t>
      </w:r>
    </w:p>
    <w:p w14:paraId="49AB1670">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3.6.2 关于商定时间限制的具体约定：</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执行通用合同条件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12DF5B5C">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3.6.3 关于商定或确定效力的具体约定：</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执行通用合同条件   </w:t>
      </w:r>
      <w:r>
        <w:rPr>
          <w:rFonts w:hint="eastAsia" w:ascii="宋体" w:hAnsi="宋体" w:cs="宋体"/>
          <w:color w:val="auto"/>
          <w:szCs w:val="21"/>
          <w:highlight w:val="none"/>
        </w:rPr>
        <w:t>；关于对工程师的确定提出异议的具体约定：</w:t>
      </w:r>
      <w:r>
        <w:rPr>
          <w:rFonts w:hint="eastAsia" w:ascii="宋体" w:hAnsi="宋体" w:cs="宋体"/>
          <w:color w:val="auto"/>
          <w:szCs w:val="21"/>
          <w:highlight w:val="none"/>
          <w:u w:val="single"/>
        </w:rPr>
        <w:t xml:space="preserve"> </w:t>
      </w:r>
      <w:r>
        <w:rPr>
          <w:rFonts w:hint="eastAsia" w:cs="宋体"/>
          <w:color w:val="auto"/>
          <w:szCs w:val="21"/>
          <w:highlight w:val="none"/>
          <w:u w:val="single"/>
        </w:rPr>
        <w:t>任何一方对工程师的确定有异议的，应在收到确定的结果后28天内向另一方发出书面异议通知并抄送工程师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43F32CAF">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3.7 会议</w:t>
      </w:r>
    </w:p>
    <w:p w14:paraId="5B7872F6">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3.7.1 关于召开会议的具体约定：</w:t>
      </w:r>
      <w:r>
        <w:rPr>
          <w:rFonts w:hint="eastAsia" w:ascii="宋体" w:hAnsi="宋体" w:cs="宋体"/>
          <w:color w:val="auto"/>
          <w:szCs w:val="21"/>
          <w:highlight w:val="none"/>
          <w:u w:val="single"/>
        </w:rPr>
        <w:t xml:space="preserve"> 按</w:t>
      </w:r>
      <w:r>
        <w:rPr>
          <w:rFonts w:hint="eastAsia" w:ascii="宋体" w:hAnsi="宋体" w:cs="宋体"/>
          <w:color w:val="auto"/>
          <w:szCs w:val="21"/>
          <w:highlight w:val="none"/>
          <w:u w:val="single"/>
          <w:lang w:eastAsia="zh-CN"/>
        </w:rPr>
        <w:t>发包人</w:t>
      </w:r>
      <w:r>
        <w:rPr>
          <w:rFonts w:hint="eastAsia" w:ascii="宋体" w:hAnsi="宋体" w:cs="宋体"/>
          <w:color w:val="auto"/>
          <w:szCs w:val="21"/>
          <w:highlight w:val="none"/>
          <w:u w:val="single"/>
        </w:rPr>
        <w:t xml:space="preserve">相关规定执行   </w:t>
      </w:r>
      <w:r>
        <w:rPr>
          <w:rFonts w:hint="eastAsia" w:ascii="宋体" w:hAnsi="宋体" w:cs="宋体"/>
          <w:color w:val="auto"/>
          <w:szCs w:val="21"/>
          <w:highlight w:val="none"/>
        </w:rPr>
        <w:t>。</w:t>
      </w:r>
    </w:p>
    <w:p w14:paraId="0BB9EC15">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3.7.2 关于保存和提供会议纪要的具体约定：</w:t>
      </w:r>
      <w:r>
        <w:rPr>
          <w:rFonts w:hint="eastAsia" w:ascii="宋体" w:hAnsi="宋体" w:cs="宋体"/>
          <w:color w:val="auto"/>
          <w:szCs w:val="21"/>
          <w:highlight w:val="none"/>
          <w:u w:val="single"/>
        </w:rPr>
        <w:t>按</w:t>
      </w:r>
      <w:r>
        <w:rPr>
          <w:rFonts w:hint="eastAsia" w:ascii="宋体" w:hAnsi="宋体" w:cs="宋体"/>
          <w:color w:val="auto"/>
          <w:szCs w:val="21"/>
          <w:highlight w:val="none"/>
          <w:u w:val="single"/>
          <w:lang w:eastAsia="zh-CN"/>
        </w:rPr>
        <w:t>发包人</w:t>
      </w:r>
      <w:r>
        <w:rPr>
          <w:rFonts w:hint="eastAsia" w:ascii="宋体" w:hAnsi="宋体" w:cs="宋体"/>
          <w:color w:val="auto"/>
          <w:szCs w:val="21"/>
          <w:highlight w:val="none"/>
          <w:u w:val="single"/>
        </w:rPr>
        <w:t xml:space="preserve">相关规定执行 </w:t>
      </w:r>
      <w:r>
        <w:rPr>
          <w:rFonts w:hint="eastAsia" w:ascii="宋体" w:hAnsi="宋体" w:cs="宋体"/>
          <w:color w:val="auto"/>
          <w:szCs w:val="21"/>
          <w:highlight w:val="none"/>
        </w:rPr>
        <w:t>。</w:t>
      </w:r>
    </w:p>
    <w:p w14:paraId="612BC9D3">
      <w:pPr>
        <w:pStyle w:val="221"/>
        <w:widowControl/>
        <w:tabs>
          <w:tab w:val="left" w:pos="220"/>
        </w:tabs>
        <w:adjustRightInd w:val="0"/>
        <w:snapToGrid w:val="0"/>
        <w:spacing w:before="93" w:beforeLines="30" w:after="93" w:afterLines="30" w:line="440" w:lineRule="exact"/>
        <w:ind w:left="0" w:leftChars="0" w:right="250" w:rightChars="119" w:hanging="15" w:firstLineChars="0"/>
        <w:jc w:val="left"/>
        <w:rPr>
          <w:rFonts w:hint="eastAsia" w:cs="宋体"/>
          <w:bCs w:val="0"/>
          <w:color w:val="auto"/>
          <w:sz w:val="21"/>
          <w:szCs w:val="21"/>
          <w:highlight w:val="none"/>
        </w:rPr>
      </w:pPr>
      <w:r>
        <w:rPr>
          <w:rFonts w:hint="eastAsia" w:cs="宋体"/>
          <w:bCs w:val="0"/>
          <w:color w:val="auto"/>
          <w:sz w:val="21"/>
          <w:szCs w:val="21"/>
          <w:highlight w:val="none"/>
        </w:rPr>
        <w:t>第4条 承包人</w:t>
      </w:r>
    </w:p>
    <w:p w14:paraId="74B21B7C">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4.1 承包人的一般义务</w:t>
      </w:r>
    </w:p>
    <w:p w14:paraId="0339D348">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u w:val="single"/>
        </w:rPr>
      </w:pPr>
      <w:r>
        <w:rPr>
          <w:rFonts w:hint="eastAsia" w:ascii="宋体" w:hAnsi="宋体" w:cs="宋体"/>
          <w:color w:val="auto"/>
          <w:szCs w:val="21"/>
          <w:highlight w:val="none"/>
        </w:rPr>
        <w:t>承包人应履行的其他义务：</w:t>
      </w:r>
      <w:r>
        <w:rPr>
          <w:rFonts w:hint="eastAsia" w:ascii="宋体" w:hAnsi="宋体" w:cs="宋体"/>
          <w:color w:val="auto"/>
          <w:szCs w:val="21"/>
          <w:highlight w:val="none"/>
          <w:u w:val="single"/>
        </w:rPr>
        <w:t>①工程竣工半年(含)内完成竣工结算；②无合同纠纷等原因拖欠农民工工资、材料款，出现群访及时处理；③质量无缺陷，及时整改到位，处理及时；④施工现场服从调度或工程进度不超过合同工期或按合同期限按时移交的；⑤月工程量进度及时完成；⑥按规定提供工程资料并及时归档的</w:t>
      </w:r>
      <w:r>
        <w:rPr>
          <w:rFonts w:hint="eastAsia" w:cs="宋体"/>
          <w:color w:val="auto"/>
          <w:szCs w:val="21"/>
          <w:highlight w:val="none"/>
          <w:u w:val="single"/>
        </w:rPr>
        <w:t>；⑦</w:t>
      </w:r>
      <w:r>
        <w:rPr>
          <w:rFonts w:hint="eastAsia" w:cs="宋体"/>
          <w:strike w:val="0"/>
          <w:dstrike w:val="0"/>
          <w:color w:val="auto"/>
          <w:szCs w:val="21"/>
          <w:highlight w:val="none"/>
          <w:u w:val="single"/>
          <w:lang w:val="en-US" w:eastAsia="zh-CN"/>
        </w:rPr>
        <w:t>发包人迎接上级主管部门检查需要承包人配合时，承包人无条件服从管理和配合</w:t>
      </w:r>
      <w:r>
        <w:rPr>
          <w:rFonts w:hint="eastAsia" w:cs="宋体"/>
          <w:color w:val="auto"/>
          <w:szCs w:val="21"/>
          <w:highlight w:val="none"/>
          <w:u w:val="single"/>
          <w:lang w:val="en-US" w:eastAsia="zh-CN"/>
        </w:rPr>
        <w:t>⑧</w:t>
      </w:r>
      <w:r>
        <w:rPr>
          <w:rFonts w:hint="eastAsia" w:cs="宋体"/>
          <w:color w:val="auto"/>
          <w:szCs w:val="21"/>
          <w:highlight w:val="none"/>
          <w:u w:val="single"/>
        </w:rPr>
        <w:t>其余均按合同通用条款执行。</w:t>
      </w:r>
    </w:p>
    <w:p w14:paraId="04676469">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4.2 履约担保</w:t>
      </w:r>
    </w:p>
    <w:p w14:paraId="7ECABE2E">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承包人是否提供履约担保：</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提供  </w:t>
      </w:r>
      <w:r>
        <w:rPr>
          <w:rFonts w:hint="eastAsia" w:ascii="宋体" w:hAnsi="宋体" w:cs="宋体"/>
          <w:color w:val="auto"/>
          <w:szCs w:val="21"/>
          <w:highlight w:val="none"/>
        </w:rPr>
        <w:t>。</w:t>
      </w:r>
    </w:p>
    <w:p w14:paraId="7F77CA6C">
      <w:pPr>
        <w:widowControl/>
        <w:tabs>
          <w:tab w:val="left" w:pos="220"/>
        </w:tabs>
        <w:adjustRightInd w:val="0"/>
        <w:snapToGrid w:val="0"/>
        <w:spacing w:line="440" w:lineRule="exact"/>
        <w:ind w:left="0" w:leftChars="0" w:right="250" w:rightChars="119" w:hanging="15" w:firstLineChars="0"/>
        <w:jc w:val="left"/>
        <w:rPr>
          <w:rFonts w:ascii="宋体" w:hAnsi="宋体" w:cs="宋体"/>
          <w:color w:val="auto"/>
          <w:szCs w:val="21"/>
          <w:highlight w:val="none"/>
          <w:u w:val="single"/>
        </w:rPr>
      </w:pPr>
      <w:r>
        <w:rPr>
          <w:rFonts w:hint="eastAsia" w:ascii="宋体" w:hAnsi="宋体" w:cs="宋体"/>
          <w:color w:val="auto"/>
          <w:szCs w:val="21"/>
          <w:highlight w:val="none"/>
        </w:rPr>
        <w:t>履约担保的方式、金额及期限: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详见须知前附表</w:t>
      </w:r>
      <w:r>
        <w:rPr>
          <w:rFonts w:hint="eastAsia" w:ascii="宋体" w:hAnsi="宋体" w:cs="宋体"/>
          <w:color w:val="auto"/>
          <w:szCs w:val="21"/>
          <w:highlight w:val="none"/>
          <w:u w:val="single"/>
        </w:rPr>
        <w:t>。</w:t>
      </w:r>
    </w:p>
    <w:p w14:paraId="1F596157">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4.3 工程总承包项目经理（</w:t>
      </w:r>
      <w:r>
        <w:rPr>
          <w:rFonts w:hint="eastAsia" w:ascii="宋体" w:hAnsi="宋体" w:eastAsia="宋体" w:cs="宋体"/>
          <w:color w:val="auto"/>
          <w:sz w:val="21"/>
          <w:szCs w:val="21"/>
          <w:highlight w:val="none"/>
        </w:rPr>
        <w:t>项目经理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建造师）</w:t>
      </w:r>
      <w:r>
        <w:rPr>
          <w:rFonts w:hint="eastAsia" w:ascii="宋体" w:hAnsi="宋体" w:cs="宋体"/>
          <w:color w:val="auto"/>
          <w:szCs w:val="21"/>
          <w:highlight w:val="none"/>
        </w:rPr>
        <w:t>，下同）</w:t>
      </w:r>
    </w:p>
    <w:p w14:paraId="5BB62860">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4.3.1 工程总承包项目经理姓名：</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7DF1D469">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执业资格或职称类型：</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cs="宋体"/>
          <w:color w:val="auto"/>
          <w:szCs w:val="21"/>
          <w:highlight w:val="none"/>
          <w:u w:val="single"/>
          <w:lang w:val="en-US" w:eastAsia="zh-CN"/>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561244CA">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执业资格证或职称证号码：</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65E5A7E1">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cs="宋体"/>
          <w:color w:val="auto"/>
          <w:szCs w:val="21"/>
          <w:highlight w:val="none"/>
          <w:u w:val="single"/>
          <w:lang w:val="en-US" w:eastAsia="zh-CN"/>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7FE6FC21">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电子邮箱：</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0B4F192F">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通信地址：</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461C05B9">
      <w:pPr>
        <w:widowControl/>
        <w:tabs>
          <w:tab w:val="left" w:pos="220"/>
        </w:tabs>
        <w:adjustRightInd w:val="0"/>
        <w:snapToGrid w:val="0"/>
        <w:spacing w:line="440" w:lineRule="exact"/>
        <w:ind w:left="0" w:leftChars="0" w:right="250" w:rightChars="119" w:hanging="15" w:firstLineChars="0"/>
        <w:jc w:val="left"/>
        <w:rPr>
          <w:rFonts w:cs="宋体"/>
          <w:color w:val="auto"/>
          <w:szCs w:val="21"/>
          <w:highlight w:val="none"/>
          <w:u w:val="single"/>
        </w:rPr>
      </w:pPr>
      <w:r>
        <w:rPr>
          <w:rFonts w:hint="eastAsia" w:ascii="宋体" w:hAnsi="宋体" w:cs="宋体"/>
          <w:color w:val="auto"/>
          <w:szCs w:val="21"/>
          <w:highlight w:val="none"/>
        </w:rPr>
        <w:t>承包人未提交劳动合同，以及没有为工程总承包</w:t>
      </w:r>
      <w:r>
        <w:rPr>
          <w:rFonts w:hint="eastAsia" w:ascii="宋体" w:hAnsi="宋体" w:eastAsia="宋体" w:cs="宋体"/>
          <w:color w:val="auto"/>
          <w:sz w:val="21"/>
          <w:szCs w:val="21"/>
          <w:highlight w:val="none"/>
        </w:rPr>
        <w:t>项目经理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建造师）</w:t>
      </w:r>
      <w:r>
        <w:rPr>
          <w:rFonts w:hint="eastAsia" w:ascii="宋体" w:hAnsi="宋体" w:cs="宋体"/>
          <w:color w:val="auto"/>
          <w:szCs w:val="21"/>
          <w:highlight w:val="none"/>
        </w:rPr>
        <w:t>缴纳社会保险证明的违约责</w:t>
      </w:r>
      <w:r>
        <w:rPr>
          <w:rFonts w:hint="eastAsia" w:cs="宋体"/>
          <w:color w:val="auto"/>
          <w:szCs w:val="21"/>
          <w:highlight w:val="none"/>
        </w:rPr>
        <w:t>任：</w:t>
      </w:r>
      <w:r>
        <w:rPr>
          <w:rFonts w:hint="eastAsia" w:cs="宋体"/>
          <w:color w:val="auto"/>
          <w:szCs w:val="21"/>
          <w:highlight w:val="none"/>
          <w:u w:val="single"/>
        </w:rPr>
        <w:t xml:space="preserve"> 签订本合同前提供，资格审查时已提供的，不再重复提供 </w:t>
      </w:r>
      <w:r>
        <w:rPr>
          <w:rFonts w:hint="eastAsia" w:cs="宋体"/>
          <w:color w:val="auto"/>
          <w:szCs w:val="21"/>
          <w:highlight w:val="none"/>
        </w:rPr>
        <w:t>。</w:t>
      </w:r>
    </w:p>
    <w:p w14:paraId="5D1934D9">
      <w:pPr>
        <w:widowControl/>
        <w:tabs>
          <w:tab w:val="left" w:pos="220"/>
        </w:tabs>
        <w:adjustRightInd w:val="0"/>
        <w:snapToGrid w:val="0"/>
        <w:spacing w:line="440" w:lineRule="exact"/>
        <w:ind w:left="0" w:leftChars="0" w:right="250" w:rightChars="119" w:hanging="15" w:firstLineChars="0"/>
        <w:jc w:val="left"/>
        <w:rPr>
          <w:rFonts w:ascii="宋体" w:hAnsi="宋体" w:cs="宋体"/>
          <w:color w:val="auto"/>
          <w:szCs w:val="21"/>
          <w:highlight w:val="none"/>
          <w:u w:val="single"/>
        </w:rPr>
      </w:pPr>
      <w:r>
        <w:rPr>
          <w:rFonts w:hint="eastAsia" w:ascii="宋体" w:hAnsi="宋体" w:cs="宋体"/>
          <w:color w:val="auto"/>
          <w:szCs w:val="21"/>
          <w:highlight w:val="none"/>
        </w:rPr>
        <w:t>4.3.2 工程总承包项目经理每月在现场的时间要</w:t>
      </w:r>
      <w:r>
        <w:rPr>
          <w:rFonts w:hint="eastAsia" w:cs="宋体"/>
          <w:color w:val="auto"/>
          <w:szCs w:val="21"/>
          <w:highlight w:val="none"/>
        </w:rPr>
        <w:t>求：</w:t>
      </w:r>
      <w:r>
        <w:rPr>
          <w:rFonts w:hint="eastAsia" w:cs="宋体"/>
          <w:color w:val="auto"/>
          <w:szCs w:val="21"/>
          <w:highlight w:val="none"/>
          <w:u w:val="single"/>
        </w:rPr>
        <w:t xml:space="preserve"> 项目经理</w:t>
      </w:r>
      <w:r>
        <w:rPr>
          <w:rFonts w:hint="eastAsia" w:cs="宋体"/>
          <w:color w:val="auto"/>
          <w:szCs w:val="21"/>
          <w:highlight w:val="none"/>
          <w:u w:val="single"/>
          <w:lang w:eastAsia="zh-CN"/>
        </w:rPr>
        <w:t>（</w:t>
      </w:r>
      <w:r>
        <w:rPr>
          <w:rFonts w:hint="eastAsia" w:cs="宋体"/>
          <w:color w:val="auto"/>
          <w:szCs w:val="21"/>
          <w:highlight w:val="none"/>
          <w:u w:val="single"/>
          <w:lang w:val="en-US" w:eastAsia="zh-CN"/>
        </w:rPr>
        <w:t>建造师）</w:t>
      </w:r>
      <w:r>
        <w:rPr>
          <w:rFonts w:hint="eastAsia" w:cs="宋体"/>
          <w:color w:val="auto"/>
          <w:szCs w:val="21"/>
          <w:highlight w:val="none"/>
          <w:u w:val="single"/>
        </w:rPr>
        <w:t>每月在岗时间不得少于20天，施工现场其他管理人员每月在岗时间不得少于22天。</w:t>
      </w:r>
    </w:p>
    <w:p w14:paraId="3A3AB7D5">
      <w:pPr>
        <w:widowControl/>
        <w:tabs>
          <w:tab w:val="left" w:pos="220"/>
        </w:tabs>
        <w:adjustRightInd w:val="0"/>
        <w:snapToGrid w:val="0"/>
        <w:spacing w:line="440" w:lineRule="exact"/>
        <w:ind w:left="0" w:leftChars="0" w:right="250" w:rightChars="119" w:hanging="15" w:firstLineChars="0"/>
        <w:jc w:val="left"/>
        <w:rPr>
          <w:rFonts w:ascii="宋体" w:hAnsi="宋体" w:cs="宋体"/>
          <w:color w:val="auto"/>
          <w:szCs w:val="21"/>
          <w:highlight w:val="none"/>
        </w:rPr>
      </w:pPr>
      <w:r>
        <w:rPr>
          <w:rFonts w:hint="eastAsia" w:ascii="宋体" w:hAnsi="宋体" w:cs="宋体"/>
          <w:color w:val="auto"/>
          <w:szCs w:val="21"/>
          <w:highlight w:val="none"/>
        </w:rPr>
        <w:t>工程总承包项目经理未经批准擅自离开施工现场的违约责</w:t>
      </w:r>
      <w:r>
        <w:rPr>
          <w:rFonts w:hint="eastAsia" w:cs="宋体"/>
          <w:color w:val="auto"/>
          <w:szCs w:val="21"/>
          <w:highlight w:val="none"/>
        </w:rPr>
        <w:t>任：</w:t>
      </w:r>
      <w:r>
        <w:rPr>
          <w:rFonts w:hint="eastAsia" w:cs="宋体"/>
          <w:color w:val="auto"/>
          <w:szCs w:val="21"/>
          <w:highlight w:val="none"/>
          <w:u w:val="single"/>
        </w:rPr>
        <w:t xml:space="preserve"> 未按规定在岗履责的，对项目经理和技术负责人处罚</w:t>
      </w:r>
      <w:r>
        <w:rPr>
          <w:rFonts w:hint="eastAsia" w:cs="宋体"/>
          <w:color w:val="auto"/>
          <w:szCs w:val="21"/>
          <w:highlight w:val="none"/>
          <w:u w:val="single"/>
          <w:lang w:val="en-US" w:eastAsia="zh-CN"/>
        </w:rPr>
        <w:t>10000</w:t>
      </w:r>
      <w:r>
        <w:rPr>
          <w:rFonts w:hint="eastAsia" w:cs="宋体"/>
          <w:color w:val="auto"/>
          <w:szCs w:val="21"/>
          <w:highlight w:val="none"/>
          <w:u w:val="single"/>
        </w:rPr>
        <w:t>元/人·天的违约金，对施工现场其他管理人员处罚</w:t>
      </w:r>
      <w:r>
        <w:rPr>
          <w:rFonts w:hint="eastAsia" w:cs="宋体"/>
          <w:color w:val="auto"/>
          <w:szCs w:val="21"/>
          <w:highlight w:val="none"/>
          <w:u w:val="single"/>
          <w:lang w:val="en-US" w:eastAsia="zh-CN"/>
        </w:rPr>
        <w:t>5</w:t>
      </w:r>
      <w:r>
        <w:rPr>
          <w:rFonts w:hint="eastAsia" w:cs="宋体"/>
          <w:color w:val="auto"/>
          <w:szCs w:val="21"/>
          <w:highlight w:val="none"/>
          <w:u w:val="single"/>
        </w:rPr>
        <w:t>000元/人·天的违约金。项目部关键岗位人员离岗必须向发包人项目组长履行请假手续，若被我单位和相关部门日常检查和随机抽查中发现不在岗的，又未履行请假手续的，处罚</w:t>
      </w:r>
      <w:r>
        <w:rPr>
          <w:rFonts w:hint="eastAsia" w:cs="宋体"/>
          <w:color w:val="auto"/>
          <w:szCs w:val="21"/>
          <w:highlight w:val="none"/>
          <w:u w:val="single"/>
          <w:lang w:val="en-US" w:eastAsia="zh-CN"/>
        </w:rPr>
        <w:t>10000</w:t>
      </w:r>
      <w:r>
        <w:rPr>
          <w:rFonts w:hint="eastAsia" w:cs="宋体"/>
          <w:color w:val="auto"/>
          <w:szCs w:val="21"/>
          <w:highlight w:val="none"/>
          <w:u w:val="single"/>
        </w:rPr>
        <w:t xml:space="preserve">元/人·次的违约金 </w:t>
      </w:r>
      <w:r>
        <w:rPr>
          <w:rFonts w:hint="eastAsia" w:cs="宋体"/>
          <w:color w:val="auto"/>
          <w:szCs w:val="21"/>
          <w:highlight w:val="none"/>
        </w:rPr>
        <w:t>。</w:t>
      </w:r>
    </w:p>
    <w:p w14:paraId="34437279">
      <w:pPr>
        <w:widowControl/>
        <w:tabs>
          <w:tab w:val="left" w:pos="220"/>
        </w:tabs>
        <w:adjustRightInd w:val="0"/>
        <w:snapToGrid w:val="0"/>
        <w:spacing w:line="440" w:lineRule="exact"/>
        <w:ind w:left="0" w:leftChars="0" w:right="250" w:rightChars="119" w:hanging="15" w:firstLineChars="0"/>
        <w:jc w:val="left"/>
        <w:rPr>
          <w:rFonts w:ascii="宋体" w:hAnsi="宋体" w:cs="宋体"/>
          <w:color w:val="auto"/>
          <w:szCs w:val="21"/>
          <w:highlight w:val="none"/>
        </w:rPr>
      </w:pPr>
      <w:r>
        <w:rPr>
          <w:rFonts w:hint="eastAsia" w:ascii="宋体" w:hAnsi="宋体" w:cs="宋体"/>
          <w:color w:val="auto"/>
          <w:szCs w:val="21"/>
          <w:highlight w:val="none"/>
        </w:rPr>
        <w:t>4.3.3 承包人对工程总承包</w:t>
      </w:r>
      <w:r>
        <w:rPr>
          <w:rFonts w:hint="eastAsia" w:ascii="宋体" w:hAnsi="宋体" w:eastAsia="宋体" w:cs="宋体"/>
          <w:color w:val="auto"/>
          <w:sz w:val="21"/>
          <w:szCs w:val="21"/>
          <w:highlight w:val="none"/>
        </w:rPr>
        <w:t>项目经理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建造师）</w:t>
      </w:r>
      <w:r>
        <w:rPr>
          <w:rFonts w:hint="eastAsia" w:ascii="宋体" w:hAnsi="宋体" w:cs="宋体"/>
          <w:color w:val="auto"/>
          <w:szCs w:val="21"/>
          <w:highlight w:val="none"/>
        </w:rPr>
        <w:t>的授权范</w:t>
      </w:r>
      <w:r>
        <w:rPr>
          <w:rFonts w:hint="eastAsia" w:cs="宋体"/>
          <w:color w:val="auto"/>
          <w:szCs w:val="21"/>
          <w:highlight w:val="none"/>
        </w:rPr>
        <w:t>围：</w:t>
      </w:r>
      <w:r>
        <w:rPr>
          <w:rFonts w:hint="eastAsia" w:cs="宋体"/>
          <w:color w:val="auto"/>
          <w:szCs w:val="21"/>
          <w:highlight w:val="none"/>
          <w:u w:val="single"/>
        </w:rPr>
        <w:t xml:space="preserve"> 由承包人明确授权范围             </w:t>
      </w:r>
      <w:r>
        <w:rPr>
          <w:rFonts w:hint="eastAsia" w:cs="宋体"/>
          <w:color w:val="auto"/>
          <w:szCs w:val="21"/>
          <w:highlight w:val="none"/>
        </w:rPr>
        <w:t>。</w:t>
      </w:r>
    </w:p>
    <w:p w14:paraId="7F1C7F7A">
      <w:pPr>
        <w:widowControl/>
        <w:tabs>
          <w:tab w:val="left" w:pos="220"/>
        </w:tabs>
        <w:adjustRightInd w:val="0"/>
        <w:snapToGrid w:val="0"/>
        <w:spacing w:line="440" w:lineRule="exact"/>
        <w:ind w:left="0" w:leftChars="0" w:right="250" w:rightChars="119" w:hanging="15" w:firstLineChars="0"/>
        <w:jc w:val="left"/>
        <w:rPr>
          <w:rFonts w:ascii="宋体" w:hAnsi="宋体" w:cs="宋体"/>
          <w:color w:val="auto"/>
          <w:szCs w:val="21"/>
          <w:highlight w:val="none"/>
        </w:rPr>
      </w:pPr>
      <w:r>
        <w:rPr>
          <w:rFonts w:hint="eastAsia" w:ascii="宋体" w:hAnsi="宋体" w:cs="宋体"/>
          <w:color w:val="auto"/>
          <w:szCs w:val="21"/>
          <w:highlight w:val="none"/>
        </w:rPr>
        <w:t>4.3.4 承包人擅自更换工程总承包</w:t>
      </w:r>
      <w:r>
        <w:rPr>
          <w:rFonts w:hint="eastAsia" w:ascii="宋体" w:hAnsi="宋体" w:eastAsia="宋体" w:cs="宋体"/>
          <w:color w:val="auto"/>
          <w:sz w:val="21"/>
          <w:szCs w:val="21"/>
          <w:highlight w:val="none"/>
        </w:rPr>
        <w:t>项目经理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建造师）</w:t>
      </w:r>
      <w:r>
        <w:rPr>
          <w:rFonts w:hint="eastAsia" w:ascii="宋体" w:hAnsi="宋体" w:cs="宋体"/>
          <w:color w:val="auto"/>
          <w:szCs w:val="21"/>
          <w:highlight w:val="none"/>
        </w:rPr>
        <w:t>的违约责</w:t>
      </w:r>
      <w:r>
        <w:rPr>
          <w:rFonts w:hint="eastAsia" w:cs="宋体"/>
          <w:color w:val="auto"/>
          <w:szCs w:val="21"/>
          <w:highlight w:val="none"/>
        </w:rPr>
        <w:t>任：</w:t>
      </w:r>
      <w:r>
        <w:rPr>
          <w:rFonts w:hint="eastAsia" w:cs="宋体"/>
          <w:color w:val="auto"/>
          <w:szCs w:val="21"/>
          <w:highlight w:val="none"/>
          <w:u w:val="single"/>
        </w:rPr>
        <w:t>项目经理变更必须经发包人批准，并满足《关于进一步加强建筑施工现场项目负责人变更行为管理的通知》及滁州市其他相关规定要求，除</w:t>
      </w:r>
      <w:r>
        <w:rPr>
          <w:rFonts w:hint="eastAsia" w:ascii="宋体" w:hAnsi="宋体" w:cs="宋体"/>
          <w:color w:val="auto"/>
          <w:szCs w:val="21"/>
          <w:highlight w:val="none"/>
          <w:u w:val="single"/>
        </w:rPr>
        <w:t>①患重病、发生意外等身体原因不能在施工现场进行管理的</w:t>
      </w:r>
      <w:r>
        <w:rPr>
          <w:rFonts w:hint="eastAsia" w:cs="宋体"/>
          <w:color w:val="auto"/>
          <w:szCs w:val="21"/>
          <w:highlight w:val="none"/>
          <w:u w:val="single"/>
        </w:rPr>
        <w:t>；②</w:t>
      </w:r>
      <w:r>
        <w:rPr>
          <w:rFonts w:hint="eastAsia" w:ascii="宋体" w:hAnsi="宋体" w:cs="宋体"/>
          <w:color w:val="auto"/>
          <w:szCs w:val="21"/>
          <w:highlight w:val="none"/>
          <w:u w:val="single"/>
        </w:rPr>
        <w:t>离职的</w:t>
      </w:r>
      <w:r>
        <w:rPr>
          <w:rFonts w:hint="eastAsia" w:cs="宋体"/>
          <w:color w:val="auto"/>
          <w:szCs w:val="21"/>
          <w:highlight w:val="none"/>
          <w:u w:val="single"/>
        </w:rPr>
        <w:t>；</w:t>
      </w:r>
      <w:r>
        <w:rPr>
          <w:rFonts w:hint="eastAsia" w:ascii="宋体" w:hAnsi="宋体" w:cs="宋体"/>
          <w:color w:val="auto"/>
          <w:szCs w:val="21"/>
          <w:highlight w:val="none"/>
          <w:u w:val="single"/>
        </w:rPr>
        <w:t>③违法违规行为不能继续从事施工现场管理工作的</w:t>
      </w:r>
      <w:r>
        <w:rPr>
          <w:rFonts w:hint="eastAsia" w:cs="宋体"/>
          <w:color w:val="auto"/>
          <w:szCs w:val="21"/>
          <w:highlight w:val="none"/>
          <w:u w:val="single"/>
        </w:rPr>
        <w:t>；</w:t>
      </w:r>
      <w:r>
        <w:rPr>
          <w:rFonts w:hint="eastAsia" w:ascii="宋体" w:hAnsi="宋体" w:cs="宋体"/>
          <w:color w:val="auto"/>
          <w:szCs w:val="21"/>
          <w:highlight w:val="none"/>
          <w:u w:val="single"/>
        </w:rPr>
        <w:t>④无能力履行合同责任义务被建设行政主管部门或建设单位责令更换的等原因外</w:t>
      </w:r>
      <w:r>
        <w:rPr>
          <w:rFonts w:hint="eastAsia" w:cs="宋体"/>
          <w:color w:val="auto"/>
          <w:szCs w:val="21"/>
          <w:highlight w:val="none"/>
          <w:u w:val="single"/>
        </w:rPr>
        <w:t>，原则上不得变更。其中亡故的需提供公安部门开具的死亡证明，重大疾病的需提供三甲及以上医院证明；出国、辞职等原因提出变更的，除需提供相关证明外，还须缴纳</w:t>
      </w:r>
      <w:r>
        <w:rPr>
          <w:rFonts w:hint="eastAsia" w:cs="宋体"/>
          <w:color w:val="auto"/>
          <w:szCs w:val="21"/>
          <w:highlight w:val="none"/>
          <w:u w:val="single"/>
          <w:lang w:val="en-US" w:eastAsia="zh-CN"/>
        </w:rPr>
        <w:t>10</w:t>
      </w:r>
      <w:r>
        <w:rPr>
          <w:rFonts w:hint="eastAsia" w:cs="宋体"/>
          <w:color w:val="auto"/>
          <w:szCs w:val="21"/>
          <w:highlight w:val="none"/>
          <w:u w:val="single"/>
        </w:rPr>
        <w:t xml:space="preserve">万元违约金，否则不得变更。变更后的项目负责人必须符合本项目招标文件和投标承诺配备的同等条件人员 </w:t>
      </w:r>
      <w:r>
        <w:rPr>
          <w:rFonts w:hint="eastAsia" w:cs="宋体"/>
          <w:color w:val="auto"/>
          <w:szCs w:val="21"/>
          <w:highlight w:val="none"/>
        </w:rPr>
        <w:t>。</w:t>
      </w:r>
    </w:p>
    <w:p w14:paraId="384865C2">
      <w:pPr>
        <w:widowControl/>
        <w:tabs>
          <w:tab w:val="left" w:pos="220"/>
        </w:tabs>
        <w:adjustRightInd w:val="0"/>
        <w:snapToGrid w:val="0"/>
        <w:spacing w:line="440" w:lineRule="exact"/>
        <w:ind w:left="0" w:leftChars="0" w:right="250" w:rightChars="119" w:hanging="15" w:firstLineChars="0"/>
        <w:jc w:val="left"/>
        <w:rPr>
          <w:rFonts w:hint="eastAsia" w:cs="宋体"/>
          <w:color w:val="auto"/>
          <w:szCs w:val="21"/>
          <w:highlight w:val="none"/>
          <w:u w:val="single"/>
        </w:rPr>
      </w:pPr>
      <w:r>
        <w:rPr>
          <w:rFonts w:hint="eastAsia" w:ascii="宋体" w:hAnsi="宋体" w:cs="宋体"/>
          <w:color w:val="auto"/>
          <w:szCs w:val="21"/>
          <w:highlight w:val="none"/>
        </w:rPr>
        <w:t>4.3.5 承包人无正当理由拒绝更换工程总承包项目经理的违约责</w:t>
      </w:r>
      <w:r>
        <w:rPr>
          <w:rFonts w:hint="eastAsia" w:cs="宋体"/>
          <w:color w:val="auto"/>
          <w:szCs w:val="21"/>
          <w:highlight w:val="none"/>
        </w:rPr>
        <w:t>任：</w:t>
      </w:r>
      <w:r>
        <w:rPr>
          <w:rFonts w:hint="eastAsia" w:cs="宋体"/>
          <w:color w:val="auto"/>
          <w:szCs w:val="21"/>
          <w:highlight w:val="none"/>
          <w:u w:val="single"/>
        </w:rPr>
        <w:t xml:space="preserve"> 发包人将组织对项目经理</w:t>
      </w:r>
      <w:r>
        <w:rPr>
          <w:rFonts w:hint="eastAsia" w:cs="宋体"/>
          <w:color w:val="auto"/>
          <w:szCs w:val="21"/>
          <w:highlight w:val="none"/>
          <w:u w:val="single"/>
          <w:lang w:eastAsia="zh-CN"/>
        </w:rPr>
        <w:t>（</w:t>
      </w:r>
      <w:r>
        <w:rPr>
          <w:rFonts w:hint="eastAsia" w:cs="宋体"/>
          <w:color w:val="auto"/>
          <w:szCs w:val="21"/>
          <w:highlight w:val="none"/>
          <w:u w:val="single"/>
          <w:lang w:val="en-US" w:eastAsia="zh-CN"/>
        </w:rPr>
        <w:t>建造师）</w:t>
      </w:r>
      <w:r>
        <w:rPr>
          <w:rFonts w:hint="eastAsia" w:cs="宋体"/>
          <w:color w:val="auto"/>
          <w:szCs w:val="21"/>
          <w:highlight w:val="none"/>
          <w:u w:val="single"/>
        </w:rPr>
        <w:t>进行业务能力考核，对未按投标文件配备或经考核不合格要求更换人员的，承包人7日内必须整改调整到位。否则，对于项目经理</w:t>
      </w:r>
      <w:r>
        <w:rPr>
          <w:rFonts w:hint="eastAsia" w:cs="宋体"/>
          <w:color w:val="auto"/>
          <w:szCs w:val="21"/>
          <w:highlight w:val="none"/>
          <w:u w:val="single"/>
          <w:lang w:eastAsia="zh-CN"/>
        </w:rPr>
        <w:t>（</w:t>
      </w:r>
      <w:r>
        <w:rPr>
          <w:rFonts w:hint="eastAsia" w:cs="宋体"/>
          <w:color w:val="auto"/>
          <w:szCs w:val="21"/>
          <w:highlight w:val="none"/>
          <w:u w:val="single"/>
          <w:lang w:val="en-US" w:eastAsia="zh-CN"/>
        </w:rPr>
        <w:t>建造师）</w:t>
      </w:r>
      <w:r>
        <w:rPr>
          <w:rFonts w:hint="eastAsia" w:cs="宋体"/>
          <w:color w:val="auto"/>
          <w:szCs w:val="21"/>
          <w:highlight w:val="none"/>
          <w:u w:val="single"/>
        </w:rPr>
        <w:t>和技术负责人，按照</w:t>
      </w:r>
      <w:r>
        <w:rPr>
          <w:rFonts w:hint="eastAsia" w:cs="宋体"/>
          <w:color w:val="auto"/>
          <w:szCs w:val="21"/>
          <w:highlight w:val="none"/>
          <w:u w:val="single"/>
          <w:lang w:val="en-US" w:eastAsia="zh-CN"/>
        </w:rPr>
        <w:t>10000</w:t>
      </w:r>
      <w:r>
        <w:rPr>
          <w:rFonts w:hint="eastAsia" w:cs="宋体"/>
          <w:color w:val="auto"/>
          <w:szCs w:val="21"/>
          <w:highlight w:val="none"/>
          <w:u w:val="single"/>
        </w:rPr>
        <w:t>元/人·天的违约金进行处罚，对于施工现场其他管理人员按照</w:t>
      </w:r>
      <w:r>
        <w:rPr>
          <w:rFonts w:hint="eastAsia" w:cs="宋体"/>
          <w:color w:val="auto"/>
          <w:szCs w:val="21"/>
          <w:highlight w:val="none"/>
          <w:u w:val="single"/>
          <w:lang w:val="en-US" w:eastAsia="zh-CN"/>
        </w:rPr>
        <w:t>5</w:t>
      </w:r>
      <w:r>
        <w:rPr>
          <w:rFonts w:hint="eastAsia" w:cs="宋体"/>
          <w:color w:val="auto"/>
          <w:szCs w:val="21"/>
          <w:highlight w:val="none"/>
          <w:u w:val="single"/>
        </w:rPr>
        <w:t>000元/人·天的违约金进行处罚。28日内未整改调整到位的，发包人有权终止合同，并提请相关行政主管部门对企业和人员进行“黑名单”处罚。</w:t>
      </w:r>
    </w:p>
    <w:p w14:paraId="3FDA70CC">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4.4 承包人人员</w:t>
      </w:r>
    </w:p>
    <w:p w14:paraId="43A7F9D8">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4.4.1 人员安排</w:t>
      </w:r>
    </w:p>
    <w:p w14:paraId="3CBE39AC">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承包人提交项目管理机构及施工现场人员安排的报告的期</w:t>
      </w:r>
      <w:r>
        <w:rPr>
          <w:rFonts w:hint="eastAsia" w:cs="宋体"/>
          <w:color w:val="auto"/>
          <w:szCs w:val="21"/>
          <w:highlight w:val="none"/>
        </w:rPr>
        <w:t>限：</w:t>
      </w:r>
      <w:r>
        <w:rPr>
          <w:rFonts w:hint="eastAsia" w:cs="宋体"/>
          <w:color w:val="auto"/>
          <w:szCs w:val="21"/>
          <w:highlight w:val="none"/>
          <w:u w:val="single"/>
        </w:rPr>
        <w:t xml:space="preserve"> 承包人应在合同签订后7日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3B4C536F">
      <w:pPr>
        <w:widowControl/>
        <w:tabs>
          <w:tab w:val="left" w:pos="220"/>
        </w:tabs>
        <w:adjustRightInd w:val="0"/>
        <w:snapToGrid w:val="0"/>
        <w:spacing w:line="440" w:lineRule="exact"/>
        <w:ind w:left="0" w:leftChars="0" w:right="250" w:rightChars="119" w:hanging="15" w:firstLineChars="0"/>
        <w:jc w:val="left"/>
        <w:rPr>
          <w:rFonts w:ascii="宋体" w:hAnsi="宋体" w:cs="宋体"/>
          <w:color w:val="auto"/>
          <w:szCs w:val="21"/>
          <w:highlight w:val="none"/>
          <w:u w:val="single"/>
        </w:rPr>
      </w:pPr>
      <w:r>
        <w:rPr>
          <w:rFonts w:hint="eastAsia" w:ascii="宋体" w:hAnsi="宋体" w:cs="宋体"/>
          <w:color w:val="auto"/>
          <w:szCs w:val="21"/>
          <w:highlight w:val="none"/>
        </w:rPr>
        <w:t>承包人提交关键人员信息及注册执业资格等证明其具备担任关键人员能力的相关文件的期</w:t>
      </w:r>
      <w:r>
        <w:rPr>
          <w:rFonts w:hint="eastAsia" w:cs="宋体"/>
          <w:color w:val="auto"/>
          <w:szCs w:val="21"/>
          <w:highlight w:val="none"/>
        </w:rPr>
        <w:t>限:</w:t>
      </w:r>
      <w:r>
        <w:rPr>
          <w:rFonts w:hint="eastAsia" w:cs="宋体"/>
          <w:color w:val="auto"/>
          <w:szCs w:val="21"/>
          <w:highlight w:val="none"/>
          <w:u w:val="single"/>
        </w:rPr>
        <w:t xml:space="preserve"> 承包人应在合同签订后7日内。</w:t>
      </w:r>
    </w:p>
    <w:p w14:paraId="3D5EA4A2">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4.4.2 关键人员更换</w:t>
      </w:r>
    </w:p>
    <w:p w14:paraId="55D1BB6B">
      <w:pPr>
        <w:widowControl/>
        <w:tabs>
          <w:tab w:val="left" w:pos="220"/>
        </w:tabs>
        <w:adjustRightInd w:val="0"/>
        <w:snapToGrid w:val="0"/>
        <w:spacing w:line="440" w:lineRule="exact"/>
        <w:ind w:left="0" w:leftChars="0" w:right="250" w:rightChars="119" w:hanging="15" w:firstLineChars="0"/>
        <w:jc w:val="left"/>
        <w:rPr>
          <w:rFonts w:ascii="宋体" w:hAnsi="宋体" w:cs="宋体"/>
          <w:color w:val="auto"/>
          <w:szCs w:val="21"/>
          <w:highlight w:val="none"/>
          <w:u w:val="single"/>
        </w:rPr>
      </w:pPr>
      <w:r>
        <w:rPr>
          <w:rFonts w:hint="eastAsia" w:ascii="宋体" w:hAnsi="宋体" w:cs="宋体"/>
          <w:color w:val="auto"/>
          <w:szCs w:val="21"/>
          <w:highlight w:val="none"/>
        </w:rPr>
        <w:t>承包人擅自更换关键人员的违约责任：</w:t>
      </w:r>
      <w:r>
        <w:rPr>
          <w:rFonts w:hint="eastAsia" w:cs="宋体"/>
          <w:color w:val="auto"/>
          <w:szCs w:val="21"/>
          <w:highlight w:val="none"/>
          <w:u w:val="single"/>
        </w:rPr>
        <w:t xml:space="preserve">     </w:t>
      </w:r>
      <w:r>
        <w:rPr>
          <w:rFonts w:hint="eastAsia" w:ascii="宋体" w:hAnsi="宋体" w:cs="宋体"/>
          <w:color w:val="auto"/>
          <w:szCs w:val="21"/>
          <w:highlight w:val="none"/>
          <w:u w:val="single"/>
        </w:rPr>
        <w:t>按照未按规定在岗履责进行处罚</w:t>
      </w:r>
      <w:r>
        <w:rPr>
          <w:rFonts w:hint="eastAsia" w:cs="宋体"/>
          <w:color w:val="auto"/>
          <w:szCs w:val="21"/>
          <w:highlight w:val="none"/>
          <w:u w:val="single"/>
        </w:rPr>
        <w:t xml:space="preserve">。            </w:t>
      </w:r>
    </w:p>
    <w:p w14:paraId="20C8D907">
      <w:pPr>
        <w:widowControl/>
        <w:tabs>
          <w:tab w:val="left" w:pos="220"/>
        </w:tabs>
        <w:adjustRightInd w:val="0"/>
        <w:snapToGrid w:val="0"/>
        <w:spacing w:line="440" w:lineRule="exact"/>
        <w:ind w:left="0" w:leftChars="0" w:right="250" w:rightChars="119" w:hanging="15" w:firstLineChars="0"/>
        <w:jc w:val="left"/>
        <w:rPr>
          <w:rFonts w:hint="eastAsia" w:cs="宋体"/>
          <w:color w:val="auto"/>
          <w:szCs w:val="21"/>
          <w:highlight w:val="none"/>
          <w:u w:val="single"/>
        </w:rPr>
      </w:pPr>
      <w:r>
        <w:rPr>
          <w:rFonts w:hint="eastAsia" w:ascii="宋体" w:hAnsi="宋体" w:cs="宋体"/>
          <w:color w:val="auto"/>
          <w:szCs w:val="21"/>
          <w:highlight w:val="none"/>
        </w:rPr>
        <w:t>承包人无正当理由拒绝撤换关键人员的违约责</w:t>
      </w:r>
      <w:r>
        <w:rPr>
          <w:rFonts w:hint="eastAsia" w:cs="宋体"/>
          <w:color w:val="auto"/>
          <w:szCs w:val="21"/>
          <w:highlight w:val="none"/>
        </w:rPr>
        <w:t>任：</w:t>
      </w:r>
      <w:r>
        <w:rPr>
          <w:rFonts w:hint="eastAsia" w:cs="宋体"/>
          <w:color w:val="auto"/>
          <w:szCs w:val="21"/>
          <w:highlight w:val="none"/>
          <w:u w:val="single"/>
        </w:rPr>
        <w:t>发包人将组织对人员进行业务能力考核，对未按投标文件配备或经考核不合格要求更换人员的，承包人7日内必须整改调整到位。否则，对于项目经理和技术负责人，按照</w:t>
      </w:r>
      <w:r>
        <w:rPr>
          <w:rFonts w:hint="eastAsia" w:cs="宋体"/>
          <w:color w:val="auto"/>
          <w:szCs w:val="21"/>
          <w:highlight w:val="none"/>
          <w:u w:val="single"/>
          <w:lang w:val="en-US" w:eastAsia="zh-CN"/>
        </w:rPr>
        <w:t>10000</w:t>
      </w:r>
      <w:r>
        <w:rPr>
          <w:rFonts w:hint="eastAsia" w:cs="宋体"/>
          <w:color w:val="auto"/>
          <w:szCs w:val="21"/>
          <w:highlight w:val="none"/>
          <w:u w:val="single"/>
        </w:rPr>
        <w:t>元/人·天的违约金进行处罚，对于施工现场其他管理人员按照</w:t>
      </w:r>
      <w:r>
        <w:rPr>
          <w:rFonts w:hint="eastAsia" w:cs="宋体"/>
          <w:color w:val="auto"/>
          <w:szCs w:val="21"/>
          <w:highlight w:val="none"/>
          <w:u w:val="single"/>
          <w:lang w:val="en-US" w:eastAsia="zh-CN"/>
        </w:rPr>
        <w:t>5000</w:t>
      </w:r>
      <w:r>
        <w:rPr>
          <w:rFonts w:hint="eastAsia" w:cs="宋体"/>
          <w:color w:val="auto"/>
          <w:szCs w:val="21"/>
          <w:highlight w:val="none"/>
          <w:u w:val="single"/>
        </w:rPr>
        <w:t>元/人·天的违约金进行处罚。28日内未整改调整到位的，发包人有权终止合同。</w:t>
      </w:r>
    </w:p>
    <w:p w14:paraId="0583DE53">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4.4.3 现场管理关键人员在岗要求</w:t>
      </w:r>
    </w:p>
    <w:p w14:paraId="3B345B7A">
      <w:pPr>
        <w:widowControl/>
        <w:tabs>
          <w:tab w:val="left" w:pos="220"/>
        </w:tabs>
        <w:adjustRightInd w:val="0"/>
        <w:snapToGrid w:val="0"/>
        <w:spacing w:line="440" w:lineRule="exact"/>
        <w:ind w:left="0" w:leftChars="0" w:right="250" w:rightChars="119" w:hanging="15" w:firstLineChars="0"/>
        <w:jc w:val="left"/>
        <w:rPr>
          <w:rFonts w:ascii="宋体" w:hAnsi="宋体" w:cs="宋体"/>
          <w:color w:val="auto"/>
          <w:szCs w:val="21"/>
          <w:highlight w:val="none"/>
          <w:u w:val="single"/>
        </w:rPr>
      </w:pPr>
      <w:r>
        <w:rPr>
          <w:rFonts w:hint="eastAsia" w:ascii="宋体" w:hAnsi="宋体" w:cs="宋体"/>
          <w:color w:val="auto"/>
          <w:szCs w:val="21"/>
          <w:highlight w:val="none"/>
        </w:rPr>
        <w:t>承包人现场管理关键人员离开施工现场的批准要</w:t>
      </w:r>
      <w:r>
        <w:rPr>
          <w:rFonts w:hint="eastAsia" w:cs="宋体"/>
          <w:color w:val="auto"/>
          <w:szCs w:val="21"/>
          <w:highlight w:val="none"/>
        </w:rPr>
        <w:t>求：</w:t>
      </w:r>
      <w:r>
        <w:rPr>
          <w:rFonts w:hint="eastAsia" w:cs="宋体"/>
          <w:color w:val="auto"/>
          <w:szCs w:val="21"/>
          <w:highlight w:val="none"/>
          <w:u w:val="single"/>
        </w:rPr>
        <w:t>项目部关键岗位人员离岗必须向发包人项目组履行请假手续，经批准后方可离开施工现场。</w:t>
      </w:r>
    </w:p>
    <w:p w14:paraId="746088E5">
      <w:pPr>
        <w:widowControl/>
        <w:tabs>
          <w:tab w:val="left" w:pos="220"/>
        </w:tabs>
        <w:adjustRightInd w:val="0"/>
        <w:snapToGrid w:val="0"/>
        <w:spacing w:line="440" w:lineRule="exact"/>
        <w:ind w:left="0" w:leftChars="0" w:right="250" w:rightChars="119" w:hanging="15" w:firstLineChars="0"/>
        <w:jc w:val="left"/>
        <w:rPr>
          <w:rFonts w:ascii="宋体" w:hAnsi="宋体" w:cs="宋体"/>
          <w:color w:val="auto"/>
          <w:szCs w:val="21"/>
          <w:highlight w:val="none"/>
          <w:u w:val="single"/>
        </w:rPr>
      </w:pPr>
      <w:r>
        <w:rPr>
          <w:rFonts w:hint="eastAsia" w:ascii="宋体" w:hAnsi="宋体" w:cs="宋体"/>
          <w:color w:val="auto"/>
          <w:szCs w:val="21"/>
          <w:highlight w:val="none"/>
        </w:rPr>
        <w:t>承包人现场管理关键人员擅自离开施工现场的违约责</w:t>
      </w:r>
      <w:r>
        <w:rPr>
          <w:rFonts w:hint="eastAsia" w:cs="宋体"/>
          <w:color w:val="auto"/>
          <w:szCs w:val="21"/>
          <w:highlight w:val="none"/>
        </w:rPr>
        <w:t>任：</w:t>
      </w:r>
      <w:r>
        <w:rPr>
          <w:rFonts w:hint="eastAsia" w:cs="宋体"/>
          <w:color w:val="auto"/>
          <w:szCs w:val="21"/>
          <w:highlight w:val="none"/>
          <w:u w:val="single"/>
        </w:rPr>
        <w:t>未按规定在岗履责的，对项目经理和技术负责人处罚</w:t>
      </w:r>
      <w:r>
        <w:rPr>
          <w:rFonts w:hint="eastAsia" w:cs="宋体"/>
          <w:color w:val="auto"/>
          <w:szCs w:val="21"/>
          <w:highlight w:val="none"/>
          <w:u w:val="single"/>
          <w:lang w:val="en-US" w:eastAsia="zh-CN"/>
        </w:rPr>
        <w:t>10000</w:t>
      </w:r>
      <w:r>
        <w:rPr>
          <w:rFonts w:hint="eastAsia" w:cs="宋体"/>
          <w:color w:val="auto"/>
          <w:szCs w:val="21"/>
          <w:highlight w:val="none"/>
          <w:u w:val="single"/>
        </w:rPr>
        <w:t>元/人·天的违约金，对施工现场其他管理人员处罚</w:t>
      </w:r>
      <w:r>
        <w:rPr>
          <w:rFonts w:hint="eastAsia" w:cs="宋体"/>
          <w:color w:val="auto"/>
          <w:szCs w:val="21"/>
          <w:highlight w:val="none"/>
          <w:u w:val="single"/>
          <w:lang w:val="en-US" w:eastAsia="zh-CN"/>
        </w:rPr>
        <w:t>5</w:t>
      </w:r>
      <w:r>
        <w:rPr>
          <w:rFonts w:hint="eastAsia" w:cs="宋体"/>
          <w:color w:val="auto"/>
          <w:szCs w:val="21"/>
          <w:highlight w:val="none"/>
          <w:u w:val="single"/>
        </w:rPr>
        <w:t>000元/人·天的违约金。项目部关键岗位人员离岗必须向发包人项目组履行请假手续，若被我</w:t>
      </w:r>
      <w:r>
        <w:rPr>
          <w:rFonts w:hint="eastAsia" w:cs="宋体"/>
          <w:color w:val="auto"/>
          <w:szCs w:val="21"/>
          <w:highlight w:val="none"/>
          <w:u w:val="single"/>
          <w:lang w:val="en-US" w:eastAsia="zh-CN"/>
        </w:rPr>
        <w:t>单位</w:t>
      </w:r>
      <w:r>
        <w:rPr>
          <w:rFonts w:hint="eastAsia" w:cs="宋体"/>
          <w:color w:val="auto"/>
          <w:szCs w:val="21"/>
          <w:highlight w:val="none"/>
          <w:u w:val="single"/>
        </w:rPr>
        <w:t>和相关部门日常检查和随机抽查中发现不在岗的，又未履行请假手续的，处罚</w:t>
      </w:r>
      <w:r>
        <w:rPr>
          <w:rFonts w:hint="eastAsia" w:cs="宋体"/>
          <w:color w:val="auto"/>
          <w:szCs w:val="21"/>
          <w:highlight w:val="none"/>
          <w:u w:val="single"/>
          <w:lang w:val="en-US" w:eastAsia="zh-CN"/>
        </w:rPr>
        <w:t>10000</w:t>
      </w:r>
      <w:r>
        <w:rPr>
          <w:rFonts w:hint="eastAsia" w:cs="宋体"/>
          <w:color w:val="auto"/>
          <w:szCs w:val="21"/>
          <w:highlight w:val="none"/>
          <w:u w:val="single"/>
        </w:rPr>
        <w:t>元/人·次的违约金 。</w:t>
      </w:r>
    </w:p>
    <w:p w14:paraId="38DAFE2A">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4.5 分包</w:t>
      </w:r>
    </w:p>
    <w:p w14:paraId="33A06776">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4.5.1 一般约定</w:t>
      </w:r>
    </w:p>
    <w:p w14:paraId="035E9944">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禁止分包的工程包括：</w:t>
      </w:r>
      <w:r>
        <w:rPr>
          <w:rFonts w:hint="eastAsia" w:ascii="宋体" w:hAnsi="宋体" w:eastAsia="宋体" w:cs="宋体"/>
          <w:color w:val="auto"/>
          <w:sz w:val="21"/>
          <w:szCs w:val="21"/>
          <w:highlight w:val="none"/>
          <w:u w:val="single"/>
        </w:rPr>
        <w:t>主体结构、关键性工作</w:t>
      </w:r>
      <w:r>
        <w:rPr>
          <w:rFonts w:hint="eastAsia" w:cs="宋体"/>
          <w:color w:val="auto"/>
          <w:szCs w:val="21"/>
          <w:highlight w:val="none"/>
          <w:u w:val="single"/>
        </w:rPr>
        <w:t xml:space="preserve">    </w:t>
      </w:r>
      <w:r>
        <w:rPr>
          <w:rFonts w:hint="eastAsia" w:ascii="宋体" w:hAnsi="宋体" w:cs="宋体"/>
          <w:color w:val="auto"/>
          <w:szCs w:val="21"/>
          <w:highlight w:val="none"/>
        </w:rPr>
        <w:t>。</w:t>
      </w:r>
    </w:p>
    <w:p w14:paraId="11B31774">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4.5.2 分包的确定</w:t>
      </w:r>
    </w:p>
    <w:p w14:paraId="61EA94E5">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u w:val="single"/>
        </w:rPr>
      </w:pPr>
      <w:r>
        <w:rPr>
          <w:rFonts w:hint="eastAsia" w:ascii="宋体" w:hAnsi="宋体" w:cs="宋体"/>
          <w:color w:val="auto"/>
          <w:szCs w:val="21"/>
          <w:highlight w:val="none"/>
        </w:rPr>
        <w:t>允许分包的工程包括：</w:t>
      </w:r>
      <w:r>
        <w:rPr>
          <w:rFonts w:hint="eastAsia" w:ascii="宋体" w:hAnsi="宋体" w:cs="宋体"/>
          <w:color w:val="auto"/>
          <w:szCs w:val="21"/>
          <w:highlight w:val="none"/>
          <w:u w:val="single"/>
        </w:rPr>
        <w:t xml:space="preserve">  </w:t>
      </w:r>
      <w:r>
        <w:rPr>
          <w:rFonts w:hint="eastAsia" w:ascii="宋体" w:hAnsi="宋体" w:cs="宋体"/>
          <w:strike w:val="0"/>
          <w:dstrike w:val="0"/>
          <w:color w:val="auto"/>
          <w:szCs w:val="21"/>
          <w:highlight w:val="none"/>
          <w:u w:val="single"/>
          <w:lang w:val="en-US" w:eastAsia="zh-CN"/>
        </w:rPr>
        <w:t>允许分包</w:t>
      </w:r>
      <w:r>
        <w:rPr>
          <w:rFonts w:hint="eastAsia" w:ascii="宋体" w:hAnsi="宋体" w:cs="宋体"/>
          <w:color w:val="auto"/>
          <w:szCs w:val="21"/>
          <w:highlight w:val="none"/>
          <w:u w:val="single"/>
        </w:rPr>
        <w:t>。</w:t>
      </w:r>
    </w:p>
    <w:p w14:paraId="4ADB655D">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u w:val="single"/>
        </w:rPr>
      </w:pPr>
      <w:r>
        <w:rPr>
          <w:rFonts w:hint="eastAsia" w:ascii="宋体" w:hAnsi="宋体" w:cs="宋体"/>
          <w:color w:val="auto"/>
          <w:szCs w:val="21"/>
          <w:highlight w:val="none"/>
        </w:rPr>
        <w:t>其他关于分包的约定：</w:t>
      </w:r>
      <w:r>
        <w:rPr>
          <w:rFonts w:hint="eastAsia" w:ascii="宋体" w:hAnsi="宋体" w:cs="宋体"/>
          <w:color w:val="auto"/>
          <w:szCs w:val="21"/>
          <w:highlight w:val="none"/>
          <w:u w:val="single"/>
        </w:rPr>
        <w:t xml:space="preserve"> 承包人不得以劳务分包的名义转包或违法分包工程。发包人在施工进场第一个月或施工过程中发现承包人转包、挂靠等行为的，发包人立即解除合同，清退出场，承包人已完合格工程量按合同价款60%进行结算。</w:t>
      </w:r>
    </w:p>
    <w:p w14:paraId="21FC70AA">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4.5.5 分包合同价款支付</w:t>
      </w:r>
    </w:p>
    <w:p w14:paraId="1FB4F3A5">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关于分包合同价款支付的约定：</w:t>
      </w:r>
      <w:r>
        <w:rPr>
          <w:rFonts w:hint="eastAsia" w:ascii="宋体" w:hAnsi="宋体" w:cs="宋体"/>
          <w:color w:val="auto"/>
          <w:szCs w:val="21"/>
          <w:highlight w:val="none"/>
          <w:u w:val="single"/>
        </w:rPr>
        <w:t xml:space="preserve"> （1）除本项第（2）和（3）条约定的情况外，分包合同价款由承包人与分包人结算，未经承包人同意，发包人不得向分包人支付分包工程价款；（2）生效法律文书要求发包人向分包人支付分包合同价款的，发包人有权从应付承包人工程款中扣除该部分款项 ；（3）恶意拖欠农民工工资，并经人力资源和社会保障部门核实的，发包人有权从应付承包人工程款中代付</w:t>
      </w:r>
      <w:r>
        <w:rPr>
          <w:rFonts w:hint="eastAsia" w:ascii="宋体" w:hAnsi="宋体" w:cs="宋体"/>
          <w:color w:val="auto"/>
          <w:szCs w:val="21"/>
          <w:highlight w:val="none"/>
        </w:rPr>
        <w:t>。</w:t>
      </w:r>
    </w:p>
    <w:p w14:paraId="2B6D01E3">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4.6 联合体</w:t>
      </w:r>
    </w:p>
    <w:p w14:paraId="029709A4">
      <w:pPr>
        <w:widowControl/>
        <w:tabs>
          <w:tab w:val="left" w:pos="220"/>
        </w:tabs>
        <w:adjustRightInd w:val="0"/>
        <w:snapToGrid w:val="0"/>
        <w:spacing w:line="440" w:lineRule="exact"/>
        <w:ind w:left="0" w:leftChars="0" w:right="250" w:rightChars="119" w:hanging="15" w:firstLineChars="0"/>
        <w:jc w:val="left"/>
        <w:rPr>
          <w:rFonts w:ascii="宋体" w:hAnsi="宋体" w:cs="宋体"/>
          <w:color w:val="auto"/>
          <w:szCs w:val="21"/>
          <w:highlight w:val="none"/>
          <w:u w:val="single"/>
        </w:rPr>
      </w:pPr>
      <w:r>
        <w:rPr>
          <w:rFonts w:hint="eastAsia" w:ascii="宋体" w:hAnsi="宋体" w:cs="宋体"/>
          <w:color w:val="auto"/>
          <w:szCs w:val="21"/>
          <w:highlight w:val="none"/>
        </w:rPr>
        <w:t>4.6.2 联合体各成员的分工、费用收取、发票开具等事</w:t>
      </w:r>
      <w:r>
        <w:rPr>
          <w:rFonts w:hint="eastAsia" w:cs="宋体"/>
          <w:color w:val="auto"/>
          <w:szCs w:val="21"/>
          <w:highlight w:val="none"/>
        </w:rPr>
        <w:t>项：</w:t>
      </w:r>
      <w:r>
        <w:rPr>
          <w:rFonts w:hint="eastAsia" w:cs="宋体"/>
          <w:color w:val="auto"/>
          <w:szCs w:val="21"/>
          <w:highlight w:val="none"/>
          <w:u w:val="single"/>
        </w:rPr>
        <w:t xml:space="preserve">  由承包人明确  。</w:t>
      </w:r>
    </w:p>
    <w:p w14:paraId="4408A7AD">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4.7 承包人现场查勘</w:t>
      </w:r>
    </w:p>
    <w:p w14:paraId="01DBD044">
      <w:pPr>
        <w:widowControl/>
        <w:tabs>
          <w:tab w:val="left" w:pos="220"/>
        </w:tabs>
        <w:adjustRightInd w:val="0"/>
        <w:snapToGrid w:val="0"/>
        <w:spacing w:line="440" w:lineRule="exact"/>
        <w:ind w:left="0" w:leftChars="0" w:right="250" w:rightChars="119" w:hanging="15" w:firstLineChars="0"/>
        <w:jc w:val="left"/>
        <w:rPr>
          <w:rFonts w:hint="eastAsia" w:cs="宋体"/>
          <w:color w:val="auto"/>
          <w:szCs w:val="21"/>
          <w:highlight w:val="none"/>
        </w:rPr>
      </w:pPr>
      <w:r>
        <w:rPr>
          <w:rFonts w:hint="eastAsia" w:ascii="宋体" w:hAnsi="宋体" w:cs="宋体"/>
          <w:color w:val="auto"/>
          <w:szCs w:val="21"/>
          <w:highlight w:val="none"/>
        </w:rPr>
        <w:t>4.7.1 双方当事人对现场查勘的责任承担的约</w:t>
      </w:r>
      <w:r>
        <w:rPr>
          <w:rFonts w:hint="eastAsia" w:cs="宋体"/>
          <w:color w:val="auto"/>
          <w:szCs w:val="21"/>
          <w:highlight w:val="none"/>
        </w:rPr>
        <w:t>定：</w:t>
      </w:r>
      <w:r>
        <w:rPr>
          <w:rFonts w:hint="eastAsia" w:cs="宋体"/>
          <w:color w:val="auto"/>
          <w:szCs w:val="21"/>
          <w:highlight w:val="none"/>
          <w:u w:val="single"/>
        </w:rPr>
        <w:t xml:space="preserve">  承包人自行承担        。</w:t>
      </w:r>
      <w:r>
        <w:rPr>
          <w:rFonts w:hint="eastAsia" w:cs="宋体"/>
          <w:color w:val="auto"/>
          <w:szCs w:val="21"/>
          <w:highlight w:val="none"/>
        </w:rPr>
        <w:t xml:space="preserve">   </w:t>
      </w:r>
    </w:p>
    <w:p w14:paraId="2D109B82">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4.8 不可预见的困难</w:t>
      </w:r>
      <w:r>
        <w:rPr>
          <w:rFonts w:hint="eastAsia" w:cs="宋体"/>
          <w:color w:val="auto"/>
          <w:szCs w:val="21"/>
          <w:highlight w:val="none"/>
        </w:rPr>
        <w:t xml:space="preserve"> </w:t>
      </w:r>
    </w:p>
    <w:p w14:paraId="17E19AD5">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不可预见的困难包括：</w:t>
      </w:r>
      <w:r>
        <w:rPr>
          <w:rFonts w:hint="eastAsia" w:cs="宋体"/>
          <w:color w:val="auto"/>
          <w:szCs w:val="21"/>
          <w:highlight w:val="none"/>
          <w:u w:val="single"/>
        </w:rPr>
        <w:t>执行通用条合同条件约定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41AAD7CD">
      <w:pPr>
        <w:pStyle w:val="221"/>
        <w:widowControl/>
        <w:tabs>
          <w:tab w:val="left" w:pos="220"/>
        </w:tabs>
        <w:adjustRightInd w:val="0"/>
        <w:snapToGrid w:val="0"/>
        <w:spacing w:before="93" w:beforeLines="30" w:after="93" w:afterLines="30" w:line="440" w:lineRule="exact"/>
        <w:ind w:left="0" w:leftChars="0" w:right="250" w:rightChars="119" w:hanging="15" w:firstLineChars="0"/>
        <w:jc w:val="left"/>
        <w:rPr>
          <w:rFonts w:hint="eastAsia" w:cs="宋体"/>
          <w:bCs w:val="0"/>
          <w:color w:val="auto"/>
          <w:sz w:val="21"/>
          <w:szCs w:val="21"/>
          <w:highlight w:val="none"/>
        </w:rPr>
      </w:pPr>
      <w:r>
        <w:rPr>
          <w:rFonts w:hint="eastAsia" w:cs="宋体"/>
          <w:bCs w:val="0"/>
          <w:color w:val="auto"/>
          <w:sz w:val="21"/>
          <w:szCs w:val="21"/>
          <w:highlight w:val="none"/>
        </w:rPr>
        <w:t>第5条 设计</w:t>
      </w:r>
    </w:p>
    <w:p w14:paraId="21FBF14F">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5.2 承包人文件审查</w:t>
      </w:r>
    </w:p>
    <w:p w14:paraId="059CE326">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5.2.1 承包人文件审查的期限：</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发包人对承包人文件审查不超过21天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04D2516A">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5.2.2 审查会议的审查形式和时间安排为：</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lang w:val="en-US" w:eastAsia="zh-CN"/>
        </w:rPr>
        <w:t>以发包人需求为准</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，审查会议的相关费用由</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承包人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承担。</w:t>
      </w:r>
    </w:p>
    <w:p w14:paraId="7D722EB2">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5.2.3 关于第三方审查单位的约定：</w:t>
      </w:r>
      <w:r>
        <w:rPr>
          <w:rFonts w:hint="eastAsia" w:ascii="宋体" w:hAnsi="宋体" w:cs="宋体"/>
          <w:color w:val="auto"/>
          <w:szCs w:val="21"/>
          <w:highlight w:val="none"/>
          <w:u w:val="single"/>
        </w:rPr>
        <w:t xml:space="preserve"> </w:t>
      </w:r>
      <w:r>
        <w:rPr>
          <w:rFonts w:hint="eastAsia" w:cs="宋体"/>
          <w:color w:val="auto"/>
          <w:szCs w:val="21"/>
          <w:highlight w:val="none"/>
          <w:u w:val="single"/>
        </w:rPr>
        <w:t>执行通用条合同条件约定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007002AD">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5.3 培训</w:t>
      </w:r>
    </w:p>
    <w:p w14:paraId="078DEA23">
      <w:pPr>
        <w:widowControl/>
        <w:tabs>
          <w:tab w:val="left" w:pos="220"/>
        </w:tabs>
        <w:adjustRightInd w:val="0"/>
        <w:snapToGrid w:val="0"/>
        <w:spacing w:line="440" w:lineRule="exact"/>
        <w:ind w:left="0" w:leftChars="0" w:right="250" w:rightChars="119" w:hanging="15" w:firstLineChars="0"/>
        <w:jc w:val="left"/>
        <w:rPr>
          <w:rFonts w:cs="宋体"/>
          <w:color w:val="auto"/>
          <w:szCs w:val="21"/>
          <w:highlight w:val="none"/>
          <w:u w:val="single"/>
        </w:rPr>
      </w:pPr>
      <w:r>
        <w:rPr>
          <w:rFonts w:hint="eastAsia" w:ascii="宋体" w:hAnsi="宋体" w:cs="宋体"/>
          <w:color w:val="auto"/>
          <w:szCs w:val="21"/>
          <w:highlight w:val="none"/>
        </w:rPr>
        <w:t>培训的时长为</w:t>
      </w:r>
      <w:r>
        <w:rPr>
          <w:rFonts w:hint="eastAsia" w:ascii="宋体" w:hAnsi="宋体" w:cs="宋体"/>
          <w:color w:val="auto"/>
          <w:szCs w:val="21"/>
          <w:highlight w:val="none"/>
          <w:u w:val="single"/>
        </w:rPr>
        <w:t xml:space="preserve"> 以发包人需求为准</w:t>
      </w:r>
      <w:r>
        <w:rPr>
          <w:rFonts w:hint="eastAsia" w:ascii="宋体" w:hAnsi="宋体" w:cs="宋体"/>
          <w:color w:val="auto"/>
          <w:szCs w:val="21"/>
          <w:highlight w:val="none"/>
        </w:rPr>
        <w:t>，承包人应为培训提供的人员、设施和其它必要条件</w:t>
      </w:r>
      <w:r>
        <w:rPr>
          <w:rFonts w:hint="eastAsia" w:cs="宋体"/>
          <w:color w:val="auto"/>
          <w:szCs w:val="21"/>
          <w:highlight w:val="none"/>
        </w:rPr>
        <w:t>为</w:t>
      </w:r>
      <w:r>
        <w:rPr>
          <w:rFonts w:hint="eastAsia" w:cs="宋体"/>
          <w:color w:val="auto"/>
          <w:szCs w:val="21"/>
          <w:highlight w:val="none"/>
          <w:u w:val="single"/>
        </w:rPr>
        <w:t xml:space="preserve"> 另行协商确定 。</w:t>
      </w:r>
    </w:p>
    <w:p w14:paraId="047E3538">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5.4 竣工文件</w:t>
      </w:r>
    </w:p>
    <w:p w14:paraId="05CFB365">
      <w:pPr>
        <w:widowControl/>
        <w:tabs>
          <w:tab w:val="left" w:pos="220"/>
        </w:tabs>
        <w:adjustRightInd w:val="0"/>
        <w:snapToGrid w:val="0"/>
        <w:spacing w:line="440" w:lineRule="exact"/>
        <w:ind w:left="0" w:leftChars="0" w:right="250" w:rightChars="119" w:hanging="15" w:firstLineChars="0"/>
        <w:jc w:val="left"/>
        <w:rPr>
          <w:rFonts w:cs="宋体"/>
          <w:color w:val="auto"/>
          <w:szCs w:val="21"/>
          <w:highlight w:val="none"/>
          <w:u w:val="single"/>
        </w:rPr>
      </w:pPr>
      <w:r>
        <w:rPr>
          <w:rFonts w:hint="eastAsia" w:ascii="宋体" w:hAnsi="宋体" w:cs="宋体"/>
          <w:color w:val="auto"/>
          <w:szCs w:val="21"/>
          <w:highlight w:val="none"/>
        </w:rPr>
        <w:t>5.4.1 竣工文件的形式、提供的份数、技术标准以及其它相关要</w:t>
      </w:r>
      <w:r>
        <w:rPr>
          <w:rFonts w:hint="eastAsia" w:cs="宋体"/>
          <w:color w:val="auto"/>
          <w:szCs w:val="21"/>
          <w:highlight w:val="none"/>
        </w:rPr>
        <w:t>求</w:t>
      </w:r>
      <w:r>
        <w:rPr>
          <w:rFonts w:hint="eastAsia" w:cs="宋体"/>
          <w:color w:val="auto"/>
          <w:szCs w:val="21"/>
          <w:highlight w:val="none"/>
          <w:u w:val="single"/>
        </w:rPr>
        <w:t xml:space="preserve"> </w:t>
      </w:r>
      <w:r>
        <w:rPr>
          <w:rFonts w:hint="eastAsia" w:cs="宋体"/>
          <w:strike w:val="0"/>
          <w:dstrike w:val="0"/>
          <w:color w:val="auto"/>
          <w:szCs w:val="21"/>
          <w:highlight w:val="none"/>
          <w:u w:val="single"/>
          <w:lang w:val="en-US" w:eastAsia="zh-CN"/>
        </w:rPr>
        <w:t>执行国家、安徽省、滁州市及市档案馆相关要求，所有费用由承包人承担</w:t>
      </w:r>
      <w:r>
        <w:rPr>
          <w:rFonts w:hint="eastAsia" w:cs="宋体"/>
          <w:color w:val="auto"/>
          <w:szCs w:val="21"/>
          <w:highlight w:val="none"/>
          <w:u w:val="single"/>
        </w:rPr>
        <w:t xml:space="preserve"> </w:t>
      </w:r>
      <w:r>
        <w:rPr>
          <w:rFonts w:hint="eastAsia" w:cs="宋体"/>
          <w:color w:val="auto"/>
          <w:szCs w:val="21"/>
          <w:highlight w:val="none"/>
          <w:u w:val="single"/>
          <w:lang w:eastAsia="zh-CN"/>
        </w:rPr>
        <w:t>；对于屋顶分布式项目，承包人应提供具备合格资质的单位出具的荷载报告计算书（签字盖章）。</w:t>
      </w:r>
    </w:p>
    <w:p w14:paraId="1F748BE6">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5.4.3 关于竣工文件的其他约定：</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执行发包人统一内容格式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3BD864DD">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5.5 操作和维修手册</w:t>
      </w:r>
    </w:p>
    <w:p w14:paraId="16941DDA">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5.5.3 对最终操作和维修手册的约定：</w:t>
      </w:r>
      <w:r>
        <w:rPr>
          <w:rFonts w:hint="eastAsia" w:cs="宋体"/>
          <w:color w:val="auto"/>
          <w:szCs w:val="21"/>
          <w:highlight w:val="none"/>
          <w:u w:val="single"/>
        </w:rPr>
        <w:t xml:space="preserve"> </w:t>
      </w:r>
      <w:r>
        <w:rPr>
          <w:rFonts w:hint="eastAsia" w:cs="宋体"/>
          <w:color w:val="auto"/>
          <w:szCs w:val="21"/>
          <w:highlight w:val="none"/>
          <w:u w:val="single"/>
          <w:lang w:val="en-US" w:eastAsia="zh-CN"/>
        </w:rPr>
        <w:t>发包人提供不少于6份</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05D15CF9">
      <w:pPr>
        <w:pStyle w:val="221"/>
        <w:widowControl/>
        <w:tabs>
          <w:tab w:val="left" w:pos="220"/>
        </w:tabs>
        <w:adjustRightInd w:val="0"/>
        <w:snapToGrid w:val="0"/>
        <w:spacing w:before="93" w:beforeLines="30" w:after="93" w:afterLines="30" w:line="440" w:lineRule="exact"/>
        <w:ind w:left="0" w:leftChars="0" w:right="250" w:rightChars="119" w:hanging="15" w:firstLineChars="0"/>
        <w:jc w:val="left"/>
        <w:rPr>
          <w:rFonts w:hint="eastAsia" w:cs="宋体"/>
          <w:bCs w:val="0"/>
          <w:color w:val="auto"/>
          <w:sz w:val="21"/>
          <w:szCs w:val="21"/>
          <w:highlight w:val="none"/>
        </w:rPr>
      </w:pPr>
      <w:r>
        <w:rPr>
          <w:rFonts w:hint="eastAsia" w:cs="宋体"/>
          <w:bCs w:val="0"/>
          <w:color w:val="auto"/>
          <w:sz w:val="21"/>
          <w:szCs w:val="21"/>
          <w:highlight w:val="none"/>
        </w:rPr>
        <w:t>第6条 材料、工程设备</w:t>
      </w:r>
    </w:p>
    <w:p w14:paraId="5F8861A1">
      <w:pPr>
        <w:pStyle w:val="221"/>
        <w:widowControl/>
        <w:tabs>
          <w:tab w:val="left" w:pos="220"/>
        </w:tabs>
        <w:adjustRightInd w:val="0"/>
        <w:snapToGrid w:val="0"/>
        <w:spacing w:before="93" w:beforeLines="30" w:after="93" w:afterLines="30" w:line="440" w:lineRule="exact"/>
        <w:ind w:left="0" w:leftChars="0" w:right="250" w:rightChars="119" w:hanging="15" w:firstLineChars="0"/>
        <w:jc w:val="left"/>
        <w:rPr>
          <w:rFonts w:hint="eastAsia" w:cs="宋体"/>
          <w:bCs w:val="0"/>
          <w:color w:val="auto"/>
          <w:sz w:val="21"/>
          <w:szCs w:val="21"/>
          <w:highlight w:val="none"/>
        </w:rPr>
      </w:pPr>
      <w:r>
        <w:rPr>
          <w:rFonts w:hint="eastAsia" w:cs="宋体"/>
          <w:bCs w:val="0"/>
          <w:color w:val="auto"/>
          <w:sz w:val="21"/>
          <w:szCs w:val="21"/>
          <w:highlight w:val="none"/>
        </w:rPr>
        <w:t>6.1 实施方法</w:t>
      </w:r>
    </w:p>
    <w:p w14:paraId="7F7CF2BE">
      <w:pPr>
        <w:widowControl/>
        <w:tabs>
          <w:tab w:val="left" w:pos="220"/>
        </w:tabs>
        <w:adjustRightInd w:val="0"/>
        <w:snapToGrid w:val="0"/>
        <w:spacing w:line="440" w:lineRule="exact"/>
        <w:ind w:left="0" w:leftChars="0" w:right="250" w:rightChars="119" w:hanging="15" w:firstLineChars="0"/>
        <w:jc w:val="left"/>
        <w:rPr>
          <w:rFonts w:ascii="宋体" w:hAnsi="宋体" w:cs="宋体"/>
          <w:color w:val="auto"/>
          <w:szCs w:val="21"/>
          <w:highlight w:val="none"/>
          <w:u w:val="single"/>
        </w:rPr>
      </w:pPr>
      <w:r>
        <w:rPr>
          <w:rFonts w:hint="eastAsia" w:ascii="宋体" w:hAnsi="宋体" w:cs="宋体"/>
          <w:color w:val="auto"/>
          <w:szCs w:val="21"/>
          <w:highlight w:val="none"/>
        </w:rPr>
        <w:t>双方当事人约定的实施方法、设备、设施和材</w:t>
      </w:r>
      <w:r>
        <w:rPr>
          <w:rFonts w:hint="eastAsia" w:cs="宋体"/>
          <w:color w:val="auto"/>
          <w:szCs w:val="21"/>
          <w:highlight w:val="none"/>
        </w:rPr>
        <w:t>料：</w:t>
      </w:r>
      <w:r>
        <w:rPr>
          <w:rFonts w:hint="eastAsia" w:cs="宋体"/>
          <w:color w:val="auto"/>
          <w:szCs w:val="21"/>
          <w:highlight w:val="none"/>
          <w:u w:val="single"/>
        </w:rPr>
        <w:t>执行通用</w:t>
      </w:r>
      <w:r>
        <w:rPr>
          <w:rFonts w:hint="eastAsia" w:cs="宋体"/>
          <w:color w:val="auto"/>
          <w:szCs w:val="21"/>
          <w:highlight w:val="none"/>
          <w:u w:val="single"/>
          <w:lang w:val="en-US" w:eastAsia="zh-CN"/>
        </w:rPr>
        <w:t>条款</w:t>
      </w:r>
      <w:r>
        <w:rPr>
          <w:rFonts w:hint="eastAsia" w:cs="宋体"/>
          <w:color w:val="auto"/>
          <w:szCs w:val="21"/>
          <w:highlight w:val="none"/>
          <w:u w:val="single"/>
        </w:rPr>
        <w:t>合同条件约定</w:t>
      </w:r>
      <w:r>
        <w:rPr>
          <w:rFonts w:hint="eastAsia" w:cs="宋体"/>
          <w:color w:val="auto"/>
          <w:szCs w:val="21"/>
          <w:highlight w:val="none"/>
          <w:u w:val="single"/>
          <w:lang w:val="en-US" w:eastAsia="zh-CN"/>
        </w:rPr>
        <w:t>外，承包人应按投标时响应的设备、材料品牌进行供货，且保证所供货物为全新的品牌原厂生产的正品货物</w:t>
      </w:r>
      <w:r>
        <w:rPr>
          <w:rFonts w:hint="eastAsia" w:cs="宋体"/>
          <w:color w:val="auto"/>
          <w:szCs w:val="21"/>
          <w:highlight w:val="none"/>
          <w:u w:val="single"/>
        </w:rPr>
        <w:t xml:space="preserve">  </w:t>
      </w:r>
      <w:r>
        <w:rPr>
          <w:rFonts w:hint="eastAsia" w:cs="宋体"/>
          <w:color w:val="auto"/>
          <w:szCs w:val="21"/>
          <w:highlight w:val="none"/>
        </w:rPr>
        <w:t xml:space="preserve"> 。</w:t>
      </w:r>
    </w:p>
    <w:p w14:paraId="77B99734">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6.2 材料和工程设备</w:t>
      </w:r>
    </w:p>
    <w:p w14:paraId="5BE480EA">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6.2.1 发包人提供的材料和工程设备</w:t>
      </w:r>
    </w:p>
    <w:p w14:paraId="5F5345C2">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发包人提供的材料和工程设备验收后，由</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承包人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负责接收、运输和保管。</w:t>
      </w:r>
    </w:p>
    <w:p w14:paraId="7D930752">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6.2.2 承包人提供的材料和工程设备</w:t>
      </w:r>
    </w:p>
    <w:p w14:paraId="0426E85B">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材料和工程设备的类别、估算数量：</w:t>
      </w:r>
      <w:r>
        <w:rPr>
          <w:rFonts w:hint="eastAsia" w:ascii="宋体" w:hAnsi="宋体" w:cs="宋体"/>
          <w:color w:val="auto"/>
          <w:szCs w:val="21"/>
          <w:highlight w:val="none"/>
          <w:u w:val="single"/>
        </w:rPr>
        <w:t>根据项目</w:t>
      </w:r>
      <w:r>
        <w:rPr>
          <w:rFonts w:hint="eastAsia" w:ascii="宋体" w:hAnsi="宋体" w:cs="宋体"/>
          <w:color w:val="auto"/>
          <w:szCs w:val="21"/>
          <w:highlight w:val="none"/>
          <w:u w:val="single"/>
          <w:lang w:val="en-US" w:eastAsia="zh-CN"/>
        </w:rPr>
        <w:t>最终实施方案及</w:t>
      </w:r>
      <w:r>
        <w:rPr>
          <w:rFonts w:hint="eastAsia" w:ascii="宋体" w:hAnsi="宋体" w:cs="宋体"/>
          <w:color w:val="auto"/>
          <w:szCs w:val="21"/>
          <w:highlight w:val="none"/>
          <w:u w:val="single"/>
        </w:rPr>
        <w:t xml:space="preserve">实际情况另行约定     </w:t>
      </w:r>
      <w:r>
        <w:rPr>
          <w:rFonts w:hint="eastAsia" w:ascii="宋体" w:hAnsi="宋体" w:cs="宋体"/>
          <w:color w:val="auto"/>
          <w:szCs w:val="21"/>
          <w:highlight w:val="none"/>
        </w:rPr>
        <w:t>。</w:t>
      </w:r>
    </w:p>
    <w:p w14:paraId="3DBC331B">
      <w:pPr>
        <w:widowControl/>
        <w:tabs>
          <w:tab w:val="left" w:pos="220"/>
        </w:tabs>
        <w:adjustRightInd w:val="0"/>
        <w:snapToGrid w:val="0"/>
        <w:spacing w:line="440" w:lineRule="exact"/>
        <w:ind w:left="0" w:leftChars="0" w:right="250" w:rightChars="119" w:hanging="15" w:firstLineChars="0"/>
        <w:jc w:val="left"/>
        <w:rPr>
          <w:rFonts w:ascii="宋体" w:hAnsi="宋体" w:cs="宋体"/>
          <w:color w:val="auto"/>
          <w:szCs w:val="21"/>
          <w:highlight w:val="none"/>
          <w:u w:val="single"/>
        </w:rPr>
      </w:pPr>
      <w:r>
        <w:rPr>
          <w:rFonts w:hint="eastAsia" w:ascii="宋体" w:hAnsi="宋体" w:cs="宋体"/>
          <w:color w:val="auto"/>
          <w:szCs w:val="21"/>
          <w:highlight w:val="none"/>
        </w:rPr>
        <w:t>竣工后试验的生产性材料的类别或（和）清</w:t>
      </w:r>
      <w:r>
        <w:rPr>
          <w:rFonts w:hint="eastAsia" w:cs="宋体"/>
          <w:color w:val="auto"/>
          <w:szCs w:val="21"/>
          <w:highlight w:val="none"/>
        </w:rPr>
        <w:t>单：</w:t>
      </w:r>
      <w:r>
        <w:rPr>
          <w:rFonts w:hint="eastAsia" w:ascii="宋体" w:hAnsi="宋体" w:cs="宋体"/>
          <w:color w:val="auto"/>
          <w:szCs w:val="21"/>
          <w:highlight w:val="none"/>
          <w:u w:val="single"/>
        </w:rPr>
        <w:t>根据项目</w:t>
      </w:r>
      <w:r>
        <w:rPr>
          <w:rFonts w:hint="eastAsia" w:ascii="宋体" w:hAnsi="宋体" w:cs="宋体"/>
          <w:color w:val="auto"/>
          <w:szCs w:val="21"/>
          <w:highlight w:val="none"/>
          <w:u w:val="single"/>
          <w:lang w:val="en-US" w:eastAsia="zh-CN"/>
        </w:rPr>
        <w:t>最终实施方案及</w:t>
      </w:r>
      <w:r>
        <w:rPr>
          <w:rFonts w:hint="eastAsia" w:ascii="宋体" w:hAnsi="宋体" w:cs="宋体"/>
          <w:color w:val="auto"/>
          <w:szCs w:val="21"/>
          <w:highlight w:val="none"/>
          <w:u w:val="single"/>
        </w:rPr>
        <w:t>实际情况另行约</w:t>
      </w:r>
      <w:r>
        <w:rPr>
          <w:rFonts w:hint="eastAsia" w:cs="宋体"/>
          <w:color w:val="auto"/>
          <w:szCs w:val="21"/>
          <w:highlight w:val="none"/>
          <w:u w:val="single"/>
          <w:lang w:val="en-US" w:eastAsia="zh-CN"/>
        </w:rPr>
        <w:t>定</w:t>
      </w:r>
      <w:r>
        <w:rPr>
          <w:rFonts w:hint="eastAsia" w:cs="宋体"/>
          <w:color w:val="auto"/>
          <w:szCs w:val="21"/>
          <w:highlight w:val="none"/>
          <w:u w:val="single"/>
        </w:rPr>
        <w:t>。</w:t>
      </w:r>
    </w:p>
    <w:p w14:paraId="753BD718">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6.2.3 材料和工程设备的保管</w:t>
      </w:r>
    </w:p>
    <w:p w14:paraId="3DCDE9EE">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发包人供应的材料和工程设备的保管费用由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承包人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承担。不计保管费。</w:t>
      </w:r>
    </w:p>
    <w:p w14:paraId="0B7DD77F">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承包人提交保管、维护方案的时间：</w:t>
      </w:r>
      <w:r>
        <w:rPr>
          <w:rFonts w:hint="eastAsia" w:ascii="宋体" w:hAnsi="宋体" w:cs="宋体"/>
          <w:color w:val="auto"/>
          <w:szCs w:val="21"/>
          <w:highlight w:val="none"/>
          <w:u w:val="single"/>
        </w:rPr>
        <w:t xml:space="preserve">     根据项目实际情况另行约定</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60123EEA">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发包人提供的库房、堆场、设施和设备：</w:t>
      </w:r>
      <w:r>
        <w:rPr>
          <w:rFonts w:hint="eastAsia" w:ascii="宋体" w:hAnsi="宋体" w:cs="宋体"/>
          <w:color w:val="auto"/>
          <w:szCs w:val="21"/>
          <w:highlight w:val="none"/>
          <w:u w:val="single"/>
        </w:rPr>
        <w:t xml:space="preserve">   根据项目实际情况另行约定</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21F945B5">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6.3 样品</w:t>
      </w:r>
    </w:p>
    <w:p w14:paraId="47ED8248">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6.3.1 样品的报送与封存</w:t>
      </w:r>
    </w:p>
    <w:p w14:paraId="082A11FB">
      <w:pPr>
        <w:widowControl/>
        <w:tabs>
          <w:tab w:val="left" w:pos="220"/>
        </w:tabs>
        <w:adjustRightInd w:val="0"/>
        <w:snapToGrid w:val="0"/>
        <w:spacing w:line="440" w:lineRule="exact"/>
        <w:ind w:left="0" w:leftChars="0" w:right="250" w:rightChars="119" w:hanging="15" w:firstLineChars="0"/>
        <w:jc w:val="left"/>
        <w:rPr>
          <w:rFonts w:ascii="宋体" w:hAnsi="宋体" w:cs="宋体"/>
          <w:color w:val="auto"/>
          <w:szCs w:val="21"/>
          <w:highlight w:val="none"/>
          <w:u w:val="single"/>
        </w:rPr>
      </w:pPr>
      <w:r>
        <w:rPr>
          <w:rFonts w:hint="eastAsia" w:ascii="宋体" w:hAnsi="宋体" w:cs="宋体"/>
          <w:color w:val="auto"/>
          <w:szCs w:val="21"/>
          <w:highlight w:val="none"/>
        </w:rPr>
        <w:t>需要承包人报送样品的材料或工程设备，样品种类、名称、规格、数</w:t>
      </w:r>
      <w:r>
        <w:rPr>
          <w:rFonts w:hint="eastAsia" w:cs="宋体"/>
          <w:color w:val="auto"/>
          <w:szCs w:val="21"/>
          <w:highlight w:val="none"/>
        </w:rPr>
        <w:t>量：</w:t>
      </w:r>
      <w:r>
        <w:rPr>
          <w:rFonts w:hint="eastAsia" w:cs="宋体"/>
          <w:color w:val="auto"/>
          <w:szCs w:val="21"/>
          <w:highlight w:val="none"/>
          <w:u w:val="single"/>
        </w:rPr>
        <w:t xml:space="preserve"> </w:t>
      </w:r>
      <w:r>
        <w:rPr>
          <w:rFonts w:hint="eastAsia" w:ascii="宋体" w:hAnsi="宋体" w:cs="宋体"/>
          <w:color w:val="auto"/>
          <w:szCs w:val="21"/>
          <w:highlight w:val="none"/>
          <w:u w:val="single"/>
        </w:rPr>
        <w:t>根据项目</w:t>
      </w:r>
      <w:r>
        <w:rPr>
          <w:rFonts w:hint="eastAsia" w:ascii="宋体" w:hAnsi="宋体" w:cs="宋体"/>
          <w:color w:val="auto"/>
          <w:szCs w:val="21"/>
          <w:highlight w:val="none"/>
          <w:u w:val="single"/>
          <w:lang w:val="en-US" w:eastAsia="zh-CN"/>
        </w:rPr>
        <w:t>最终实施方案及</w:t>
      </w:r>
      <w:r>
        <w:rPr>
          <w:rFonts w:hint="eastAsia" w:ascii="宋体" w:hAnsi="宋体" w:cs="宋体"/>
          <w:color w:val="auto"/>
          <w:szCs w:val="21"/>
          <w:highlight w:val="none"/>
          <w:u w:val="single"/>
        </w:rPr>
        <w:t>实际情况另行约</w:t>
      </w:r>
      <w:r>
        <w:rPr>
          <w:rFonts w:hint="eastAsia" w:ascii="宋体" w:hAnsi="宋体" w:cs="宋体"/>
          <w:color w:val="auto"/>
          <w:szCs w:val="21"/>
          <w:highlight w:val="none"/>
          <w:u w:val="single"/>
          <w:lang w:val="en-US" w:eastAsia="zh-CN"/>
        </w:rPr>
        <w:t>定，承包人需在最终实施方案确定后，与发包人、监理单位明确所需报送样品清单</w:t>
      </w:r>
      <w:r>
        <w:rPr>
          <w:rFonts w:hint="eastAsia" w:cs="宋体"/>
          <w:color w:val="auto"/>
          <w:szCs w:val="21"/>
          <w:highlight w:val="none"/>
          <w:u w:val="single"/>
        </w:rPr>
        <w:t xml:space="preserve"> 。 </w:t>
      </w:r>
    </w:p>
    <w:p w14:paraId="1317AA06">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6.4 质量检查</w:t>
      </w:r>
    </w:p>
    <w:p w14:paraId="75562F4A">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6.4.1 工程质量要求</w:t>
      </w:r>
    </w:p>
    <w:p w14:paraId="5DBC4DA0">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工程质量的特殊标准或要求：</w:t>
      </w:r>
      <w:r>
        <w:rPr>
          <w:rFonts w:hint="eastAsia" w:ascii="宋体" w:hAnsi="宋体" w:cs="宋体"/>
          <w:color w:val="auto"/>
          <w:szCs w:val="21"/>
          <w:highlight w:val="none"/>
          <w:u w:val="single"/>
        </w:rPr>
        <w:t xml:space="preserve"> 工程质量必须达到国家工程施工质量验收合格标准</w:t>
      </w:r>
      <w:r>
        <w:rPr>
          <w:rFonts w:hint="eastAsia" w:ascii="宋体" w:hAnsi="宋体" w:cs="宋体"/>
          <w:color w:val="auto"/>
          <w:szCs w:val="21"/>
          <w:highlight w:val="none"/>
          <w:u w:val="single"/>
          <w:lang w:val="en-US" w:eastAsia="zh-CN"/>
        </w:rPr>
        <w:t>及电力行业相关验收合格标准</w:t>
      </w:r>
      <w:r>
        <w:rPr>
          <w:rFonts w:hint="eastAsia" w:ascii="宋体" w:hAnsi="宋体" w:cs="宋体"/>
          <w:color w:val="auto"/>
          <w:szCs w:val="21"/>
          <w:highlight w:val="none"/>
          <w:u w:val="single"/>
        </w:rPr>
        <w:t>。</w:t>
      </w:r>
    </w:p>
    <w:p w14:paraId="4BC0CEFA">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6.4.2 质量检查</w:t>
      </w:r>
    </w:p>
    <w:p w14:paraId="78AFC288">
      <w:pPr>
        <w:widowControl/>
        <w:tabs>
          <w:tab w:val="left" w:pos="220"/>
        </w:tabs>
        <w:adjustRightInd w:val="0"/>
        <w:snapToGrid w:val="0"/>
        <w:spacing w:line="440" w:lineRule="exact"/>
        <w:ind w:left="0" w:leftChars="0" w:right="250" w:rightChars="119" w:hanging="15" w:firstLineChars="0"/>
        <w:jc w:val="left"/>
        <w:rPr>
          <w:rFonts w:cs="宋体"/>
          <w:color w:val="auto"/>
          <w:szCs w:val="21"/>
          <w:highlight w:val="none"/>
          <w:u w:val="single"/>
        </w:rPr>
      </w:pPr>
      <w:r>
        <w:rPr>
          <w:rFonts w:hint="eastAsia" w:ascii="宋体" w:hAnsi="宋体" w:cs="宋体"/>
          <w:color w:val="auto"/>
          <w:szCs w:val="21"/>
          <w:highlight w:val="none"/>
        </w:rPr>
        <w:t>除通用合同条件已列明的质量检查的地点外，发包人有权进行质量检查的其他地</w:t>
      </w:r>
      <w:r>
        <w:rPr>
          <w:rFonts w:hint="eastAsia" w:cs="宋体"/>
          <w:color w:val="auto"/>
          <w:szCs w:val="21"/>
          <w:highlight w:val="none"/>
        </w:rPr>
        <w:t>点：</w:t>
      </w:r>
      <w:r>
        <w:rPr>
          <w:rFonts w:hint="eastAsia" w:cs="宋体"/>
          <w:color w:val="auto"/>
          <w:szCs w:val="21"/>
          <w:highlight w:val="none"/>
          <w:u w:val="single"/>
        </w:rPr>
        <w:t xml:space="preserve"> 执行通用合同条件 </w:t>
      </w:r>
      <w:r>
        <w:rPr>
          <w:rFonts w:hint="eastAsia" w:cs="宋体"/>
          <w:color w:val="auto"/>
          <w:szCs w:val="21"/>
          <w:highlight w:val="none"/>
        </w:rPr>
        <w:t>。</w:t>
      </w:r>
    </w:p>
    <w:p w14:paraId="4028DC19">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6.4.3 隐蔽工程检查</w:t>
      </w:r>
    </w:p>
    <w:p w14:paraId="654DFF80">
      <w:pPr>
        <w:keepNext w:val="0"/>
        <w:keepLines w:val="0"/>
        <w:pageBreakBefore w:val="0"/>
        <w:widowControl/>
        <w:tabs>
          <w:tab w:val="left" w:pos="220"/>
        </w:tabs>
        <w:kinsoku/>
        <w:wordWrap/>
        <w:overflowPunct/>
        <w:topLinePunct w:val="0"/>
        <w:autoSpaceDE/>
        <w:autoSpaceDN/>
        <w:bidi w:val="0"/>
        <w:adjustRightInd w:val="0"/>
        <w:snapToGrid w:val="0"/>
        <w:spacing w:line="440" w:lineRule="exact"/>
        <w:ind w:left="-17" w:leftChars="0" w:right="250" w:rightChars="119" w:firstLine="420" w:firstLineChars="200"/>
        <w:jc w:val="left"/>
        <w:textAlignment w:val="auto"/>
        <w:rPr>
          <w:rFonts w:hint="eastAsia"/>
          <w:color w:val="auto"/>
          <w:highlight w:val="none"/>
        </w:rPr>
      </w:pPr>
      <w:r>
        <w:rPr>
          <w:rFonts w:hint="eastAsia" w:ascii="宋体" w:hAnsi="宋体" w:cs="宋体"/>
          <w:color w:val="auto"/>
          <w:szCs w:val="21"/>
          <w:highlight w:val="none"/>
        </w:rPr>
        <w:t>关于隐蔽工程的特别约定：</w:t>
      </w:r>
      <w:r>
        <w:rPr>
          <w:rFonts w:hint="eastAsia" w:ascii="宋体" w:hAnsi="宋体" w:eastAsia="宋体" w:cs="宋体"/>
          <w:color w:val="auto"/>
          <w:szCs w:val="21"/>
          <w:highlight w:val="none"/>
          <w:u w:val="single"/>
        </w:rPr>
        <w:t>隐蔽工程在隐蔽前12小时内、其它项目(分部、分项工程)完工后12小时内，承包人将验收内容、时间和地点以书面形式通知工程师到现场验收，验收合格后 12 小时内，工程师在验收记录上签字后，承包人可继续施工；验收不合格，承包人在发包人限定的时间内整改后重新验收。当发包人要求对已经隐蔽的工程重新检验时，承包人应按其要求进行剥离或开孔，并在检验后重新覆盖或修复</w:t>
      </w:r>
      <w:r>
        <w:rPr>
          <w:rFonts w:hint="eastAsia" w:ascii="宋体" w:hAnsi="宋体" w:eastAsia="宋体" w:cs="宋体"/>
          <w:color w:val="auto"/>
          <w:szCs w:val="21"/>
          <w:highlight w:val="none"/>
          <w:u w:val="single"/>
          <w:lang w:eastAsia="zh-CN"/>
        </w:rPr>
        <w:t>，</w:t>
      </w:r>
      <w:r>
        <w:rPr>
          <w:rFonts w:hint="eastAsia" w:ascii="宋体" w:hAnsi="宋体" w:eastAsia="宋体" w:cs="宋体"/>
          <w:color w:val="auto"/>
          <w:szCs w:val="21"/>
          <w:highlight w:val="none"/>
          <w:u w:val="single"/>
          <w:lang w:val="en-US" w:eastAsia="zh-CN"/>
        </w:rPr>
        <w:t>承包人承担相关费用</w:t>
      </w:r>
      <w:r>
        <w:rPr>
          <w:rFonts w:hint="eastAsia" w:ascii="宋体" w:hAnsi="宋体" w:eastAsia="宋体" w:cs="宋体"/>
          <w:color w:val="auto"/>
          <w:szCs w:val="21"/>
          <w:highlight w:val="none"/>
          <w:u w:val="single"/>
        </w:rPr>
        <w:t>。检验不合格，承包人承担由此发生的全部费用，工期不予顺延。承包人应认真按照行业标准、规范、设计标准的要求以及发包人代表依据合同发出的指令施工，随时接受发包人代表及其委派人员检查检验，为检查检验提供便利条件。由承包人原因引起的质量问题，发包人代表及其委派人员的有权要求返工、修改，由此而导致返工、修改的费用，承包人全部承担，工期不予顺延。</w:t>
      </w:r>
    </w:p>
    <w:p w14:paraId="5786DC24">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u w:val="single"/>
        </w:rPr>
      </w:pPr>
      <w:r>
        <w:rPr>
          <w:rFonts w:hint="eastAsia" w:ascii="宋体" w:hAnsi="宋体" w:cs="宋体"/>
          <w:color w:val="auto"/>
          <w:szCs w:val="21"/>
          <w:highlight w:val="none"/>
        </w:rPr>
        <w:t>关于延期最长不得超过：</w:t>
      </w:r>
      <w:r>
        <w:rPr>
          <w:rFonts w:hint="eastAsia" w:ascii="宋体" w:hAnsi="宋体" w:cs="宋体"/>
          <w:color w:val="auto"/>
          <w:szCs w:val="21"/>
          <w:highlight w:val="none"/>
          <w:u w:val="single"/>
          <w:lang w:val="en-US" w:eastAsia="zh-CN"/>
        </w:rPr>
        <w:t>12</w:t>
      </w:r>
      <w:r>
        <w:rPr>
          <w:rFonts w:hint="eastAsia" w:ascii="宋体" w:hAnsi="宋体" w:cs="宋体"/>
          <w:color w:val="auto"/>
          <w:szCs w:val="21"/>
          <w:highlight w:val="none"/>
          <w:u w:val="single"/>
        </w:rPr>
        <w:t>小时。</w:t>
      </w:r>
    </w:p>
    <w:p w14:paraId="14B8B5A6">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6.5 由承包人试验和检验</w:t>
      </w:r>
    </w:p>
    <w:p w14:paraId="4FB479AA">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6.5.1 试验设备与试验人员</w:t>
      </w:r>
    </w:p>
    <w:p w14:paraId="56831B9E">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试验的内容、时间和地点：</w:t>
      </w:r>
      <w:r>
        <w:rPr>
          <w:rFonts w:hint="eastAsia" w:ascii="宋体" w:hAnsi="宋体" w:cs="宋体"/>
          <w:color w:val="auto"/>
          <w:szCs w:val="21"/>
          <w:highlight w:val="none"/>
          <w:u w:val="single"/>
        </w:rPr>
        <w:t>根据质量检测及验收相关规定和现场实际情况确定</w:t>
      </w:r>
      <w:r>
        <w:rPr>
          <w:rFonts w:hint="eastAsia" w:ascii="宋体" w:hAnsi="宋体" w:cs="宋体"/>
          <w:color w:val="auto"/>
          <w:szCs w:val="21"/>
          <w:highlight w:val="none"/>
          <w:u w:val="single"/>
          <w:lang w:eastAsia="zh-CN"/>
        </w:rPr>
        <w:t>，</w:t>
      </w:r>
      <w:r>
        <w:rPr>
          <w:rFonts w:hint="eastAsia" w:ascii="宋体" w:hAnsi="宋体" w:cs="宋体"/>
          <w:color w:val="auto"/>
          <w:szCs w:val="21"/>
          <w:highlight w:val="none"/>
          <w:u w:val="single"/>
          <w:lang w:val="en-US" w:eastAsia="zh-CN"/>
        </w:rPr>
        <w:t>在所需试验前7日需上报发包人及监理单位，约定试验时间、地点及内容，发包人或监理单位有权邀请专家一同进行验收，所需费用由承包人承担</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1327DE80">
      <w:pPr>
        <w:widowControl/>
        <w:tabs>
          <w:tab w:val="left" w:pos="220"/>
        </w:tabs>
        <w:adjustRightInd w:val="0"/>
        <w:snapToGrid w:val="0"/>
        <w:spacing w:line="440" w:lineRule="exact"/>
        <w:ind w:left="0" w:leftChars="0" w:right="250" w:rightChars="119" w:hanging="15" w:firstLineChars="0"/>
        <w:jc w:val="left"/>
        <w:rPr>
          <w:rFonts w:ascii="宋体" w:hAnsi="宋体" w:cs="宋体"/>
          <w:color w:val="auto"/>
          <w:szCs w:val="21"/>
          <w:highlight w:val="none"/>
          <w:u w:val="single"/>
        </w:rPr>
      </w:pPr>
      <w:r>
        <w:rPr>
          <w:rFonts w:hint="eastAsia" w:ascii="宋体" w:hAnsi="宋体" w:cs="宋体"/>
          <w:color w:val="auto"/>
          <w:szCs w:val="21"/>
          <w:highlight w:val="none"/>
        </w:rPr>
        <w:t>试验所需要的试验设备、取样装置、试验场所和试验条</w:t>
      </w:r>
      <w:r>
        <w:rPr>
          <w:rFonts w:hint="eastAsia" w:cs="宋体"/>
          <w:color w:val="auto"/>
          <w:szCs w:val="21"/>
          <w:highlight w:val="none"/>
        </w:rPr>
        <w:t>件：</w:t>
      </w:r>
      <w:r>
        <w:rPr>
          <w:rFonts w:hint="eastAsia" w:ascii="宋体" w:hAnsi="宋体" w:cs="宋体"/>
          <w:color w:val="auto"/>
          <w:szCs w:val="21"/>
          <w:highlight w:val="none"/>
          <w:u w:val="single"/>
        </w:rPr>
        <w:t>根据质量检测及验收相关规定和现场实际情况确定</w:t>
      </w:r>
      <w:r>
        <w:rPr>
          <w:rFonts w:hint="eastAsia" w:ascii="宋体" w:hAnsi="宋体" w:cs="宋体"/>
          <w:color w:val="auto"/>
          <w:szCs w:val="21"/>
          <w:highlight w:val="none"/>
          <w:u w:val="single"/>
          <w:lang w:eastAsia="zh-CN"/>
        </w:rPr>
        <w:t>，</w:t>
      </w:r>
      <w:r>
        <w:rPr>
          <w:rFonts w:hint="eastAsia" w:ascii="宋体" w:hAnsi="宋体" w:cs="宋体"/>
          <w:color w:val="auto"/>
          <w:szCs w:val="21"/>
          <w:highlight w:val="none"/>
          <w:u w:val="single"/>
          <w:lang w:val="en-US" w:eastAsia="zh-CN"/>
        </w:rPr>
        <w:t>在所需试验前7日需上报发包人及监理单位，约定试验所需要的试验设备、取样装置、试验场所和试验条件，承包人应准备齐全以备试验需要，所需费用包含在合同价中</w:t>
      </w:r>
      <w:r>
        <w:rPr>
          <w:rFonts w:hint="eastAsia" w:cs="宋体"/>
          <w:color w:val="auto"/>
          <w:szCs w:val="21"/>
          <w:highlight w:val="none"/>
          <w:u w:val="single"/>
        </w:rPr>
        <w:t>。</w:t>
      </w:r>
    </w:p>
    <w:p w14:paraId="2D170CEC">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u w:val="single"/>
        </w:rPr>
      </w:pPr>
      <w:r>
        <w:rPr>
          <w:rFonts w:hint="eastAsia" w:ascii="宋体" w:hAnsi="宋体" w:cs="宋体"/>
          <w:color w:val="auto"/>
          <w:szCs w:val="21"/>
          <w:highlight w:val="none"/>
        </w:rPr>
        <w:t>试验和检验费用的计价原则：</w:t>
      </w:r>
      <w:r>
        <w:rPr>
          <w:rFonts w:hint="eastAsia" w:ascii="宋体" w:hAnsi="宋体" w:cs="宋体"/>
          <w:color w:val="auto"/>
          <w:szCs w:val="21"/>
          <w:highlight w:val="none"/>
          <w:u w:val="single"/>
        </w:rPr>
        <w:t xml:space="preserve"> </w:t>
      </w:r>
      <w:r>
        <w:rPr>
          <w:rFonts w:hint="eastAsia" w:cs="宋体"/>
          <w:color w:val="auto"/>
          <w:szCs w:val="21"/>
          <w:highlight w:val="none"/>
          <w:u w:val="single"/>
        </w:rPr>
        <w:t>由承包人自理，</w:t>
      </w:r>
      <w:r>
        <w:rPr>
          <w:rFonts w:hint="eastAsia" w:cs="宋体"/>
          <w:color w:val="auto"/>
          <w:szCs w:val="21"/>
          <w:highlight w:val="none"/>
          <w:u w:val="single"/>
          <w:lang w:val="en-US" w:eastAsia="zh-CN"/>
        </w:rPr>
        <w:t>包含在合同价中</w:t>
      </w:r>
      <w:r>
        <w:rPr>
          <w:rFonts w:hint="eastAsia" w:ascii="宋体" w:hAnsi="宋体" w:cs="宋体"/>
          <w:color w:val="auto"/>
          <w:szCs w:val="21"/>
          <w:highlight w:val="none"/>
        </w:rPr>
        <w:t>。</w:t>
      </w:r>
    </w:p>
    <w:p w14:paraId="3AEB93B8">
      <w:pPr>
        <w:pStyle w:val="221"/>
        <w:widowControl/>
        <w:tabs>
          <w:tab w:val="left" w:pos="220"/>
        </w:tabs>
        <w:adjustRightInd w:val="0"/>
        <w:snapToGrid w:val="0"/>
        <w:spacing w:before="93" w:beforeLines="30" w:after="93" w:afterLines="30" w:line="440" w:lineRule="exact"/>
        <w:ind w:left="0" w:leftChars="0" w:right="250" w:rightChars="119" w:hanging="15" w:firstLineChars="0"/>
        <w:jc w:val="left"/>
        <w:rPr>
          <w:rFonts w:hint="eastAsia" w:cs="宋体"/>
          <w:bCs w:val="0"/>
          <w:color w:val="auto"/>
          <w:sz w:val="21"/>
          <w:szCs w:val="21"/>
          <w:highlight w:val="none"/>
        </w:rPr>
      </w:pPr>
      <w:r>
        <w:rPr>
          <w:rFonts w:hint="eastAsia" w:cs="宋体"/>
          <w:bCs w:val="0"/>
          <w:color w:val="auto"/>
          <w:sz w:val="21"/>
          <w:szCs w:val="21"/>
          <w:highlight w:val="none"/>
        </w:rPr>
        <w:t>第7条 施工</w:t>
      </w:r>
    </w:p>
    <w:p w14:paraId="09BF4C14">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7.1 交通运输</w:t>
      </w:r>
    </w:p>
    <w:p w14:paraId="48E7CFD1">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7.1.1 出入现场的权利</w:t>
      </w:r>
    </w:p>
    <w:p w14:paraId="11C6149B">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u w:val="single"/>
        </w:rPr>
      </w:pPr>
      <w:r>
        <w:rPr>
          <w:rFonts w:hint="eastAsia" w:ascii="宋体" w:hAnsi="宋体" w:cs="宋体"/>
          <w:color w:val="auto"/>
          <w:szCs w:val="21"/>
          <w:highlight w:val="none"/>
        </w:rPr>
        <w:t>关于出入现场的权利的约定：</w:t>
      </w:r>
      <w:r>
        <w:rPr>
          <w:rFonts w:hint="eastAsia" w:ascii="宋体" w:hAnsi="宋体" w:cs="宋体"/>
          <w:color w:val="auto"/>
          <w:szCs w:val="21"/>
          <w:highlight w:val="none"/>
          <w:u w:val="single"/>
        </w:rPr>
        <w:t>发包人应根据施工需要，</w:t>
      </w:r>
      <w:r>
        <w:rPr>
          <w:rFonts w:hint="eastAsia" w:ascii="宋体" w:hAnsi="宋体" w:cs="宋体"/>
          <w:strike w:val="0"/>
          <w:dstrike w:val="0"/>
          <w:color w:val="auto"/>
          <w:szCs w:val="21"/>
          <w:highlight w:val="none"/>
          <w:u w:val="single"/>
          <w:lang w:val="en-US" w:eastAsia="zh-CN"/>
        </w:rPr>
        <w:t>协助承包人</w:t>
      </w:r>
      <w:r>
        <w:rPr>
          <w:rFonts w:hint="eastAsia" w:ascii="宋体" w:hAnsi="宋体" w:cs="宋体"/>
          <w:color w:val="auto"/>
          <w:szCs w:val="21"/>
          <w:highlight w:val="none"/>
          <w:u w:val="single"/>
        </w:rPr>
        <w:t>取得出入施工现场所需的批准手续和全部权利，以及取得因施工所需修建道路、桥梁以及其他基础设施的权利，相关手续费用和建设费用，由承包人自行解决并承担费用。承包人应协助发包人办理修建场内外道路、桥梁以及其他基础设施的手续。承包人应在订立合同前查勘施工现场，并根据工程规模及技术参数合理预见工程施工所需的进出施工现场的方式、手段、路径等。因承包人未合理预见所增加的费用和（或）延误的工期由承包人承担。</w:t>
      </w:r>
    </w:p>
    <w:p w14:paraId="1C64DBB8">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7.1.2 场外交通</w:t>
      </w:r>
    </w:p>
    <w:p w14:paraId="6812E910">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关于场外交通的特别约定：</w:t>
      </w:r>
      <w:r>
        <w:rPr>
          <w:rFonts w:hint="eastAsia" w:ascii="宋体" w:hAnsi="宋体" w:cs="宋体"/>
          <w:color w:val="auto"/>
          <w:szCs w:val="21"/>
          <w:highlight w:val="none"/>
          <w:u w:val="single"/>
        </w:rPr>
        <w:t xml:space="preserve">  自行踏勘，自行解决   </w:t>
      </w:r>
      <w:r>
        <w:rPr>
          <w:rFonts w:hint="eastAsia" w:ascii="宋体" w:hAnsi="宋体" w:cs="宋体"/>
          <w:color w:val="auto"/>
          <w:szCs w:val="21"/>
          <w:highlight w:val="none"/>
        </w:rPr>
        <w:t>。</w:t>
      </w:r>
    </w:p>
    <w:p w14:paraId="0A32751D">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7.1.3 场内交通</w:t>
      </w:r>
    </w:p>
    <w:p w14:paraId="7ADE2E00">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关于场内交通的特别约定：</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自行踏勘，自行解决    </w:t>
      </w:r>
      <w:r>
        <w:rPr>
          <w:rFonts w:hint="eastAsia" w:ascii="宋体" w:hAnsi="宋体" w:cs="宋体"/>
          <w:color w:val="auto"/>
          <w:szCs w:val="21"/>
          <w:highlight w:val="none"/>
        </w:rPr>
        <w:t>。</w:t>
      </w:r>
    </w:p>
    <w:p w14:paraId="0D66E280">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关于场内交通与场外交通边界的约定：</w:t>
      </w:r>
      <w:r>
        <w:rPr>
          <w:rFonts w:hint="eastAsia" w:ascii="宋体" w:hAnsi="宋体" w:cs="宋体"/>
          <w:color w:val="auto"/>
          <w:szCs w:val="21"/>
          <w:highlight w:val="none"/>
          <w:u w:val="single"/>
        </w:rPr>
        <w:t xml:space="preserve">场内交通设施和道路由承包人负责建设，发包人不另支付费用，场内交通边界现场确定。 </w:t>
      </w:r>
    </w:p>
    <w:p w14:paraId="2F64B1E3">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7.1.4 超大件和超重件的运输</w:t>
      </w:r>
    </w:p>
    <w:p w14:paraId="0390FA8B">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运输超大件或超重件所需的道路和桥梁临时加固改造费用和其他有关费用由</w:t>
      </w:r>
      <w:r>
        <w:rPr>
          <w:rFonts w:hint="eastAsia" w:ascii="宋体" w:hAnsi="宋体" w:cs="宋体"/>
          <w:color w:val="auto"/>
          <w:szCs w:val="21"/>
          <w:highlight w:val="none"/>
          <w:u w:val="single"/>
        </w:rPr>
        <w:t xml:space="preserve">  </w:t>
      </w:r>
      <w:r>
        <w:rPr>
          <w:rFonts w:hint="eastAsia" w:cs="宋体"/>
          <w:color w:val="auto"/>
          <w:szCs w:val="21"/>
          <w:highlight w:val="none"/>
          <w:u w:val="single"/>
        </w:rPr>
        <w:t>承包人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承担。</w:t>
      </w:r>
    </w:p>
    <w:p w14:paraId="0D91D157">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7.2 施工设备和临时设施</w:t>
      </w:r>
    </w:p>
    <w:p w14:paraId="2A21E263">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7.2.1 承包人提供的施工设备和临时设施</w:t>
      </w:r>
    </w:p>
    <w:p w14:paraId="46C2FF33">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临时设施的费用和临时占地手续和费用承担的特别约定：</w:t>
      </w:r>
      <w:r>
        <w:rPr>
          <w:rFonts w:hint="eastAsia" w:ascii="宋体" w:hAnsi="宋体" w:cs="宋体"/>
          <w:color w:val="auto"/>
          <w:szCs w:val="21"/>
          <w:highlight w:val="none"/>
          <w:u w:val="single"/>
        </w:rPr>
        <w:t xml:space="preserve">  由承包人自行承担费用   </w:t>
      </w:r>
      <w:r>
        <w:rPr>
          <w:rFonts w:hint="eastAsia" w:ascii="宋体" w:hAnsi="宋体" w:cs="宋体"/>
          <w:color w:val="auto"/>
          <w:szCs w:val="21"/>
          <w:highlight w:val="none"/>
        </w:rPr>
        <w:t>。</w:t>
      </w:r>
    </w:p>
    <w:p w14:paraId="0C37390D">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7.2.2 发包人提供的施工设备和临时设施</w:t>
      </w:r>
    </w:p>
    <w:p w14:paraId="66319F72">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发包人提供的施工设备或临时设施范围：</w:t>
      </w:r>
      <w:r>
        <w:rPr>
          <w:rFonts w:hint="eastAsia" w:ascii="宋体" w:hAnsi="宋体" w:cs="宋体"/>
          <w:color w:val="auto"/>
          <w:szCs w:val="21"/>
          <w:highlight w:val="none"/>
          <w:u w:val="single"/>
        </w:rPr>
        <w:t xml:space="preserve">       </w:t>
      </w:r>
      <w:r>
        <w:rPr>
          <w:rFonts w:hint="eastAsia" w:ascii="宋体" w:hAnsi="宋体" w:cs="宋体"/>
          <w:color w:val="auto"/>
          <w:sz w:val="20"/>
          <w:szCs w:val="20"/>
          <w:highlight w:val="none"/>
          <w:u w:val="single"/>
        </w:rPr>
        <w:t xml:space="preserve"> </w:t>
      </w:r>
      <w:r>
        <w:rPr>
          <w:rFonts w:hint="eastAsia" w:cs="宋体"/>
          <w:color w:val="auto"/>
          <w:sz w:val="20"/>
          <w:szCs w:val="20"/>
          <w:highlight w:val="none"/>
          <w:u w:val="single"/>
        </w:rPr>
        <w:t xml:space="preserve">无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2580CA09">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7.3 现场合作</w:t>
      </w:r>
    </w:p>
    <w:p w14:paraId="4840D300">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关于现场合作费用的特别约定：</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由承包人自行承担费用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1810D0AB">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7.4 测量放线</w:t>
      </w:r>
    </w:p>
    <w:p w14:paraId="2BA31EA7">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7.4.1 关于测量放线的特别约定的技术规范：</w:t>
      </w:r>
      <w:r>
        <w:rPr>
          <w:rFonts w:hint="eastAsia" w:cs="宋体"/>
          <w:color w:val="auto"/>
          <w:szCs w:val="21"/>
          <w:highlight w:val="none"/>
          <w:u w:val="single"/>
        </w:rPr>
        <w:t>根据国家测绘基准、测绘系统和工程测量技术规范，按基准点（线）以及合同工程精度要求，测设施工控制网</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。施工控制网资料的告知期限：</w:t>
      </w:r>
      <w:r>
        <w:rPr>
          <w:rFonts w:hint="eastAsia" w:cs="宋体"/>
          <w:color w:val="auto"/>
          <w:szCs w:val="21"/>
          <w:highlight w:val="none"/>
          <w:u w:val="single"/>
        </w:rPr>
        <w:t>在满足发包人实际要求的期限内将施工控制网资料报送工程师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531629D0">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7.5 现场劳动用工</w:t>
      </w:r>
    </w:p>
    <w:p w14:paraId="50785DE0">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7.5.2 合同当事人对建筑工人工资清偿事宜和违约责任的约定：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执行招标文件。</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3908C112">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7.6 安全文明施工</w:t>
      </w:r>
    </w:p>
    <w:p w14:paraId="72BF47E8">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7.6.1 安全生产要求</w:t>
      </w:r>
    </w:p>
    <w:p w14:paraId="4ECCA6AF">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合同当事人对安全施工的要求：</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执行国家、省、市的相关规定和招标文件</w:t>
      </w:r>
      <w:r>
        <w:rPr>
          <w:rFonts w:hint="eastAsia" w:cs="宋体"/>
          <w:color w:val="auto"/>
          <w:szCs w:val="21"/>
          <w:highlight w:val="none"/>
          <w:u w:val="single"/>
        </w:rPr>
        <w:t xml:space="preserve">      </w:t>
      </w:r>
      <w:r>
        <w:rPr>
          <w:rFonts w:hint="eastAsia" w:ascii="宋体" w:hAnsi="宋体" w:cs="宋体"/>
          <w:color w:val="auto"/>
          <w:szCs w:val="21"/>
          <w:highlight w:val="none"/>
        </w:rPr>
        <w:t>。</w:t>
      </w:r>
    </w:p>
    <w:p w14:paraId="30C5A517">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7.6.3 文明施工</w:t>
      </w:r>
    </w:p>
    <w:p w14:paraId="28F8165C">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合同当事人对文明施工的要求：</w:t>
      </w:r>
      <w:r>
        <w:rPr>
          <w:rFonts w:hint="eastAsia" w:ascii="宋体" w:hAnsi="宋体" w:cs="宋体"/>
          <w:color w:val="auto"/>
          <w:szCs w:val="21"/>
          <w:highlight w:val="none"/>
          <w:u w:val="single"/>
        </w:rPr>
        <w:t xml:space="preserve">  执行国家、省、市的相关规定和招标文件</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755475E1">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7.9 临时性公用设施</w:t>
      </w:r>
    </w:p>
    <w:p w14:paraId="6915034A">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关于临时性公用设施的特别约定：</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现场已完成三通一平  </w:t>
      </w:r>
      <w:r>
        <w:rPr>
          <w:rFonts w:hint="eastAsia" w:ascii="宋体" w:hAnsi="宋体" w:cs="宋体"/>
          <w:color w:val="auto"/>
          <w:szCs w:val="21"/>
          <w:highlight w:val="none"/>
        </w:rPr>
        <w:t>。</w:t>
      </w:r>
    </w:p>
    <w:p w14:paraId="6EEDC952">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7.10 现场安保</w:t>
      </w:r>
    </w:p>
    <w:p w14:paraId="76C2CD65">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承包人现场安保义务的特别约定：</w:t>
      </w:r>
      <w:r>
        <w:rPr>
          <w:rFonts w:hint="eastAsia" w:ascii="宋体" w:hAnsi="宋体" w:cs="宋体"/>
          <w:color w:val="auto"/>
          <w:szCs w:val="21"/>
          <w:highlight w:val="none"/>
          <w:u w:val="single"/>
          <w:lang w:val="en-US" w:eastAsia="zh-CN"/>
        </w:rPr>
        <w:t>承包人承担所有安保责任，负责做好与当地公安部门协调工作。</w:t>
      </w:r>
      <w:r>
        <w:rPr>
          <w:rFonts w:hint="eastAsia" w:ascii="宋体" w:hAnsi="宋体" w:cs="宋体"/>
          <w:color w:val="auto"/>
          <w:szCs w:val="21"/>
          <w:highlight w:val="none"/>
          <w:u w:val="single"/>
        </w:rPr>
        <w:t>承包人应在工程开工后7天内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r>
        <w:rPr>
          <w:rFonts w:hint="eastAsia" w:ascii="宋体" w:hAnsi="宋体" w:cs="宋体"/>
          <w:color w:val="auto"/>
          <w:szCs w:val="21"/>
          <w:highlight w:val="none"/>
          <w:u w:val="single"/>
          <w:lang w:val="en-US" w:eastAsia="zh-CN"/>
        </w:rPr>
        <w:t>如因承包人原因造成上述治安事件，发包人有权索赔、追责。</w:t>
      </w:r>
      <w:r>
        <w:rPr>
          <w:rFonts w:hint="eastAsia" w:ascii="宋体" w:hAnsi="宋体" w:cs="宋体"/>
          <w:color w:val="auto"/>
          <w:szCs w:val="21"/>
          <w:highlight w:val="none"/>
          <w:u w:val="single"/>
        </w:rPr>
        <w:t xml:space="preserve"> </w:t>
      </w:r>
    </w:p>
    <w:p w14:paraId="7A99B1DD">
      <w:pPr>
        <w:pStyle w:val="221"/>
        <w:widowControl/>
        <w:tabs>
          <w:tab w:val="left" w:pos="220"/>
        </w:tabs>
        <w:adjustRightInd w:val="0"/>
        <w:snapToGrid w:val="0"/>
        <w:spacing w:before="93" w:beforeLines="30" w:after="93" w:afterLines="30" w:line="440" w:lineRule="exact"/>
        <w:ind w:left="0" w:leftChars="0" w:right="250" w:rightChars="119" w:hanging="15" w:firstLineChars="0"/>
        <w:jc w:val="left"/>
        <w:rPr>
          <w:rFonts w:hint="eastAsia" w:cs="宋体"/>
          <w:bCs w:val="0"/>
          <w:color w:val="auto"/>
          <w:sz w:val="21"/>
          <w:szCs w:val="21"/>
          <w:highlight w:val="none"/>
        </w:rPr>
      </w:pPr>
      <w:r>
        <w:rPr>
          <w:rFonts w:hint="eastAsia" w:cs="宋体"/>
          <w:bCs w:val="0"/>
          <w:color w:val="auto"/>
          <w:sz w:val="21"/>
          <w:szCs w:val="21"/>
          <w:highlight w:val="none"/>
        </w:rPr>
        <w:t>第8条 工期和进度</w:t>
      </w:r>
    </w:p>
    <w:p w14:paraId="116882E8">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8.1 开始工作</w:t>
      </w:r>
    </w:p>
    <w:p w14:paraId="4A34FA49">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8.1.1 开始准备工作：</w:t>
      </w:r>
      <w:r>
        <w:rPr>
          <w:rFonts w:hint="eastAsia" w:ascii="宋体" w:hAnsi="宋体" w:cs="宋体"/>
          <w:color w:val="auto"/>
          <w:szCs w:val="21"/>
          <w:highlight w:val="none"/>
          <w:u w:val="single"/>
        </w:rPr>
        <w:t xml:space="preserve">中标公示期满且无异议后立即开展施工准备工作 </w:t>
      </w:r>
      <w:r>
        <w:rPr>
          <w:rFonts w:hint="eastAsia" w:ascii="宋体" w:hAnsi="宋体" w:cs="宋体"/>
          <w:color w:val="auto"/>
          <w:szCs w:val="21"/>
          <w:highlight w:val="none"/>
        </w:rPr>
        <w:t>。</w:t>
      </w:r>
    </w:p>
    <w:p w14:paraId="41D6278F">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u w:val="single"/>
        </w:rPr>
      </w:pPr>
      <w:r>
        <w:rPr>
          <w:rFonts w:hint="eastAsia" w:ascii="宋体" w:hAnsi="宋体" w:cs="宋体"/>
          <w:color w:val="auto"/>
          <w:szCs w:val="21"/>
          <w:highlight w:val="none"/>
        </w:rPr>
        <w:t>8.1.2 发包人可在计划开始工作之日起3日后发出开始工作通知的特殊情形：</w:t>
      </w:r>
      <w:r>
        <w:rPr>
          <w:rFonts w:hint="eastAsia" w:ascii="宋体" w:hAnsi="宋体" w:cs="宋体"/>
          <w:color w:val="auto"/>
          <w:szCs w:val="21"/>
          <w:highlight w:val="none"/>
          <w:u w:val="single"/>
        </w:rPr>
        <w:t>根据项目实际情况另行约定 。</w:t>
      </w:r>
    </w:p>
    <w:p w14:paraId="502F5533">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8.2 竣工日期</w:t>
      </w:r>
    </w:p>
    <w:p w14:paraId="4A309668">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竣工日期的约定：</w:t>
      </w:r>
      <w:r>
        <w:rPr>
          <w:rFonts w:hint="eastAsia" w:cs="宋体"/>
          <w:color w:val="auto"/>
          <w:szCs w:val="21"/>
          <w:highlight w:val="none"/>
          <w:u w:val="single"/>
        </w:rPr>
        <w:t xml:space="preserve">整体工程完工后组织竣工验收，验收合格之日作为竣工日期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6D0BC8A0">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8.3 项目实施计划</w:t>
      </w:r>
    </w:p>
    <w:p w14:paraId="6806974D">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8.3.1 项目实施计划的内容</w:t>
      </w:r>
    </w:p>
    <w:p w14:paraId="0646E5FE">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项目实施计划的内容：</w:t>
      </w:r>
      <w:r>
        <w:rPr>
          <w:rFonts w:hint="eastAsia" w:cs="宋体"/>
          <w:color w:val="auto"/>
          <w:szCs w:val="21"/>
          <w:highlight w:val="none"/>
          <w:u w:val="single"/>
        </w:rPr>
        <w:t xml:space="preserve">本工程需按照总进度计划编制每月施工进度计划，经监理、发包人审批后作为进度考核和进度款支付的依据 </w:t>
      </w:r>
      <w:r>
        <w:rPr>
          <w:rFonts w:hint="eastAsia" w:ascii="宋体" w:hAnsi="宋体" w:cs="宋体"/>
          <w:color w:val="auto"/>
          <w:szCs w:val="21"/>
          <w:highlight w:val="none"/>
        </w:rPr>
        <w:t>。</w:t>
      </w:r>
    </w:p>
    <w:p w14:paraId="55EFB413">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8.3.2 项目实施计划的提交和修改</w:t>
      </w:r>
    </w:p>
    <w:p w14:paraId="6C6FB57D">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项目实施计划的提交及修改期限：</w:t>
      </w:r>
      <w:r>
        <w:rPr>
          <w:rFonts w:hint="eastAsia" w:cs="宋体"/>
          <w:color w:val="auto"/>
          <w:szCs w:val="21"/>
          <w:highlight w:val="none"/>
          <w:u w:val="single"/>
        </w:rPr>
        <w:t>发包人和监理人应在监理人收到施工组织设计后7</w:t>
      </w:r>
      <w:r>
        <w:rPr>
          <w:rFonts w:hint="eastAsia" w:cs="宋体"/>
          <w:color w:val="auto"/>
          <w:szCs w:val="21"/>
          <w:highlight w:val="none"/>
          <w:u w:val="single"/>
          <w:lang w:val="en-US" w:eastAsia="zh-CN"/>
        </w:rPr>
        <w:t>个</w:t>
      </w:r>
      <w:r>
        <w:rPr>
          <w:rFonts w:hint="eastAsia" w:cs="宋体"/>
          <w:strike w:val="0"/>
          <w:dstrike w:val="0"/>
          <w:color w:val="auto"/>
          <w:szCs w:val="21"/>
          <w:highlight w:val="none"/>
          <w:u w:val="single"/>
          <w:lang w:val="en-US" w:eastAsia="zh-CN"/>
        </w:rPr>
        <w:t>工作日</w:t>
      </w:r>
      <w:r>
        <w:rPr>
          <w:rFonts w:hint="eastAsia" w:cs="宋体"/>
          <w:color w:val="auto"/>
          <w:szCs w:val="21"/>
          <w:highlight w:val="none"/>
          <w:u w:val="single"/>
        </w:rPr>
        <w:t>内确认或提出修改意见。对发包人和监理人提出的合理意见和要求，承包人应自费修改完善。根据工程实际情况需要修改施工组织设计的，承包人应向发包人和监理人提交修改后的施工组织设计 。</w:t>
      </w:r>
    </w:p>
    <w:p w14:paraId="77751472">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8.4 项目进度计划</w:t>
      </w:r>
    </w:p>
    <w:p w14:paraId="64438A31">
      <w:pPr>
        <w:widowControl/>
        <w:tabs>
          <w:tab w:val="left" w:pos="220"/>
        </w:tabs>
        <w:adjustRightInd w:val="0"/>
        <w:snapToGrid w:val="0"/>
        <w:spacing w:line="440" w:lineRule="exact"/>
        <w:ind w:left="0" w:leftChars="0" w:right="250" w:rightChars="119" w:hanging="15" w:firstLineChars="0"/>
        <w:jc w:val="left"/>
        <w:rPr>
          <w:rFonts w:hint="eastAsia" w:cs="宋体"/>
          <w:color w:val="auto"/>
          <w:szCs w:val="21"/>
          <w:highlight w:val="none"/>
          <w:u w:val="single"/>
        </w:rPr>
      </w:pPr>
      <w:r>
        <w:rPr>
          <w:rFonts w:hint="eastAsia" w:ascii="宋体" w:hAnsi="宋体" w:cs="宋体"/>
          <w:color w:val="auto"/>
          <w:szCs w:val="21"/>
          <w:highlight w:val="none"/>
        </w:rPr>
        <w:t>8.4.1 工程师在收到进度计划后确认或提出修改意见的期限：</w:t>
      </w:r>
      <w:r>
        <w:rPr>
          <w:rFonts w:hint="eastAsia" w:cs="宋体"/>
          <w:color w:val="auto"/>
          <w:szCs w:val="21"/>
          <w:highlight w:val="none"/>
          <w:u w:val="single"/>
        </w:rPr>
        <w:t>发包人和监理人应在收到修订的施工进度计划后7天内完成审核和批准或提出修改意见。发包人和监理人对承包人提交的施工进度计划的确认，不能减轻或免除承包人根据法律规定和合同约定应承担的任何责任或义务。承包人必须按照批准的进度计划组织施工，接受发包人对进度的检查、监督，工程实际进展与进度计划不符时，应提供修改，调整后的进度计划及相应的措施报发包人批准后执行。</w:t>
      </w:r>
    </w:p>
    <w:p w14:paraId="136D3D36">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8.4.2 进度计划的具体要求：</w:t>
      </w:r>
      <w:r>
        <w:rPr>
          <w:rFonts w:hint="eastAsia" w:ascii="宋体" w:hAnsi="宋体" w:cs="宋体"/>
          <w:color w:val="auto"/>
          <w:szCs w:val="21"/>
          <w:highlight w:val="none"/>
          <w:u w:val="single"/>
        </w:rPr>
        <w:t xml:space="preserve">   另行协商    </w:t>
      </w:r>
      <w:r>
        <w:rPr>
          <w:rFonts w:hint="eastAsia" w:ascii="宋体" w:hAnsi="宋体" w:cs="宋体"/>
          <w:color w:val="auto"/>
          <w:szCs w:val="21"/>
          <w:highlight w:val="none"/>
        </w:rPr>
        <w:t>。</w:t>
      </w:r>
    </w:p>
    <w:p w14:paraId="7766B327">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关键路径及关键路径变化的确定原则：</w:t>
      </w:r>
      <w:r>
        <w:rPr>
          <w:rFonts w:hint="eastAsia" w:ascii="宋体" w:hAnsi="宋体" w:cs="宋体"/>
          <w:color w:val="auto"/>
          <w:szCs w:val="21"/>
          <w:highlight w:val="none"/>
          <w:u w:val="single"/>
        </w:rPr>
        <w:t xml:space="preserve">  另行协商   </w:t>
      </w:r>
      <w:r>
        <w:rPr>
          <w:rFonts w:hint="eastAsia" w:ascii="宋体" w:hAnsi="宋体" w:cs="宋体"/>
          <w:color w:val="auto"/>
          <w:szCs w:val="21"/>
          <w:highlight w:val="none"/>
        </w:rPr>
        <w:t>。</w:t>
      </w:r>
    </w:p>
    <w:p w14:paraId="337ABD96">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承包人提交项目进度计划的份数和时间：</w:t>
      </w:r>
      <w:r>
        <w:rPr>
          <w:rFonts w:hint="eastAsia" w:ascii="宋体" w:hAnsi="宋体" w:cs="宋体"/>
          <w:color w:val="auto"/>
          <w:szCs w:val="21"/>
          <w:highlight w:val="none"/>
          <w:u w:val="single"/>
        </w:rPr>
        <w:t xml:space="preserve">  另行协商   </w:t>
      </w:r>
      <w:r>
        <w:rPr>
          <w:rFonts w:hint="eastAsia" w:ascii="宋体" w:hAnsi="宋体" w:cs="宋体"/>
          <w:color w:val="auto"/>
          <w:szCs w:val="21"/>
          <w:highlight w:val="none"/>
        </w:rPr>
        <w:t>。</w:t>
      </w:r>
    </w:p>
    <w:p w14:paraId="68CC1FAE">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8.4.3 进度计划的修订</w:t>
      </w:r>
    </w:p>
    <w:p w14:paraId="65B14DB0">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承包人提交修订项目进度计划申请报告的期限：</w:t>
      </w:r>
      <w:r>
        <w:rPr>
          <w:rFonts w:hint="eastAsia" w:ascii="宋体" w:hAnsi="宋体" w:cs="宋体"/>
          <w:color w:val="auto"/>
          <w:szCs w:val="21"/>
          <w:highlight w:val="none"/>
          <w:u w:val="single"/>
        </w:rPr>
        <w:t xml:space="preserve">  另行协商  </w:t>
      </w:r>
      <w:r>
        <w:rPr>
          <w:rFonts w:hint="eastAsia" w:ascii="宋体" w:hAnsi="宋体" w:cs="宋体"/>
          <w:color w:val="auto"/>
          <w:szCs w:val="21"/>
          <w:highlight w:val="none"/>
        </w:rPr>
        <w:t>。</w:t>
      </w:r>
    </w:p>
    <w:p w14:paraId="05D49D24">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发包人批复修订项目进度计划申请报告的期限：</w:t>
      </w:r>
      <w:r>
        <w:rPr>
          <w:rFonts w:hint="eastAsia" w:ascii="宋体" w:hAnsi="宋体" w:cs="宋体"/>
          <w:color w:val="auto"/>
          <w:szCs w:val="21"/>
          <w:highlight w:val="none"/>
          <w:u w:val="single"/>
        </w:rPr>
        <w:t xml:space="preserve">  另行协商       </w:t>
      </w:r>
      <w:r>
        <w:rPr>
          <w:rFonts w:hint="eastAsia" w:ascii="宋体" w:hAnsi="宋体" w:cs="宋体"/>
          <w:color w:val="auto"/>
          <w:szCs w:val="21"/>
          <w:highlight w:val="none"/>
        </w:rPr>
        <w:t>。</w:t>
      </w:r>
    </w:p>
    <w:p w14:paraId="6EFCABCE">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承包人答复发包人提出修订合同计划的期限：</w:t>
      </w:r>
      <w:r>
        <w:rPr>
          <w:rFonts w:hint="eastAsia" w:ascii="宋体" w:hAnsi="宋体" w:cs="宋体"/>
          <w:color w:val="auto"/>
          <w:szCs w:val="21"/>
          <w:highlight w:val="none"/>
          <w:u w:val="single"/>
        </w:rPr>
        <w:t xml:space="preserve">   另行协商        </w:t>
      </w:r>
      <w:r>
        <w:rPr>
          <w:rFonts w:hint="eastAsia" w:ascii="宋体" w:hAnsi="宋体" w:cs="宋体"/>
          <w:color w:val="auto"/>
          <w:szCs w:val="21"/>
          <w:highlight w:val="none"/>
        </w:rPr>
        <w:t>。</w:t>
      </w:r>
    </w:p>
    <w:p w14:paraId="471B643F">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8.5 进度报告</w:t>
      </w:r>
    </w:p>
    <w:p w14:paraId="72227E77">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进度报告的具体要求：</w:t>
      </w:r>
      <w:r>
        <w:rPr>
          <w:rFonts w:hint="eastAsia" w:ascii="宋体" w:hAnsi="宋体" w:cs="宋体"/>
          <w:color w:val="auto"/>
          <w:szCs w:val="21"/>
          <w:highlight w:val="none"/>
          <w:u w:val="single"/>
        </w:rPr>
        <w:t xml:space="preserve">  另行协商                   </w:t>
      </w:r>
      <w:r>
        <w:rPr>
          <w:rFonts w:hint="eastAsia" w:ascii="宋体" w:hAnsi="宋体" w:cs="宋体"/>
          <w:color w:val="auto"/>
          <w:szCs w:val="21"/>
          <w:highlight w:val="none"/>
        </w:rPr>
        <w:t>。</w:t>
      </w:r>
    </w:p>
    <w:p w14:paraId="33BD9E33">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8.7 工期延误</w:t>
      </w:r>
    </w:p>
    <w:p w14:paraId="60DEE1C0">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8.7.2 因承包人原因导致工期延误</w:t>
      </w:r>
    </w:p>
    <w:p w14:paraId="50DF13AB">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u w:val="single"/>
          <w:lang w:val="en-US" w:eastAsia="zh-CN"/>
        </w:rPr>
      </w:pPr>
      <w:r>
        <w:rPr>
          <w:rFonts w:hint="eastAsia" w:ascii="宋体" w:hAnsi="宋体" w:eastAsia="宋体" w:cs="宋体"/>
          <w:color w:val="auto"/>
          <w:szCs w:val="21"/>
          <w:highlight w:val="none"/>
          <w:u w:val="single"/>
          <w:lang w:val="en-US" w:eastAsia="zh-CN"/>
        </w:rPr>
        <w:t>每延期一天将处以10000元违约金。工期提前不奖励。中标人实际完成工期超过合同工期</w:t>
      </w:r>
      <w:r>
        <w:rPr>
          <w:rFonts w:hint="eastAsia" w:ascii="宋体" w:hAnsi="宋体" w:cs="宋体"/>
          <w:color w:val="auto"/>
          <w:szCs w:val="21"/>
          <w:highlight w:val="none"/>
          <w:u w:val="single"/>
          <w:lang w:val="en-US" w:eastAsia="zh-CN"/>
        </w:rPr>
        <w:t>4</w:t>
      </w:r>
      <w:r>
        <w:rPr>
          <w:rFonts w:hint="eastAsia" w:ascii="宋体" w:hAnsi="宋体" w:eastAsia="宋体" w:cs="宋体"/>
          <w:color w:val="auto"/>
          <w:szCs w:val="21"/>
          <w:highlight w:val="none"/>
          <w:u w:val="single"/>
          <w:lang w:val="en-US" w:eastAsia="zh-CN"/>
        </w:rPr>
        <w:t>0天的，招标人将扣除合同总金额的10%作为违约金，承包人已完合格工程量按合同价款60%进行结算，并清退其出场，并由承包人承担因此造成发包人的一切损失及相关费用。</w:t>
      </w:r>
    </w:p>
    <w:p w14:paraId="522C5517">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8.7.3 行政审批迟延</w:t>
      </w:r>
    </w:p>
    <w:p w14:paraId="14C1B7FA">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行政审批报送的职责分工：</w:t>
      </w:r>
      <w:r>
        <w:rPr>
          <w:rFonts w:hint="eastAsia" w:ascii="宋体" w:hAnsi="宋体" w:cs="宋体"/>
          <w:color w:val="auto"/>
          <w:szCs w:val="21"/>
          <w:highlight w:val="none"/>
          <w:u w:val="single"/>
        </w:rPr>
        <w:t xml:space="preserve">  根据发包人要求，承包人配合   </w:t>
      </w:r>
      <w:r>
        <w:rPr>
          <w:rFonts w:hint="eastAsia" w:ascii="宋体" w:hAnsi="宋体" w:cs="宋体"/>
          <w:color w:val="auto"/>
          <w:szCs w:val="21"/>
          <w:highlight w:val="none"/>
        </w:rPr>
        <w:t>。</w:t>
      </w:r>
    </w:p>
    <w:p w14:paraId="5C73E0F3">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8.7.4 异常恶劣的气候条件</w:t>
      </w:r>
    </w:p>
    <w:p w14:paraId="2505ACA2">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双方约定视为异常恶劣的气候条件的情形：</w:t>
      </w:r>
      <w:r>
        <w:rPr>
          <w:rFonts w:hint="eastAsia" w:ascii="宋体" w:hAnsi="宋体" w:cs="宋体"/>
          <w:color w:val="auto"/>
          <w:szCs w:val="21"/>
          <w:highlight w:val="none"/>
          <w:u w:val="single"/>
        </w:rPr>
        <w:t xml:space="preserve">    </w:t>
      </w:r>
      <w:r>
        <w:rPr>
          <w:rFonts w:hint="eastAsia" w:cs="宋体"/>
          <w:color w:val="auto"/>
          <w:szCs w:val="21"/>
          <w:highlight w:val="none"/>
          <w:u w:val="single"/>
        </w:rPr>
        <w:t>无</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12E623D4">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8.8 工期提前</w:t>
      </w:r>
    </w:p>
    <w:p w14:paraId="7C663C8E">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8.8.2 承包人提前竣工的奖励：</w:t>
      </w:r>
      <w:r>
        <w:rPr>
          <w:rFonts w:hint="eastAsia" w:ascii="宋体" w:hAnsi="宋体" w:cs="宋体"/>
          <w:color w:val="auto"/>
          <w:szCs w:val="21"/>
          <w:highlight w:val="none"/>
          <w:u w:val="single"/>
        </w:rPr>
        <w:t xml:space="preserve">   提前无奖励    </w:t>
      </w:r>
      <w:r>
        <w:rPr>
          <w:rFonts w:hint="eastAsia" w:ascii="宋体" w:hAnsi="宋体" w:cs="宋体"/>
          <w:color w:val="auto"/>
          <w:szCs w:val="21"/>
          <w:highlight w:val="none"/>
        </w:rPr>
        <w:t>。</w:t>
      </w:r>
    </w:p>
    <w:p w14:paraId="690F056F">
      <w:pPr>
        <w:pStyle w:val="221"/>
        <w:widowControl/>
        <w:tabs>
          <w:tab w:val="left" w:pos="220"/>
        </w:tabs>
        <w:adjustRightInd w:val="0"/>
        <w:snapToGrid w:val="0"/>
        <w:spacing w:before="93" w:beforeLines="30" w:after="93" w:afterLines="30" w:line="440" w:lineRule="exact"/>
        <w:ind w:left="0" w:leftChars="0" w:right="250" w:rightChars="119" w:hanging="15" w:firstLineChars="0"/>
        <w:jc w:val="left"/>
        <w:rPr>
          <w:rFonts w:hint="eastAsia" w:cs="宋体"/>
          <w:bCs w:val="0"/>
          <w:color w:val="auto"/>
          <w:sz w:val="21"/>
          <w:szCs w:val="21"/>
          <w:highlight w:val="none"/>
        </w:rPr>
      </w:pPr>
      <w:r>
        <w:rPr>
          <w:rFonts w:hint="eastAsia" w:cs="宋体"/>
          <w:bCs w:val="0"/>
          <w:color w:val="auto"/>
          <w:sz w:val="21"/>
          <w:szCs w:val="21"/>
          <w:highlight w:val="none"/>
        </w:rPr>
        <w:t>第9条 竣工试验</w:t>
      </w:r>
    </w:p>
    <w:p w14:paraId="37276D18">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9.1 竣工试验的义务</w:t>
      </w:r>
    </w:p>
    <w:p w14:paraId="70BE321A">
      <w:pPr>
        <w:widowControl/>
        <w:tabs>
          <w:tab w:val="left" w:pos="220"/>
        </w:tabs>
        <w:adjustRightInd w:val="0"/>
        <w:snapToGrid w:val="0"/>
        <w:spacing w:line="440" w:lineRule="exact"/>
        <w:ind w:left="0" w:leftChars="0" w:right="250" w:rightChars="119" w:hanging="15" w:firstLineChars="0"/>
        <w:jc w:val="left"/>
        <w:rPr>
          <w:rFonts w:hint="eastAsia" w:ascii="宋体" w:hAnsi="宋体" w:eastAsia="宋体" w:cs="宋体"/>
          <w:color w:val="auto"/>
          <w:szCs w:val="21"/>
          <w:highlight w:val="none"/>
          <w:u w:val="single"/>
          <w:lang w:eastAsia="zh-CN"/>
        </w:rPr>
      </w:pPr>
      <w:r>
        <w:rPr>
          <w:rFonts w:hint="eastAsia" w:ascii="宋体" w:hAnsi="宋体" w:cs="宋体"/>
          <w:color w:val="auto"/>
          <w:szCs w:val="21"/>
          <w:highlight w:val="none"/>
        </w:rPr>
        <w:t>9.1.3 竣工试验的阶段、内容和顺序：</w:t>
      </w:r>
      <w:r>
        <w:rPr>
          <w:rFonts w:hint="eastAsia" w:ascii="宋体" w:hAnsi="宋体" w:cs="宋体"/>
          <w:color w:val="auto"/>
          <w:szCs w:val="21"/>
          <w:highlight w:val="none"/>
          <w:u w:val="single"/>
        </w:rPr>
        <w:t xml:space="preserve">  执行国家、省、市的相关规定 </w:t>
      </w:r>
      <w:r>
        <w:rPr>
          <w:rFonts w:hint="eastAsia" w:ascii="宋体" w:hAnsi="宋体" w:cs="宋体"/>
          <w:color w:val="auto"/>
          <w:szCs w:val="21"/>
          <w:highlight w:val="none"/>
          <w:u w:val="single"/>
          <w:lang w:eastAsia="zh-CN"/>
        </w:rPr>
        <w:t>。</w:t>
      </w:r>
    </w:p>
    <w:p w14:paraId="23B55088">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竣工试验的操作要求：</w:t>
      </w:r>
      <w:r>
        <w:rPr>
          <w:rFonts w:hint="eastAsia" w:ascii="宋体" w:hAnsi="宋体" w:cs="宋体"/>
          <w:color w:val="auto"/>
          <w:szCs w:val="21"/>
          <w:highlight w:val="none"/>
          <w:u w:val="single"/>
        </w:rPr>
        <w:t xml:space="preserve">   执行国家、省、市的相关规定    </w:t>
      </w:r>
      <w:r>
        <w:rPr>
          <w:rFonts w:hint="eastAsia" w:ascii="宋体" w:hAnsi="宋体" w:cs="宋体"/>
          <w:color w:val="auto"/>
          <w:szCs w:val="21"/>
          <w:highlight w:val="none"/>
        </w:rPr>
        <w:t>。</w:t>
      </w:r>
    </w:p>
    <w:p w14:paraId="0ED9DA31">
      <w:pPr>
        <w:pStyle w:val="221"/>
        <w:widowControl/>
        <w:tabs>
          <w:tab w:val="left" w:pos="220"/>
        </w:tabs>
        <w:adjustRightInd w:val="0"/>
        <w:snapToGrid w:val="0"/>
        <w:spacing w:before="93" w:beforeLines="30" w:after="93" w:afterLines="30" w:line="440" w:lineRule="exact"/>
        <w:ind w:left="0" w:leftChars="0" w:right="250" w:rightChars="119" w:hanging="15" w:firstLineChars="0"/>
        <w:jc w:val="left"/>
        <w:rPr>
          <w:rFonts w:hint="eastAsia" w:cs="宋体"/>
          <w:bCs w:val="0"/>
          <w:color w:val="auto"/>
          <w:sz w:val="21"/>
          <w:szCs w:val="21"/>
          <w:highlight w:val="none"/>
        </w:rPr>
      </w:pPr>
      <w:r>
        <w:rPr>
          <w:rFonts w:hint="eastAsia" w:cs="宋体"/>
          <w:bCs w:val="0"/>
          <w:color w:val="auto"/>
          <w:sz w:val="21"/>
          <w:szCs w:val="21"/>
          <w:highlight w:val="none"/>
        </w:rPr>
        <w:t>第10条 验收和工程接收</w:t>
      </w:r>
    </w:p>
    <w:p w14:paraId="7D54043C">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10.1 竣工验收</w:t>
      </w:r>
    </w:p>
    <w:p w14:paraId="697239D7">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10.1.2 关于竣工验收程序的约定：</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执行国家、省、市的相关规定    </w:t>
      </w:r>
      <w:r>
        <w:rPr>
          <w:rFonts w:hint="eastAsia" w:ascii="宋体" w:hAnsi="宋体" w:cs="宋体"/>
          <w:color w:val="auto"/>
          <w:szCs w:val="21"/>
          <w:highlight w:val="none"/>
        </w:rPr>
        <w:t>。</w:t>
      </w:r>
    </w:p>
    <w:p w14:paraId="40D5A13C">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发包人不按照合同约定组织竣工验收、颁发工程接受证书的违约金的计算方式：</w:t>
      </w:r>
      <w:r>
        <w:rPr>
          <w:rFonts w:hint="eastAsia" w:cs="宋体"/>
          <w:color w:val="auto"/>
          <w:szCs w:val="21"/>
          <w:highlight w:val="none"/>
          <w:u w:val="single"/>
        </w:rPr>
        <w:t>不考虑</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76AE38DC">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10.3工程的接收</w:t>
      </w:r>
    </w:p>
    <w:p w14:paraId="69CB32C0">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10.3.1工程接收的先后顺序、时间安排和其他要求：</w:t>
      </w:r>
      <w:r>
        <w:rPr>
          <w:rFonts w:hint="eastAsia" w:ascii="宋体" w:hAnsi="宋体" w:cs="宋体"/>
          <w:color w:val="auto"/>
          <w:szCs w:val="21"/>
          <w:highlight w:val="none"/>
          <w:u w:val="single"/>
        </w:rPr>
        <w:t xml:space="preserve"> 承包人应当无条件配合发包人在30日内完成工程移交。</w:t>
      </w:r>
    </w:p>
    <w:p w14:paraId="7E69BCDD">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10.3.2 接受工程时承包人需提交竣工验收资料的类别、内容、份数和提交时间：</w:t>
      </w:r>
      <w:r>
        <w:rPr>
          <w:rFonts w:hint="eastAsia" w:ascii="宋体" w:hAnsi="宋体" w:cs="宋体"/>
          <w:color w:val="auto"/>
          <w:szCs w:val="21"/>
          <w:highlight w:val="none"/>
          <w:u w:val="single"/>
        </w:rPr>
        <w:t xml:space="preserve">  </w:t>
      </w:r>
      <w:r>
        <w:rPr>
          <w:rFonts w:hint="eastAsia" w:cs="宋体"/>
          <w:color w:val="auto"/>
          <w:szCs w:val="21"/>
          <w:highlight w:val="none"/>
          <w:u w:val="single"/>
        </w:rPr>
        <w:t>执行发包人同意内容格式</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692ED943">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10.3.3 发包人逾期接收工程的违约责任：</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cs="宋体"/>
          <w:color w:val="auto"/>
          <w:szCs w:val="21"/>
          <w:highlight w:val="none"/>
          <w:u w:val="single"/>
        </w:rPr>
        <w:t>无</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36DCA4B3">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u w:val="single"/>
        </w:rPr>
      </w:pPr>
      <w:r>
        <w:rPr>
          <w:rFonts w:hint="eastAsia" w:ascii="宋体" w:hAnsi="宋体" w:cs="宋体"/>
          <w:color w:val="auto"/>
          <w:szCs w:val="21"/>
          <w:highlight w:val="none"/>
        </w:rPr>
        <w:t>10.3.4 承包人无正当理由不移交工程的违约责任：</w:t>
      </w:r>
      <w:r>
        <w:rPr>
          <w:rFonts w:hint="eastAsia" w:ascii="宋体" w:hAnsi="宋体" w:cs="宋体"/>
          <w:color w:val="auto"/>
          <w:szCs w:val="21"/>
          <w:highlight w:val="none"/>
          <w:u w:val="single"/>
        </w:rPr>
        <w:t xml:space="preserve"> 因承包人原因，未按合同期限按时移交的，暂停工程款支付，发包人可动用质保金，用于工程质量整改。</w:t>
      </w:r>
    </w:p>
    <w:p w14:paraId="0575F503">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10.4 接收证书</w:t>
      </w:r>
    </w:p>
    <w:p w14:paraId="3BB46418">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10.4.1 工程接收证书颁发时间：</w:t>
      </w:r>
      <w:r>
        <w:rPr>
          <w:rFonts w:hint="eastAsia" w:ascii="宋体" w:hAnsi="宋体" w:cs="宋体"/>
          <w:color w:val="auto"/>
          <w:szCs w:val="21"/>
          <w:highlight w:val="none"/>
          <w:u w:val="single"/>
        </w:rPr>
        <w:t xml:space="preserve"> </w:t>
      </w:r>
      <w:r>
        <w:rPr>
          <w:rFonts w:hint="eastAsia" w:cs="宋体"/>
          <w:color w:val="auto"/>
          <w:szCs w:val="21"/>
          <w:highlight w:val="none"/>
          <w:u w:val="single"/>
        </w:rPr>
        <w:t>执行通用合同条件</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04605A9B">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10.5 竣工退场</w:t>
      </w:r>
    </w:p>
    <w:p w14:paraId="0ADDE2C3">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u w:val="single"/>
        </w:rPr>
      </w:pPr>
      <w:r>
        <w:rPr>
          <w:rFonts w:hint="eastAsia" w:ascii="宋体" w:hAnsi="宋体" w:cs="宋体"/>
          <w:color w:val="auto"/>
          <w:szCs w:val="21"/>
          <w:highlight w:val="none"/>
        </w:rPr>
        <w:t>10.5.1 竣工退场的相关约定：</w:t>
      </w:r>
      <w:r>
        <w:rPr>
          <w:rFonts w:hint="eastAsia" w:ascii="宋体" w:hAnsi="宋体" w:cs="宋体"/>
          <w:color w:val="auto"/>
          <w:szCs w:val="21"/>
          <w:highlight w:val="none"/>
          <w:u w:val="single"/>
        </w:rPr>
        <w:t xml:space="preserve">  工程竣工合格后，7天内退场。</w:t>
      </w:r>
    </w:p>
    <w:p w14:paraId="7FCD9A9F">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10.5.3人员撤离</w:t>
      </w:r>
    </w:p>
    <w:p w14:paraId="25AC2141">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工程师同意需在缺陷责任期内继续工作和使用的人员、施工设备和临时工程的内容：</w:t>
      </w:r>
      <w:r>
        <w:rPr>
          <w:rFonts w:hint="eastAsia" w:ascii="宋体" w:hAnsi="宋体" w:cs="宋体"/>
          <w:color w:val="auto"/>
          <w:szCs w:val="21"/>
          <w:highlight w:val="none"/>
          <w:u w:val="single"/>
        </w:rPr>
        <w:t xml:space="preserve"> </w:t>
      </w:r>
      <w:r>
        <w:rPr>
          <w:rFonts w:hint="eastAsia" w:cs="宋体"/>
          <w:color w:val="auto"/>
          <w:szCs w:val="21"/>
          <w:highlight w:val="none"/>
          <w:u w:val="single"/>
        </w:rPr>
        <w:t>满足缺陷责任期内继续工作的使用要求</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2B7F304E">
      <w:pPr>
        <w:pStyle w:val="221"/>
        <w:widowControl/>
        <w:tabs>
          <w:tab w:val="left" w:pos="220"/>
        </w:tabs>
        <w:adjustRightInd w:val="0"/>
        <w:snapToGrid w:val="0"/>
        <w:spacing w:before="93" w:beforeLines="30" w:after="93" w:afterLines="30" w:line="440" w:lineRule="exact"/>
        <w:ind w:left="0" w:leftChars="0" w:right="250" w:rightChars="119" w:hanging="15" w:firstLineChars="0"/>
        <w:jc w:val="left"/>
        <w:rPr>
          <w:rFonts w:hint="eastAsia" w:cs="宋体"/>
          <w:bCs w:val="0"/>
          <w:color w:val="auto"/>
          <w:sz w:val="21"/>
          <w:szCs w:val="21"/>
          <w:highlight w:val="none"/>
        </w:rPr>
      </w:pPr>
      <w:r>
        <w:rPr>
          <w:rFonts w:hint="eastAsia" w:cs="宋体"/>
          <w:bCs w:val="0"/>
          <w:color w:val="auto"/>
          <w:sz w:val="21"/>
          <w:szCs w:val="21"/>
          <w:highlight w:val="none"/>
        </w:rPr>
        <w:t>第11条 缺陷责任与保修</w:t>
      </w:r>
    </w:p>
    <w:p w14:paraId="53B0A3E7">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11.2 缺陷责任期</w:t>
      </w:r>
    </w:p>
    <w:p w14:paraId="280D681A">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缺陷责任期的期限：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2年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6B7A1971">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11.3 缺陷调查</w:t>
      </w:r>
    </w:p>
    <w:p w14:paraId="3EE127DA">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11.3.4 修复通知</w:t>
      </w:r>
    </w:p>
    <w:p w14:paraId="62E4085A">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承包人收到保修通知并到达工程现场的合理时间：</w:t>
      </w:r>
      <w:r>
        <w:rPr>
          <w:rStyle w:val="222"/>
          <w:rFonts w:hint="eastAsia" w:eastAsia="宋体" w:cs="宋体"/>
          <w:b/>
          <w:bCs/>
          <w:color w:val="auto"/>
          <w:sz w:val="21"/>
          <w:szCs w:val="21"/>
          <w:highlight w:val="none"/>
          <w:u w:val="single"/>
        </w:rPr>
        <w:t>按照本合同附件《质量管理协议》中约定的条款执行</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21A47C7C">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11.6 缺陷责任期终止证书</w:t>
      </w:r>
    </w:p>
    <w:p w14:paraId="7C3DF9CE">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承包人应于缺陷责任期届满后</w:t>
      </w:r>
      <w:r>
        <w:rPr>
          <w:rFonts w:hint="eastAsia" w:ascii="宋体" w:hAnsi="宋体" w:cs="宋体"/>
          <w:color w:val="auto"/>
          <w:szCs w:val="21"/>
          <w:highlight w:val="none"/>
          <w:u w:val="single"/>
        </w:rPr>
        <w:t xml:space="preserve">  </w:t>
      </w:r>
      <w:r>
        <w:rPr>
          <w:rFonts w:hint="eastAsia" w:cs="宋体"/>
          <w:color w:val="auto"/>
          <w:szCs w:val="21"/>
          <w:highlight w:val="none"/>
          <w:u w:val="single"/>
        </w:rPr>
        <w:t>7</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天内向发包人发出缺陷责任期届满通知，发包人应在收到缺陷责任期满通知后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14</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天内核实承包人是否履行缺陷修复义务，承包人未能履行缺陷修复义务的，发包人有权扣除相应金额的维修费用。发包人应在收到缺陷责任期届满通知，经现场回访合格后</w:t>
      </w:r>
      <w:r>
        <w:rPr>
          <w:rFonts w:hint="eastAsia" w:ascii="宋体" w:hAnsi="宋体" w:cs="宋体"/>
          <w:color w:val="auto"/>
          <w:szCs w:val="21"/>
          <w:highlight w:val="none"/>
          <w:u w:val="single"/>
        </w:rPr>
        <w:t xml:space="preserve"> </w:t>
      </w:r>
      <w:r>
        <w:rPr>
          <w:rFonts w:hint="eastAsia" w:cs="宋体"/>
          <w:color w:val="auto"/>
          <w:szCs w:val="21"/>
          <w:highlight w:val="none"/>
          <w:u w:val="single"/>
        </w:rPr>
        <w:t>28</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天内，向承包人颁发缺陷责任期终止证书。</w:t>
      </w:r>
    </w:p>
    <w:p w14:paraId="5882EDB5">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11.7 保修责任</w:t>
      </w:r>
    </w:p>
    <w:p w14:paraId="704FE7C4">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工程质量保修范围、期限和责任为：</w:t>
      </w:r>
      <w:r>
        <w:rPr>
          <w:rStyle w:val="222"/>
          <w:rFonts w:hint="eastAsia" w:eastAsia="宋体" w:cs="宋体"/>
          <w:b/>
          <w:bCs/>
          <w:strike w:val="0"/>
          <w:dstrike w:val="0"/>
          <w:color w:val="auto"/>
          <w:sz w:val="21"/>
          <w:szCs w:val="21"/>
          <w:highlight w:val="none"/>
          <w:u w:val="single"/>
        </w:rPr>
        <w:t>按照本合同</w:t>
      </w:r>
      <w:r>
        <w:rPr>
          <w:rStyle w:val="222"/>
          <w:rFonts w:hint="eastAsia" w:eastAsia="宋体" w:cs="宋体"/>
          <w:b/>
          <w:bCs/>
          <w:strike w:val="0"/>
          <w:dstrike w:val="0"/>
          <w:color w:val="auto"/>
          <w:sz w:val="21"/>
          <w:szCs w:val="21"/>
          <w:highlight w:val="none"/>
          <w:u w:val="single"/>
          <w:lang w:val="en-US" w:eastAsia="zh-CN"/>
        </w:rPr>
        <w:t>第四部分《补充条款》及合同</w:t>
      </w:r>
      <w:r>
        <w:rPr>
          <w:rStyle w:val="222"/>
          <w:rFonts w:hint="eastAsia" w:eastAsia="宋体" w:cs="宋体"/>
          <w:b/>
          <w:bCs/>
          <w:strike w:val="0"/>
          <w:dstrike w:val="0"/>
          <w:color w:val="auto"/>
          <w:sz w:val="21"/>
          <w:szCs w:val="21"/>
          <w:highlight w:val="none"/>
          <w:u w:val="single"/>
        </w:rPr>
        <w:t>附件《质量管理协议》中约定的条款执行</w:t>
      </w:r>
      <w:r>
        <w:rPr>
          <w:rFonts w:hint="eastAsia" w:ascii="宋体" w:hAnsi="宋体" w:cs="宋体"/>
          <w:b/>
          <w:bCs/>
          <w:color w:val="auto"/>
          <w:szCs w:val="21"/>
          <w:highlight w:val="none"/>
          <w:u w:val="single"/>
        </w:rPr>
        <w:t xml:space="preserve"> </w:t>
      </w:r>
      <w:r>
        <w:rPr>
          <w:rFonts w:hint="eastAsia" w:ascii="宋体" w:hAnsi="宋体" w:cs="宋体"/>
          <w:color w:val="auto"/>
          <w:szCs w:val="21"/>
          <w:highlight w:val="none"/>
        </w:rPr>
        <w:t>。</w:t>
      </w:r>
    </w:p>
    <w:p w14:paraId="0CDBEA7E">
      <w:pPr>
        <w:pStyle w:val="221"/>
        <w:widowControl/>
        <w:tabs>
          <w:tab w:val="left" w:pos="220"/>
        </w:tabs>
        <w:adjustRightInd w:val="0"/>
        <w:snapToGrid w:val="0"/>
        <w:spacing w:before="93" w:beforeLines="30" w:after="93" w:afterLines="30" w:line="440" w:lineRule="exact"/>
        <w:ind w:left="0" w:leftChars="0" w:right="250" w:rightChars="119" w:hanging="15" w:firstLineChars="0"/>
        <w:jc w:val="left"/>
        <w:rPr>
          <w:rFonts w:hint="eastAsia" w:cs="宋体"/>
          <w:bCs w:val="0"/>
          <w:color w:val="auto"/>
          <w:sz w:val="21"/>
          <w:szCs w:val="21"/>
          <w:highlight w:val="none"/>
        </w:rPr>
      </w:pPr>
      <w:r>
        <w:rPr>
          <w:rFonts w:hint="eastAsia" w:cs="宋体"/>
          <w:bCs w:val="0"/>
          <w:color w:val="auto"/>
          <w:sz w:val="21"/>
          <w:szCs w:val="21"/>
          <w:highlight w:val="none"/>
        </w:rPr>
        <w:t>第12条 竣工后试验</w:t>
      </w:r>
    </w:p>
    <w:p w14:paraId="20496B1A">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本合同工程是否包含竣工后试验：</w:t>
      </w:r>
      <w:r>
        <w:rPr>
          <w:rFonts w:hint="eastAsia" w:ascii="宋体" w:hAnsi="宋体" w:cs="宋体"/>
          <w:color w:val="auto"/>
          <w:szCs w:val="21"/>
          <w:highlight w:val="none"/>
          <w:u w:val="single"/>
        </w:rPr>
        <w:t xml:space="preserve">   是                  </w:t>
      </w:r>
      <w:r>
        <w:rPr>
          <w:rFonts w:hint="eastAsia" w:ascii="宋体" w:hAnsi="宋体" w:cs="宋体"/>
          <w:color w:val="auto"/>
          <w:szCs w:val="21"/>
          <w:highlight w:val="none"/>
        </w:rPr>
        <w:t>。</w:t>
      </w:r>
    </w:p>
    <w:p w14:paraId="62E1F657">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12.1 竣工后试验的程序</w:t>
      </w:r>
    </w:p>
    <w:p w14:paraId="4AF6DE7C">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12.1.2 竣工后试验全部电力、水、污水处理、燃料、消耗品和材料，以及全部其他仪器、协助、文件或其他信息、设备、工具、劳力，启动工程设备，并组织安排有适当资质、经验和能力的工作人员等必要条件的提供方：</w:t>
      </w:r>
      <w:r>
        <w:rPr>
          <w:rFonts w:hint="eastAsia" w:ascii="宋体" w:hAnsi="宋体" w:cs="宋体"/>
          <w:color w:val="auto"/>
          <w:szCs w:val="21"/>
          <w:highlight w:val="none"/>
          <w:u w:val="single"/>
        </w:rPr>
        <w:t xml:space="preserve">承包人   </w:t>
      </w:r>
      <w:r>
        <w:rPr>
          <w:rFonts w:hint="eastAsia" w:ascii="宋体" w:hAnsi="宋体" w:cs="宋体"/>
          <w:color w:val="auto"/>
          <w:szCs w:val="21"/>
          <w:highlight w:val="none"/>
        </w:rPr>
        <w:t>。</w:t>
      </w:r>
    </w:p>
    <w:p w14:paraId="74BFF57C">
      <w:pPr>
        <w:pStyle w:val="221"/>
        <w:widowControl/>
        <w:tabs>
          <w:tab w:val="left" w:pos="220"/>
        </w:tabs>
        <w:adjustRightInd w:val="0"/>
        <w:snapToGrid w:val="0"/>
        <w:spacing w:before="93" w:beforeLines="30" w:after="93" w:afterLines="30" w:line="440" w:lineRule="exact"/>
        <w:ind w:left="0" w:leftChars="0" w:right="250" w:rightChars="119" w:hanging="15" w:firstLineChars="0"/>
        <w:jc w:val="left"/>
        <w:rPr>
          <w:rFonts w:hint="eastAsia" w:cs="宋体"/>
          <w:bCs w:val="0"/>
          <w:color w:val="auto"/>
          <w:sz w:val="21"/>
          <w:szCs w:val="21"/>
          <w:highlight w:val="none"/>
        </w:rPr>
      </w:pPr>
      <w:r>
        <w:rPr>
          <w:rFonts w:hint="eastAsia" w:cs="宋体"/>
          <w:bCs w:val="0"/>
          <w:color w:val="auto"/>
          <w:sz w:val="21"/>
          <w:szCs w:val="21"/>
          <w:highlight w:val="none"/>
        </w:rPr>
        <w:t>第13条 变更与调整</w:t>
      </w:r>
    </w:p>
    <w:p w14:paraId="556EDAEB">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13.2 承包人的合理化建议</w:t>
      </w:r>
    </w:p>
    <w:p w14:paraId="6C2924DE">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13.2.2 工程师应在收到承包人提交的合理化建议后</w:t>
      </w:r>
      <w:r>
        <w:rPr>
          <w:rFonts w:hint="eastAsia" w:ascii="宋体" w:hAnsi="宋体" w:cs="宋体"/>
          <w:color w:val="auto"/>
          <w:szCs w:val="21"/>
          <w:highlight w:val="none"/>
          <w:u w:val="single"/>
        </w:rPr>
        <w:t xml:space="preserve"> </w:t>
      </w:r>
      <w:r>
        <w:rPr>
          <w:rFonts w:hint="eastAsia" w:cs="宋体"/>
          <w:color w:val="auto"/>
          <w:szCs w:val="21"/>
          <w:highlight w:val="none"/>
          <w:u w:val="single"/>
        </w:rPr>
        <w:t>7</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日内审查完毕并报送发包人，发现其中存在技术上的缺陷，应通知承包人修改。发包人应在收到工程师报送的合理化建议后</w:t>
      </w:r>
      <w:r>
        <w:rPr>
          <w:rFonts w:hint="eastAsia" w:ascii="宋体" w:hAnsi="宋体" w:cs="宋体"/>
          <w:color w:val="auto"/>
          <w:szCs w:val="21"/>
          <w:highlight w:val="none"/>
          <w:u w:val="single"/>
        </w:rPr>
        <w:t xml:space="preserve">  </w:t>
      </w:r>
      <w:r>
        <w:rPr>
          <w:rFonts w:hint="eastAsia" w:cs="宋体"/>
          <w:color w:val="auto"/>
          <w:szCs w:val="21"/>
          <w:highlight w:val="none"/>
          <w:u w:val="single"/>
        </w:rPr>
        <w:t>7</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日内审批完毕。合理化建议经发包人批准的，工程师应及时发出变更指示，由此引起的合同价格调整按照</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13.3.3款</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执行。发包人不同意变更的，工程师应书面通知承包人</w:t>
      </w:r>
    </w:p>
    <w:p w14:paraId="605DE0B8">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u w:val="single"/>
        </w:rPr>
      </w:pPr>
      <w:r>
        <w:rPr>
          <w:rFonts w:hint="eastAsia" w:ascii="宋体" w:hAnsi="宋体" w:cs="宋体"/>
          <w:color w:val="auto"/>
          <w:szCs w:val="21"/>
          <w:highlight w:val="none"/>
        </w:rPr>
        <w:t>13.2.3 承包人提出的合理化变更建议的利益分享约定：</w:t>
      </w:r>
      <w:r>
        <w:rPr>
          <w:rFonts w:hint="eastAsia" w:ascii="宋体" w:hAnsi="宋体" w:cs="宋体"/>
          <w:color w:val="auto"/>
          <w:szCs w:val="21"/>
          <w:highlight w:val="none"/>
          <w:u w:val="single"/>
        </w:rPr>
        <w:t xml:space="preserve"> 由发包人根据合同价格降低额或工程经济效益提高</w:t>
      </w:r>
      <w:r>
        <w:rPr>
          <w:rFonts w:hint="eastAsia" w:cs="宋体"/>
          <w:color w:val="auto"/>
          <w:szCs w:val="21"/>
          <w:highlight w:val="none"/>
          <w:u w:val="single"/>
        </w:rPr>
        <w:t>程度</w:t>
      </w:r>
      <w:r>
        <w:rPr>
          <w:rFonts w:hint="eastAsia" w:ascii="宋体" w:hAnsi="宋体" w:cs="宋体"/>
          <w:color w:val="auto"/>
          <w:szCs w:val="21"/>
          <w:highlight w:val="none"/>
          <w:u w:val="single"/>
        </w:rPr>
        <w:t>，结合项目考勤、质量、安全、进度等实际情况综合考虑。</w:t>
      </w:r>
    </w:p>
    <w:p w14:paraId="23D4D112">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13.3 变更程序</w:t>
      </w:r>
    </w:p>
    <w:p w14:paraId="77C52A56">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13.3.3 变更估价</w:t>
      </w:r>
    </w:p>
    <w:p w14:paraId="5F157239">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13.3.3.1 变更估价原则</w:t>
      </w:r>
    </w:p>
    <w:p w14:paraId="77EB343E">
      <w:pPr>
        <w:pStyle w:val="2"/>
        <w:tabs>
          <w:tab w:val="left" w:pos="220"/>
        </w:tabs>
        <w:spacing w:after="0" w:line="420" w:lineRule="exact"/>
        <w:ind w:left="0" w:leftChars="0" w:right="250" w:rightChars="119" w:hanging="15" w:firstLineChars="0"/>
        <w:rPr>
          <w:color w:val="auto"/>
          <w:highlight w:val="none"/>
          <w:u w:val="single"/>
        </w:rPr>
      </w:pPr>
      <w:r>
        <w:rPr>
          <w:rFonts w:hint="eastAsia" w:hAnsi="宋体" w:cs="宋体"/>
          <w:color w:val="auto"/>
          <w:szCs w:val="21"/>
          <w:highlight w:val="none"/>
        </w:rPr>
        <w:t>关于变更估价原则的约定：</w:t>
      </w:r>
      <w:r>
        <w:rPr>
          <w:rFonts w:hint="eastAsia"/>
          <w:color w:val="auto"/>
          <w:highlight w:val="none"/>
          <w:u w:val="single"/>
        </w:rPr>
        <w:t>因发包人指令引起工程量的增减或变更，按实结算。其变更原则按市相关部门相关文件要求执行。</w:t>
      </w:r>
    </w:p>
    <w:p w14:paraId="70D88F86">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13.4 暂估价</w:t>
      </w:r>
    </w:p>
    <w:p w14:paraId="7B0EC981">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13.4.1 依法必须招标的暂估价项目</w:t>
      </w:r>
    </w:p>
    <w:p w14:paraId="519D2471">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承包人可以参与投标的暂估价项目范围：</w:t>
      </w:r>
      <w:r>
        <w:rPr>
          <w:rFonts w:hint="eastAsia" w:ascii="宋体" w:hAnsi="宋体" w:cs="宋体"/>
          <w:color w:val="auto"/>
          <w:szCs w:val="21"/>
          <w:highlight w:val="none"/>
          <w:u w:val="single"/>
        </w:rPr>
        <w:t xml:space="preserve">  承包人资质符合要求且自愿参与投标的项目    </w:t>
      </w:r>
      <w:r>
        <w:rPr>
          <w:rFonts w:hint="eastAsia" w:ascii="宋体" w:hAnsi="宋体" w:cs="宋体"/>
          <w:color w:val="auto"/>
          <w:szCs w:val="21"/>
          <w:highlight w:val="none"/>
        </w:rPr>
        <w:t>。</w:t>
      </w:r>
    </w:p>
    <w:p w14:paraId="06A400DB">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承包人不得参与投标的暂估价项目范围：</w:t>
      </w:r>
      <w:r>
        <w:rPr>
          <w:rFonts w:hint="eastAsia" w:ascii="宋体" w:hAnsi="宋体" w:cs="宋体"/>
          <w:color w:val="auto"/>
          <w:szCs w:val="21"/>
          <w:highlight w:val="none"/>
          <w:u w:val="single"/>
        </w:rPr>
        <w:t xml:space="preserve">  承包人资质不符合要求或不愿参与投标的项目    </w:t>
      </w:r>
      <w:r>
        <w:rPr>
          <w:rFonts w:hint="eastAsia" w:ascii="宋体" w:hAnsi="宋体" w:cs="宋体"/>
          <w:color w:val="auto"/>
          <w:szCs w:val="21"/>
          <w:highlight w:val="none"/>
        </w:rPr>
        <w:t>。</w:t>
      </w:r>
    </w:p>
    <w:p w14:paraId="291CD936">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招投标程序及其他约定：</w:t>
      </w:r>
      <w:r>
        <w:rPr>
          <w:rFonts w:hint="eastAsia" w:ascii="宋体" w:hAnsi="宋体" w:cs="宋体"/>
          <w:color w:val="auto"/>
          <w:szCs w:val="21"/>
          <w:highlight w:val="none"/>
          <w:u w:val="single"/>
        </w:rPr>
        <w:t xml:space="preserve">  按法律法规规定及省、市相关文件执行    </w:t>
      </w:r>
      <w:r>
        <w:rPr>
          <w:rFonts w:hint="eastAsia" w:ascii="宋体" w:hAnsi="宋体" w:cs="宋体"/>
          <w:color w:val="auto"/>
          <w:szCs w:val="21"/>
          <w:highlight w:val="none"/>
        </w:rPr>
        <w:t>。</w:t>
      </w:r>
    </w:p>
    <w:p w14:paraId="0DAE6222">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13.4.2 不属于依法必须招标的暂估价项目</w:t>
      </w:r>
    </w:p>
    <w:p w14:paraId="4E4FBDC1">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不属于依法必须招标的暂估价项目的协商及估价的约定：</w:t>
      </w:r>
      <w:r>
        <w:rPr>
          <w:rFonts w:hint="eastAsia" w:ascii="宋体" w:hAnsi="宋体" w:cs="宋体"/>
          <w:color w:val="auto"/>
          <w:szCs w:val="21"/>
          <w:highlight w:val="none"/>
          <w:u w:val="single"/>
        </w:rPr>
        <w:t>对于不属于依法必须招标的暂估价项目的确认和批准采取询价或招标采购方式确定。</w:t>
      </w:r>
    </w:p>
    <w:p w14:paraId="1A9DAA60">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13.5 暂列金额</w:t>
      </w:r>
    </w:p>
    <w:p w14:paraId="6E65658D">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其他关于暂列金额使用的约定：</w:t>
      </w:r>
      <w:r>
        <w:rPr>
          <w:rFonts w:hint="eastAsia" w:ascii="宋体" w:hAnsi="宋体" w:cs="宋体"/>
          <w:color w:val="auto"/>
          <w:szCs w:val="21"/>
          <w:highlight w:val="none"/>
          <w:u w:val="single"/>
        </w:rPr>
        <w:t>暂列金额应按照发包人的要求使用 。</w:t>
      </w:r>
    </w:p>
    <w:p w14:paraId="73B6DB5E">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13.8 市场价格波动引起的调整</w:t>
      </w:r>
    </w:p>
    <w:p w14:paraId="118DC4E9">
      <w:pPr>
        <w:pStyle w:val="221"/>
        <w:widowControl/>
        <w:tabs>
          <w:tab w:val="left" w:pos="220"/>
        </w:tabs>
        <w:adjustRightInd w:val="0"/>
        <w:snapToGrid w:val="0"/>
        <w:spacing w:before="93" w:beforeLines="30" w:after="93" w:afterLines="30" w:line="440" w:lineRule="exact"/>
        <w:ind w:left="0" w:leftChars="0" w:right="250" w:rightChars="119" w:hanging="15" w:firstLineChars="0"/>
        <w:jc w:val="left"/>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w:t>
      </w:r>
      <w:r>
        <w:rPr>
          <w:rFonts w:hint="eastAsia" w:ascii="宋体" w:hAnsi="宋体" w:eastAsia="宋体" w:cs="宋体"/>
          <w:b w:val="0"/>
          <w:bCs w:val="0"/>
          <w:color w:val="auto"/>
          <w:kern w:val="2"/>
          <w:sz w:val="21"/>
          <w:szCs w:val="21"/>
          <w:highlight w:val="none"/>
          <w:lang w:val="en-US" w:eastAsia="zh-CN" w:bidi="ar-SA"/>
        </w:rPr>
        <w:t>3.8.2 关于是否采用《价格指数权重表》的约定：</w:t>
      </w:r>
      <w:r>
        <w:rPr>
          <w:rFonts w:hint="eastAsia" w:ascii="宋体" w:hAnsi="宋体" w:eastAsia="宋体" w:cs="宋体"/>
          <w:b w:val="0"/>
          <w:bCs w:val="0"/>
          <w:color w:val="auto"/>
          <w:kern w:val="2"/>
          <w:sz w:val="21"/>
          <w:szCs w:val="21"/>
          <w:highlight w:val="none"/>
          <w:u w:val="single"/>
          <w:lang w:val="en-US" w:eastAsia="zh-CN" w:bidi="ar-SA"/>
        </w:rPr>
        <w:t xml:space="preserve"> 不采用      </w:t>
      </w:r>
      <w:r>
        <w:rPr>
          <w:rFonts w:hint="eastAsia" w:ascii="宋体" w:hAnsi="宋体" w:eastAsia="宋体" w:cs="宋体"/>
          <w:b w:val="0"/>
          <w:bCs w:val="0"/>
          <w:color w:val="auto"/>
          <w:kern w:val="2"/>
          <w:sz w:val="21"/>
          <w:szCs w:val="21"/>
          <w:highlight w:val="none"/>
          <w:lang w:val="en-US" w:eastAsia="zh-CN" w:bidi="ar-SA"/>
        </w:rPr>
        <w:t xml:space="preserve"> 。</w:t>
      </w:r>
    </w:p>
    <w:p w14:paraId="3FC900E7">
      <w:pPr>
        <w:pStyle w:val="221"/>
        <w:widowControl/>
        <w:tabs>
          <w:tab w:val="left" w:pos="220"/>
        </w:tabs>
        <w:adjustRightInd w:val="0"/>
        <w:snapToGrid w:val="0"/>
        <w:spacing w:before="93" w:beforeLines="30" w:after="93" w:afterLines="30" w:line="440" w:lineRule="exact"/>
        <w:ind w:left="0" w:leftChars="0" w:right="250" w:rightChars="119" w:hanging="15" w:firstLineChars="0"/>
        <w:jc w:val="left"/>
        <w:rPr>
          <w:rFonts w:hint="default" w:ascii="宋体" w:hAnsi="宋体" w:eastAsia="宋体" w:cs="宋体"/>
          <w:b w:val="0"/>
          <w:bCs w:val="0"/>
          <w:color w:val="auto"/>
          <w:kern w:val="2"/>
          <w:sz w:val="21"/>
          <w:szCs w:val="21"/>
          <w:highlight w:val="none"/>
          <w:u w:val="single"/>
          <w:lang w:val="en-US" w:eastAsia="zh-CN" w:bidi="ar-SA"/>
        </w:rPr>
      </w:pPr>
      <w:r>
        <w:rPr>
          <w:rFonts w:hint="eastAsia" w:ascii="宋体" w:hAnsi="宋体" w:eastAsia="宋体" w:cs="宋体"/>
          <w:b w:val="0"/>
          <w:bCs w:val="0"/>
          <w:color w:val="auto"/>
          <w:kern w:val="2"/>
          <w:sz w:val="21"/>
          <w:szCs w:val="21"/>
          <w:highlight w:val="none"/>
          <w:lang w:val="en-US" w:eastAsia="zh-CN" w:bidi="ar-SA"/>
        </w:rPr>
        <w:t>13.8.3 关于采用其他方式调整合同价款的约定：</w:t>
      </w:r>
      <w:r>
        <w:rPr>
          <w:rFonts w:hint="eastAsia" w:ascii="宋体" w:hAnsi="宋体" w:eastAsia="宋体" w:cs="宋体"/>
          <w:b w:val="0"/>
          <w:bCs w:val="0"/>
          <w:color w:val="auto"/>
          <w:kern w:val="2"/>
          <w:sz w:val="21"/>
          <w:szCs w:val="21"/>
          <w:highlight w:val="none"/>
          <w:u w:val="single"/>
          <w:lang w:val="en-US" w:eastAsia="zh-CN" w:bidi="ar-SA"/>
        </w:rPr>
        <w:t>/</w:t>
      </w:r>
      <w:r>
        <w:rPr>
          <w:rFonts w:hint="eastAsia" w:ascii="宋体" w:hAnsi="宋体" w:eastAsia="宋体" w:cs="宋体"/>
          <w:b w:val="0"/>
          <w:bCs w:val="0"/>
          <w:color w:val="auto"/>
          <w:kern w:val="2"/>
          <w:sz w:val="21"/>
          <w:szCs w:val="21"/>
          <w:highlight w:val="none"/>
          <w:u w:val="none"/>
          <w:lang w:val="en-US" w:eastAsia="zh-CN" w:bidi="ar-SA"/>
        </w:rPr>
        <w:t>。</w:t>
      </w:r>
    </w:p>
    <w:p w14:paraId="1E0BF75B">
      <w:pPr>
        <w:pStyle w:val="221"/>
        <w:widowControl/>
        <w:tabs>
          <w:tab w:val="left" w:pos="220"/>
        </w:tabs>
        <w:adjustRightInd w:val="0"/>
        <w:snapToGrid w:val="0"/>
        <w:spacing w:before="93" w:beforeLines="30" w:after="93" w:afterLines="30" w:line="440" w:lineRule="exact"/>
        <w:ind w:left="0" w:leftChars="0" w:right="250" w:rightChars="119" w:hanging="15" w:firstLineChars="0"/>
        <w:jc w:val="left"/>
        <w:rPr>
          <w:rFonts w:hint="eastAsia" w:cs="宋体"/>
          <w:bCs w:val="0"/>
          <w:color w:val="auto"/>
          <w:sz w:val="21"/>
          <w:szCs w:val="21"/>
          <w:highlight w:val="none"/>
        </w:rPr>
      </w:pPr>
      <w:r>
        <w:rPr>
          <w:rFonts w:hint="eastAsia" w:cs="宋体"/>
          <w:bCs w:val="0"/>
          <w:color w:val="auto"/>
          <w:sz w:val="21"/>
          <w:szCs w:val="21"/>
          <w:highlight w:val="none"/>
        </w:rPr>
        <w:t>第14条 合同价格与支付</w:t>
      </w:r>
    </w:p>
    <w:p w14:paraId="30C6C1A8">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14.1 合同价格形式</w:t>
      </w:r>
    </w:p>
    <w:p w14:paraId="0204BE21">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14.1.1 关于合同价格形式的约定：</w:t>
      </w:r>
      <w:r>
        <w:rPr>
          <w:rFonts w:hint="eastAsia" w:ascii="宋体" w:hAnsi="宋体" w:cs="宋体"/>
          <w:color w:val="auto"/>
          <w:szCs w:val="21"/>
          <w:highlight w:val="none"/>
          <w:u w:val="single"/>
        </w:rPr>
        <w:t xml:space="preserve">  固定单价合同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153E23B3">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u w:val="single"/>
        </w:rPr>
      </w:pPr>
      <w:r>
        <w:rPr>
          <w:rFonts w:hint="eastAsia" w:ascii="宋体" w:hAnsi="宋体" w:cs="宋体"/>
          <w:color w:val="auto"/>
          <w:szCs w:val="21"/>
          <w:highlight w:val="none"/>
        </w:rPr>
        <w:t>14.1.2 关于合同价格调整的约定：</w:t>
      </w:r>
    </w:p>
    <w:p w14:paraId="3D5721C5">
      <w:pPr>
        <w:widowControl/>
        <w:tabs>
          <w:tab w:val="left" w:pos="220"/>
        </w:tabs>
        <w:adjustRightInd w:val="0"/>
        <w:snapToGrid w:val="0"/>
        <w:spacing w:line="440" w:lineRule="exact"/>
        <w:ind w:left="0" w:leftChars="0" w:right="250" w:rightChars="119" w:hanging="15" w:firstLineChars="0"/>
        <w:jc w:val="left"/>
        <w:rPr>
          <w:rFonts w:ascii="宋体" w:hAnsi="宋体" w:cs="宋体"/>
          <w:color w:val="auto"/>
          <w:szCs w:val="21"/>
          <w:highlight w:val="none"/>
        </w:rPr>
      </w:pPr>
      <w:r>
        <w:rPr>
          <w:rFonts w:hint="eastAsia" w:cs="宋体"/>
          <w:color w:val="auto"/>
          <w:szCs w:val="21"/>
          <w:highlight w:val="none"/>
        </w:rPr>
        <w:t>1、</w:t>
      </w:r>
      <w:r>
        <w:rPr>
          <w:rFonts w:ascii="宋体" w:hAnsi="宋体" w:cs="宋体"/>
          <w:color w:val="auto"/>
          <w:szCs w:val="21"/>
          <w:highlight w:val="none"/>
        </w:rPr>
        <w:t>工程量清单错误的修正</w:t>
      </w:r>
    </w:p>
    <w:p w14:paraId="57BC619B">
      <w:pPr>
        <w:widowControl/>
        <w:tabs>
          <w:tab w:val="left" w:pos="220"/>
        </w:tabs>
        <w:adjustRightInd w:val="0"/>
        <w:snapToGrid w:val="0"/>
        <w:spacing w:line="440" w:lineRule="exact"/>
        <w:ind w:left="0" w:leftChars="0" w:right="250" w:rightChars="119" w:hanging="15" w:firstLineChars="0"/>
        <w:jc w:val="left"/>
        <w:rPr>
          <w:rFonts w:ascii="宋体" w:hAnsi="宋体" w:cs="宋体"/>
          <w:color w:val="auto"/>
          <w:szCs w:val="21"/>
          <w:highlight w:val="none"/>
        </w:rPr>
      </w:pPr>
      <w:r>
        <w:rPr>
          <w:rFonts w:ascii="宋体" w:hAnsi="宋体" w:cs="宋体"/>
          <w:color w:val="auto"/>
          <w:szCs w:val="21"/>
          <w:highlight w:val="none"/>
        </w:rPr>
        <w:t>出现工程量清单错误时，是否调整合同价格：</w:t>
      </w:r>
      <w:r>
        <w:rPr>
          <w:rFonts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否</w:t>
      </w:r>
      <w:r>
        <w:rPr>
          <w:rFonts w:ascii="宋体" w:hAnsi="宋体" w:cs="宋体"/>
          <w:color w:val="auto"/>
          <w:szCs w:val="21"/>
          <w:highlight w:val="none"/>
          <w:u w:val="single"/>
        </w:rPr>
        <w:t xml:space="preserve">  </w:t>
      </w:r>
      <w:r>
        <w:rPr>
          <w:rFonts w:ascii="宋体" w:hAnsi="宋体" w:cs="宋体"/>
          <w:color w:val="auto"/>
          <w:szCs w:val="21"/>
          <w:highlight w:val="none"/>
        </w:rPr>
        <w:t>。</w:t>
      </w:r>
    </w:p>
    <w:p w14:paraId="4E472754">
      <w:pPr>
        <w:widowControl/>
        <w:tabs>
          <w:tab w:val="left" w:pos="220"/>
        </w:tabs>
        <w:adjustRightInd w:val="0"/>
        <w:snapToGrid w:val="0"/>
        <w:spacing w:line="440" w:lineRule="exact"/>
        <w:ind w:left="0" w:leftChars="0" w:right="250" w:rightChars="119" w:hanging="15" w:firstLineChars="0"/>
        <w:jc w:val="left"/>
        <w:rPr>
          <w:rFonts w:hint="default" w:ascii="宋体" w:hAnsi="宋体" w:eastAsia="宋体" w:cs="宋体"/>
          <w:color w:val="auto"/>
          <w:szCs w:val="21"/>
          <w:highlight w:val="none"/>
          <w:u w:val="single"/>
          <w:lang w:val="en-US" w:eastAsia="zh-CN"/>
        </w:rPr>
      </w:pPr>
      <w:r>
        <w:rPr>
          <w:rFonts w:ascii="宋体" w:hAnsi="宋体" w:cs="宋体"/>
          <w:color w:val="auto"/>
          <w:szCs w:val="21"/>
          <w:highlight w:val="none"/>
        </w:rPr>
        <w:t>允许调整合同价格的工程量偏差范围：</w:t>
      </w:r>
      <w:r>
        <w:rPr>
          <w:rFonts w:hint="eastAsia" w:ascii="宋体" w:hAnsi="宋体" w:cs="宋体"/>
          <w:color w:val="auto"/>
          <w:szCs w:val="21"/>
          <w:highlight w:val="none"/>
          <w:u w:val="single"/>
        </w:rPr>
        <w:t>。</w:t>
      </w:r>
    </w:p>
    <w:p w14:paraId="1F5E3458">
      <w:pPr>
        <w:widowControl/>
        <w:tabs>
          <w:tab w:val="left" w:pos="220"/>
        </w:tabs>
        <w:adjustRightInd w:val="0"/>
        <w:snapToGrid w:val="0"/>
        <w:spacing w:line="440" w:lineRule="exact"/>
        <w:ind w:left="0" w:leftChars="0" w:right="250" w:rightChars="119" w:hanging="15" w:firstLineChars="0"/>
        <w:jc w:val="left"/>
        <w:rPr>
          <w:rFonts w:ascii="宋体" w:hAnsi="宋体" w:cs="宋体"/>
          <w:color w:val="auto"/>
          <w:szCs w:val="21"/>
          <w:highlight w:val="none"/>
          <w:u w:val="single"/>
        </w:rPr>
      </w:pPr>
      <w:r>
        <w:rPr>
          <w:rFonts w:ascii="宋体" w:hAnsi="宋体" w:cs="宋体"/>
          <w:color w:val="auto"/>
          <w:szCs w:val="21"/>
          <w:highlight w:val="none"/>
        </w:rPr>
        <w:t>技术措施费调整：</w:t>
      </w:r>
      <w:r>
        <w:rPr>
          <w:rFonts w:ascii="宋体" w:hAnsi="宋体" w:cs="宋体"/>
          <w:color w:val="auto"/>
          <w:szCs w:val="21"/>
          <w:highlight w:val="none"/>
          <w:u w:val="single"/>
        </w:rPr>
        <w:t>不调整。</w:t>
      </w:r>
    </w:p>
    <w:p w14:paraId="59B2BF6F">
      <w:pPr>
        <w:widowControl/>
        <w:tabs>
          <w:tab w:val="left" w:pos="220"/>
        </w:tabs>
        <w:adjustRightInd w:val="0"/>
        <w:snapToGrid w:val="0"/>
        <w:spacing w:line="440" w:lineRule="exact"/>
        <w:ind w:left="0" w:leftChars="0" w:right="250" w:rightChars="119" w:hanging="15" w:firstLineChars="0"/>
        <w:jc w:val="left"/>
        <w:rPr>
          <w:rFonts w:ascii="宋体" w:hAnsi="宋体" w:cs="宋体"/>
          <w:color w:val="auto"/>
          <w:szCs w:val="21"/>
          <w:highlight w:val="none"/>
        </w:rPr>
      </w:pPr>
      <w:r>
        <w:rPr>
          <w:rFonts w:ascii="宋体" w:hAnsi="宋体" w:cs="宋体"/>
          <w:color w:val="auto"/>
          <w:szCs w:val="21"/>
          <w:highlight w:val="none"/>
        </w:rPr>
        <w:t>组织措施费调整：</w:t>
      </w:r>
      <w:r>
        <w:rPr>
          <w:rFonts w:hint="eastAsia" w:cs="宋体"/>
          <w:strike w:val="0"/>
          <w:dstrike w:val="0"/>
          <w:color w:val="auto"/>
          <w:szCs w:val="21"/>
          <w:highlight w:val="none"/>
          <w:u w:val="single"/>
          <w:lang w:val="en-US" w:eastAsia="zh-CN"/>
        </w:rPr>
        <w:t>不调整</w:t>
      </w:r>
      <w:r>
        <w:rPr>
          <w:rFonts w:ascii="宋体" w:hAnsi="宋体" w:cs="宋体"/>
          <w:color w:val="auto"/>
          <w:szCs w:val="21"/>
          <w:highlight w:val="none"/>
        </w:rPr>
        <w:t>。</w:t>
      </w:r>
    </w:p>
    <w:p w14:paraId="1B82F640">
      <w:pPr>
        <w:widowControl/>
        <w:numPr>
          <w:ilvl w:val="0"/>
          <w:numId w:val="7"/>
        </w:numPr>
        <w:tabs>
          <w:tab w:val="left" w:pos="220"/>
        </w:tabs>
        <w:adjustRightInd w:val="0"/>
        <w:snapToGrid w:val="0"/>
        <w:spacing w:line="440" w:lineRule="exact"/>
        <w:ind w:left="0" w:leftChars="0" w:right="250" w:rightChars="119" w:hanging="15" w:firstLineChars="0"/>
        <w:jc w:val="left"/>
        <w:rPr>
          <w:rFonts w:hint="eastAsia" w:cs="宋体"/>
          <w:color w:val="auto"/>
          <w:szCs w:val="21"/>
          <w:highlight w:val="none"/>
          <w:u w:val="single"/>
        </w:rPr>
      </w:pPr>
      <w:r>
        <w:rPr>
          <w:rFonts w:hint="eastAsia" w:ascii="宋体" w:hAnsi="宋体" w:cs="宋体"/>
          <w:color w:val="auto"/>
          <w:szCs w:val="21"/>
          <w:highlight w:val="none"/>
        </w:rPr>
        <w:t>市场价格波动引起的调整</w:t>
      </w:r>
      <w:r>
        <w:rPr>
          <w:rFonts w:hint="eastAsia" w:cs="宋体"/>
          <w:color w:val="auto"/>
          <w:szCs w:val="21"/>
          <w:highlight w:val="none"/>
        </w:rPr>
        <w:t>：</w:t>
      </w:r>
      <w:r>
        <w:rPr>
          <w:rFonts w:hint="eastAsia" w:cs="宋体"/>
          <w:strike w:val="0"/>
          <w:dstrike w:val="0"/>
          <w:color w:val="auto"/>
          <w:szCs w:val="21"/>
          <w:highlight w:val="none"/>
          <w:u w:val="single"/>
          <w:lang w:val="en-US" w:eastAsia="zh-CN"/>
        </w:rPr>
        <w:t>不调整</w:t>
      </w:r>
      <w:r>
        <w:rPr>
          <w:rFonts w:hint="eastAsia" w:cs="宋体"/>
          <w:color w:val="auto"/>
          <w:szCs w:val="21"/>
          <w:highlight w:val="none"/>
          <w:u w:val="single"/>
        </w:rPr>
        <w:t>。</w:t>
      </w:r>
    </w:p>
    <w:p w14:paraId="7496C4AD">
      <w:pPr>
        <w:widowControl/>
        <w:numPr>
          <w:ilvl w:val="0"/>
          <w:numId w:val="7"/>
        </w:numPr>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u w:val="single"/>
        </w:rPr>
      </w:pPr>
      <w:r>
        <w:rPr>
          <w:rFonts w:hint="eastAsia" w:ascii="宋体" w:hAnsi="宋体" w:cs="宋体"/>
          <w:color w:val="auto"/>
          <w:szCs w:val="21"/>
          <w:highlight w:val="none"/>
        </w:rPr>
        <w:t>风险费用的计算方法：</w:t>
      </w:r>
      <w:r>
        <w:rPr>
          <w:rFonts w:hint="eastAsia" w:ascii="宋体" w:hAnsi="宋体" w:cs="宋体"/>
          <w:color w:val="auto"/>
          <w:szCs w:val="21"/>
          <w:highlight w:val="none"/>
          <w:u w:val="single"/>
        </w:rPr>
        <w:t xml:space="preserve"> 不考虑  </w:t>
      </w:r>
      <w:r>
        <w:rPr>
          <w:rFonts w:hint="eastAsia" w:cs="宋体"/>
          <w:color w:val="auto"/>
          <w:szCs w:val="21"/>
          <w:highlight w:val="none"/>
          <w:u w:val="single"/>
        </w:rPr>
        <w:t>。</w:t>
      </w:r>
    </w:p>
    <w:p w14:paraId="28D81083">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b w:val="0"/>
          <w:bCs w:val="0"/>
          <w:color w:val="auto"/>
          <w:szCs w:val="21"/>
          <w:highlight w:val="none"/>
        </w:rPr>
        <w:t>14.1.3 按实际完成的工程量支付工程价款的计量方法、估价方法：</w:t>
      </w:r>
      <w:r>
        <w:rPr>
          <w:rFonts w:hint="eastAsia"/>
          <w:color w:val="auto"/>
          <w:highlight w:val="none"/>
          <w:u w:val="single"/>
        </w:rPr>
        <w:t>因</w:t>
      </w:r>
      <w:r>
        <w:rPr>
          <w:rFonts w:hint="eastAsia"/>
          <w:color w:val="auto"/>
          <w:highlight w:val="none"/>
          <w:u w:val="single"/>
          <w:lang w:eastAsia="zh-CN"/>
        </w:rPr>
        <w:t>发包人</w:t>
      </w:r>
      <w:r>
        <w:rPr>
          <w:rFonts w:hint="eastAsia"/>
          <w:color w:val="auto"/>
          <w:highlight w:val="none"/>
          <w:u w:val="single"/>
        </w:rPr>
        <w:t>指令引起工程量的增减或变更，按实结算。</w:t>
      </w:r>
    </w:p>
    <w:p w14:paraId="56384BF7">
      <w:pPr>
        <w:widowControl/>
        <w:tabs>
          <w:tab w:val="left" w:pos="220"/>
        </w:tabs>
        <w:adjustRightInd w:val="0"/>
        <w:snapToGrid w:val="0"/>
        <w:spacing w:line="440" w:lineRule="exact"/>
        <w:ind w:left="0" w:leftChars="0" w:right="250" w:rightChars="119" w:hanging="15" w:firstLineChars="0"/>
        <w:jc w:val="left"/>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14.2 预付款</w:t>
      </w:r>
    </w:p>
    <w:p w14:paraId="4FECC073">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14.2.1 预付款支付</w:t>
      </w:r>
    </w:p>
    <w:p w14:paraId="0AAFF71D">
      <w:pPr>
        <w:widowControl/>
        <w:tabs>
          <w:tab w:val="left" w:pos="220"/>
        </w:tabs>
        <w:adjustRightInd w:val="0"/>
        <w:snapToGrid w:val="0"/>
        <w:spacing w:line="440" w:lineRule="exact"/>
        <w:ind w:left="0" w:leftChars="0" w:right="250" w:rightChars="119" w:hanging="15"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预付款支付比例或金额：</w:t>
      </w:r>
      <w:r>
        <w:rPr>
          <w:rFonts w:hint="eastAsia" w:ascii="宋体" w:hAnsi="宋体" w:eastAsia="宋体" w:cs="宋体"/>
          <w:color w:val="auto"/>
          <w:szCs w:val="21"/>
          <w:highlight w:val="none"/>
          <w:lang w:val="en-US" w:eastAsia="zh-CN"/>
        </w:rPr>
        <w:t>无</w:t>
      </w:r>
      <w:r>
        <w:rPr>
          <w:rFonts w:hint="eastAsia" w:ascii="宋体" w:hAnsi="宋体" w:eastAsia="宋体" w:cs="宋体"/>
          <w:color w:val="auto"/>
          <w:szCs w:val="21"/>
          <w:highlight w:val="none"/>
        </w:rPr>
        <w:t>。</w:t>
      </w:r>
    </w:p>
    <w:p w14:paraId="7C43410A">
      <w:pPr>
        <w:widowControl/>
        <w:tabs>
          <w:tab w:val="left" w:pos="220"/>
        </w:tabs>
        <w:adjustRightInd w:val="0"/>
        <w:snapToGrid w:val="0"/>
        <w:spacing w:line="440" w:lineRule="exact"/>
        <w:ind w:left="0" w:leftChars="0" w:right="250" w:rightChars="119" w:hanging="15"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预付款支付期限：</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w:t>
      </w:r>
    </w:p>
    <w:p w14:paraId="4DC7C2F8">
      <w:pPr>
        <w:widowControl/>
        <w:tabs>
          <w:tab w:val="left" w:pos="220"/>
        </w:tabs>
        <w:adjustRightInd w:val="0"/>
        <w:snapToGrid w:val="0"/>
        <w:spacing w:line="440" w:lineRule="exact"/>
        <w:ind w:left="0" w:leftChars="0" w:right="250" w:rightChars="119" w:hanging="15"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预付款扣回的方式：</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w:t>
      </w:r>
    </w:p>
    <w:p w14:paraId="113AB2AE">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14.2.2预付款担保</w:t>
      </w:r>
    </w:p>
    <w:p w14:paraId="23505C2E">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提供预付款担保期限：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3BC55F44">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预付款担保形式：</w:t>
      </w:r>
      <w:r>
        <w:rPr>
          <w:rFonts w:hint="eastAsia" w:ascii="宋体" w:hAnsi="宋体" w:cs="宋体"/>
          <w:color w:val="auto"/>
          <w:szCs w:val="21"/>
          <w:highlight w:val="none"/>
          <w:u w:val="single"/>
        </w:rPr>
        <w:t xml:space="preserve">  </w:t>
      </w:r>
      <w:r>
        <w:rPr>
          <w:rFonts w:hint="eastAsia" w:ascii="宋体" w:hAnsi="宋体" w:cs="宋体"/>
          <w:color w:val="auto"/>
          <w:kern w:val="0"/>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37B90CB0">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14.3 工程进度款</w:t>
      </w:r>
    </w:p>
    <w:p w14:paraId="5E3A88A6">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14.3.1 工程进度付款申请</w:t>
      </w:r>
    </w:p>
    <w:p w14:paraId="351B00EC">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工程进度付款申请方式：</w:t>
      </w:r>
      <w:r>
        <w:rPr>
          <w:rFonts w:hint="eastAsia" w:cs="宋体"/>
          <w:color w:val="auto"/>
          <w:szCs w:val="21"/>
          <w:highlight w:val="none"/>
          <w:u w:val="single"/>
        </w:rPr>
        <w:t>详见支付方式</w:t>
      </w:r>
      <w:r>
        <w:rPr>
          <w:rFonts w:hint="eastAsia" w:ascii="宋体" w:hAnsi="宋体" w:cs="宋体"/>
          <w:color w:val="auto"/>
          <w:szCs w:val="21"/>
          <w:highlight w:val="none"/>
          <w:u w:val="single"/>
        </w:rPr>
        <w:t xml:space="preserve"> 。</w:t>
      </w:r>
    </w:p>
    <w:p w14:paraId="604DCEAC">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u w:val="single"/>
        </w:rPr>
      </w:pPr>
      <w:r>
        <w:rPr>
          <w:rFonts w:hint="eastAsia" w:ascii="宋体" w:hAnsi="宋体" w:cs="宋体"/>
          <w:color w:val="auto"/>
          <w:szCs w:val="21"/>
          <w:highlight w:val="none"/>
        </w:rPr>
        <w:t>承包人提交进度付款申请单的格式、内容、份数和时间：</w:t>
      </w:r>
      <w:r>
        <w:rPr>
          <w:rFonts w:hint="eastAsia" w:ascii="宋体" w:hAnsi="宋体" w:cs="宋体"/>
          <w:color w:val="auto"/>
          <w:szCs w:val="21"/>
          <w:highlight w:val="none"/>
          <w:u w:val="single"/>
        </w:rPr>
        <w:t>执行发包人统一内容格式 。</w:t>
      </w:r>
    </w:p>
    <w:p w14:paraId="64B76252">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进度付款申请单应包括的内容：</w:t>
      </w:r>
      <w:r>
        <w:rPr>
          <w:rFonts w:hint="eastAsia" w:ascii="宋体" w:hAnsi="宋体" w:cs="宋体"/>
          <w:color w:val="auto"/>
          <w:szCs w:val="21"/>
          <w:highlight w:val="none"/>
          <w:u w:val="single"/>
        </w:rPr>
        <w:t xml:space="preserve">  执行发包人统一内容格式    。</w:t>
      </w:r>
    </w:p>
    <w:p w14:paraId="78E1363A">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14.3.2 进度付款审核和支付</w:t>
      </w:r>
    </w:p>
    <w:p w14:paraId="27533A90">
      <w:pPr>
        <w:widowControl/>
        <w:tabs>
          <w:tab w:val="left" w:pos="0"/>
        </w:tabs>
        <w:adjustRightInd w:val="0"/>
        <w:snapToGrid w:val="0"/>
        <w:spacing w:line="440" w:lineRule="exact"/>
        <w:ind w:left="0" w:leftChars="0" w:right="250" w:rightChars="119" w:firstLine="401" w:firstLineChars="191"/>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施工完成通过审计竣工验收和国网并网验收后付至已完成合格结算价款工程量的98%，剩余2%作为质量保证金。工程缺陷责任期满后付清余款。质量保证金支持银行保函使用。采用保函的不再从工程进度款中扣留质量保证金，保函有效期须与工程缺陷责任期截止时间保持一致。</w:t>
      </w:r>
    </w:p>
    <w:p w14:paraId="55C288B3">
      <w:pPr>
        <w:widowControl/>
        <w:tabs>
          <w:tab w:val="left" w:pos="0"/>
        </w:tabs>
        <w:adjustRightInd w:val="0"/>
        <w:snapToGrid w:val="0"/>
        <w:spacing w:line="440" w:lineRule="exact"/>
        <w:ind w:left="0" w:leftChars="0" w:right="250" w:rightChars="119" w:firstLine="401" w:firstLineChars="191"/>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承包人必须与指定银行签订委托支付协议。总承包企业（专业承包企业）应及时确认劳务分包企业按月提供的农民工工资详单。保证在签订施工合同前严格按照滁州市建设领域农民工工资管理暂行办法{滁人社发【2018】215 号文件}要求办理“农民工工资专用账户”手续。 </w:t>
      </w:r>
    </w:p>
    <w:p w14:paraId="55CF36FE">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发包人应在进度款支付证书或临时进度款支付证书签发后的</w:t>
      </w:r>
      <w:r>
        <w:rPr>
          <w:rFonts w:hint="eastAsia" w:ascii="宋体" w:hAnsi="宋体" w:cs="宋体"/>
          <w:color w:val="auto"/>
          <w:szCs w:val="21"/>
          <w:highlight w:val="none"/>
          <w:u w:val="single"/>
        </w:rPr>
        <w:t xml:space="preserve"> </w:t>
      </w:r>
      <w:r>
        <w:rPr>
          <w:rFonts w:hint="eastAsia" w:cs="宋体"/>
          <w:color w:val="auto"/>
          <w:szCs w:val="21"/>
          <w:highlight w:val="none"/>
          <w:u w:val="single"/>
          <w:lang w:val="en-US" w:eastAsia="zh-CN"/>
        </w:rPr>
        <w:t xml:space="preserve"> </w:t>
      </w:r>
      <w:r>
        <w:rPr>
          <w:rFonts w:hint="eastAsia" w:cs="宋体"/>
          <w:color w:val="auto"/>
          <w:szCs w:val="21"/>
          <w:highlight w:val="none"/>
          <w:u w:val="single"/>
        </w:rPr>
        <w:t>发票送达7</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天内完成支付，发包人逾期支付进度款的，应按照</w:t>
      </w:r>
      <w:r>
        <w:rPr>
          <w:rFonts w:hint="eastAsia" w:ascii="宋体" w:hAnsi="宋体" w:cs="宋体"/>
          <w:color w:val="auto"/>
          <w:szCs w:val="21"/>
          <w:highlight w:val="none"/>
          <w:u w:val="single"/>
        </w:rPr>
        <w:t xml:space="preserve">  不采用  </w:t>
      </w:r>
      <w:r>
        <w:rPr>
          <w:rFonts w:hint="eastAsia" w:ascii="宋体" w:hAnsi="宋体" w:cs="宋体"/>
          <w:color w:val="auto"/>
          <w:szCs w:val="21"/>
          <w:highlight w:val="none"/>
        </w:rPr>
        <w:t>支付违约金。</w:t>
      </w:r>
    </w:p>
    <w:p w14:paraId="301755C0">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14.4 付款计划表</w:t>
      </w:r>
    </w:p>
    <w:p w14:paraId="4870947D">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14.4.1 付款计划表的编制要求：</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执行发包人统一内容格式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3131B8BC">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14.4.2 付款计划表的编制与审批</w:t>
      </w:r>
    </w:p>
    <w:p w14:paraId="3917F12A">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付款计划表的编制：</w:t>
      </w:r>
      <w:r>
        <w:rPr>
          <w:rFonts w:hint="eastAsia" w:ascii="宋体" w:hAnsi="宋体" w:cs="宋体"/>
          <w:color w:val="auto"/>
          <w:szCs w:val="21"/>
          <w:highlight w:val="none"/>
          <w:u w:val="single"/>
        </w:rPr>
        <w:t xml:space="preserve">    不采用        </w:t>
      </w:r>
      <w:r>
        <w:rPr>
          <w:rFonts w:hint="eastAsia" w:ascii="宋体" w:hAnsi="宋体" w:cs="宋体"/>
          <w:color w:val="auto"/>
          <w:szCs w:val="21"/>
          <w:highlight w:val="none"/>
        </w:rPr>
        <w:t>。</w:t>
      </w:r>
    </w:p>
    <w:p w14:paraId="60496040">
      <w:pPr>
        <w:pStyle w:val="9"/>
        <w:pageBreakBefore w:val="0"/>
        <w:widowControl w:val="0"/>
        <w:kinsoku/>
        <w:wordWrap/>
        <w:overflowPunct/>
        <w:topLinePunct w:val="0"/>
        <w:autoSpaceDE/>
        <w:autoSpaceDN/>
        <w:bidi w:val="0"/>
        <w:spacing w:before="0" w:beforeLines="0" w:after="0" w:afterLines="0" w:line="440" w:lineRule="exact"/>
        <w:jc w:val="left"/>
        <w:textAlignment w:val="auto"/>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14.4.3农民工工资管理（农民工工资保证金支持保函使用）</w:t>
      </w:r>
    </w:p>
    <w:p w14:paraId="05BF511E">
      <w:pPr>
        <w:pageBreakBefore w:val="0"/>
        <w:widowControl w:val="0"/>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(1)本工程农民工工资实行专用账户管理，承包人设立的专用账户开户行为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，账号：</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p>
    <w:p w14:paraId="25A27D6D">
      <w:pPr>
        <w:pageBreakBefore w:val="0"/>
        <w:widowControl w:val="0"/>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(2)本工程工资性工程款</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元（相应的最低工资标准乘建筑面积）；其中工资性工程预付款</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元。(工资性工程款除月工期)</w:t>
      </w:r>
    </w:p>
    <w:p w14:paraId="53D5B810">
      <w:pPr>
        <w:pageBreakBefore w:val="0"/>
        <w:widowControl w:val="0"/>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(3)发包人在监理人签发开工报告前，将工资性工程预付款转入承包人开立的农民工工资专用账户。</w:t>
      </w:r>
    </w:p>
    <w:p w14:paraId="2004C8DE">
      <w:pPr>
        <w:pageBreakBefore w:val="0"/>
        <w:widowControl w:val="0"/>
        <w:kinsoku/>
        <w:wordWrap/>
        <w:overflowPunct/>
        <w:topLinePunct w:val="0"/>
        <w:autoSpaceDE/>
        <w:autoSpaceDN/>
        <w:bidi w:val="0"/>
        <w:adjustRightInd w:val="0"/>
        <w:snapToGrid w:val="0"/>
        <w:spacing w:line="440" w:lineRule="exact"/>
        <w:ind w:firstLine="420" w:firstLineChars="200"/>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工程开工后第一个月支付工资性工程进度款起，分</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月扣回工资性工程预付款。</w:t>
      </w:r>
    </w:p>
    <w:p w14:paraId="47BBACFC">
      <w:pPr>
        <w:pageBreakBefore w:val="0"/>
        <w:widowControl w:val="0"/>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(4)发包人于每月25日前将工资性工程进度款转入农民工工资专用账户。</w:t>
      </w:r>
    </w:p>
    <w:p w14:paraId="14A3FB76">
      <w:pPr>
        <w:pageBreakBefore w:val="0"/>
        <w:widowControl w:val="0"/>
        <w:kinsoku/>
        <w:wordWrap/>
        <w:overflowPunct/>
        <w:topLinePunct w:val="0"/>
        <w:autoSpaceDE/>
        <w:autoSpaceDN/>
        <w:bidi w:val="0"/>
        <w:adjustRightInd w:val="0"/>
        <w:snapToGrid w:val="0"/>
        <w:spacing w:line="440" w:lineRule="exact"/>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(5)承包人每月25日前上报本工程农民工工资清单，每月10日前委托开设农民工工资专用账户的银行支付农民工工资。</w:t>
      </w:r>
    </w:p>
    <w:p w14:paraId="4082B33E">
      <w:pPr>
        <w:pStyle w:val="9"/>
        <w:pageBreakBefore w:val="0"/>
        <w:widowControl w:val="0"/>
        <w:kinsoku/>
        <w:wordWrap/>
        <w:overflowPunct/>
        <w:topLinePunct w:val="0"/>
        <w:autoSpaceDE/>
        <w:autoSpaceDN/>
        <w:bidi w:val="0"/>
        <w:spacing w:before="0" w:beforeLines="0" w:after="0" w:afterLines="0" w:line="440" w:lineRule="exact"/>
        <w:jc w:val="left"/>
        <w:textAlignment w:val="auto"/>
        <w:rPr>
          <w:rFonts w:hint="default" w:ascii="宋体" w:hAnsi="宋体" w:eastAsia="宋体" w:cs="宋体"/>
          <w:color w:val="auto"/>
          <w:szCs w:val="21"/>
          <w:highlight w:val="none"/>
          <w:lang w:val="en-US" w:eastAsia="zh-CN"/>
        </w:rPr>
      </w:pPr>
      <w:r>
        <w:rPr>
          <w:rFonts w:hint="eastAsia" w:ascii="宋体" w:hAnsi="宋体" w:eastAsia="宋体" w:cs="宋体"/>
          <w:b w:val="0"/>
          <w:bCs/>
          <w:color w:val="auto"/>
          <w:kern w:val="2"/>
          <w:sz w:val="21"/>
          <w:szCs w:val="21"/>
          <w:highlight w:val="none"/>
          <w:lang w:val="en-US" w:eastAsia="zh-CN" w:bidi="ar-SA"/>
        </w:rPr>
        <w:t>(6)工程竣工后，经项目部农民工维权组确认无农民工工资拖欠后，发、承双方办理农民工工资专用账户撤销手续，农民工工资专用账户余额划至本合同约定的承包人账户。</w:t>
      </w:r>
    </w:p>
    <w:p w14:paraId="39A3506E">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14.5 竣工结算</w:t>
      </w:r>
    </w:p>
    <w:p w14:paraId="0E5514DE">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14.5.1 竣工结算申请</w:t>
      </w:r>
    </w:p>
    <w:p w14:paraId="76852F37">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u w:val="single"/>
        </w:rPr>
      </w:pPr>
      <w:r>
        <w:rPr>
          <w:rFonts w:hint="eastAsia" w:ascii="宋体" w:hAnsi="宋体" w:cs="宋体"/>
          <w:color w:val="auto"/>
          <w:szCs w:val="21"/>
          <w:highlight w:val="none"/>
        </w:rPr>
        <w:t>承包人提交竣工结算申请的时间：</w:t>
      </w:r>
      <w:r>
        <w:rPr>
          <w:rFonts w:hint="eastAsia" w:ascii="宋体" w:hAnsi="宋体" w:cs="宋体"/>
          <w:color w:val="auto"/>
          <w:szCs w:val="21"/>
          <w:highlight w:val="none"/>
          <w:u w:val="single"/>
        </w:rPr>
        <w:t>承包人须于竣工验收合格后</w:t>
      </w:r>
      <w:r>
        <w:rPr>
          <w:rFonts w:hint="eastAsia" w:ascii="宋体" w:hAnsi="宋体" w:cs="宋体"/>
          <w:color w:val="auto"/>
          <w:szCs w:val="21"/>
          <w:highlight w:val="none"/>
          <w:u w:val="single"/>
          <w:lang w:val="en-US" w:eastAsia="zh-CN"/>
        </w:rPr>
        <w:t>20</w:t>
      </w:r>
      <w:r>
        <w:rPr>
          <w:rFonts w:hint="eastAsia" w:ascii="宋体" w:hAnsi="宋体" w:cs="宋体"/>
          <w:color w:val="auto"/>
          <w:szCs w:val="21"/>
          <w:highlight w:val="none"/>
          <w:u w:val="single"/>
        </w:rPr>
        <w:t>日内完成竣工结算报告和完整结算资料上报，特殊情况，经分管领导批准的可以延长。凡因承包人原因，未能在规定时间内上报竣工结算的，处罚5000元/月的违约金。情节严重的，</w:t>
      </w:r>
      <w:r>
        <w:rPr>
          <w:rFonts w:hint="eastAsia" w:ascii="宋体" w:hAnsi="宋体" w:cs="宋体"/>
          <w:color w:val="auto"/>
          <w:szCs w:val="21"/>
          <w:highlight w:val="none"/>
          <w:u w:val="single"/>
          <w:lang w:eastAsia="zh-CN"/>
        </w:rPr>
        <w:t>发包人</w:t>
      </w:r>
      <w:r>
        <w:rPr>
          <w:rFonts w:hint="eastAsia" w:ascii="宋体" w:hAnsi="宋体" w:cs="宋体"/>
          <w:color w:val="auto"/>
          <w:szCs w:val="21"/>
          <w:highlight w:val="none"/>
          <w:u w:val="single"/>
        </w:rPr>
        <w:t>有权按已有资料或按已付款报审计部门办理结算。</w:t>
      </w:r>
    </w:p>
    <w:p w14:paraId="3FCB8338">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竣工结算申请的资料清单和份数：</w:t>
      </w:r>
      <w:r>
        <w:rPr>
          <w:rFonts w:hint="eastAsia" w:ascii="宋体" w:hAnsi="宋体" w:cs="宋体"/>
          <w:color w:val="auto"/>
          <w:szCs w:val="21"/>
          <w:highlight w:val="none"/>
          <w:u w:val="single"/>
        </w:rPr>
        <w:t xml:space="preserve"> 执行发包人统一内容格式  </w:t>
      </w:r>
      <w:r>
        <w:rPr>
          <w:rFonts w:hint="eastAsia" w:ascii="宋体" w:hAnsi="宋体" w:cs="宋体"/>
          <w:color w:val="auto"/>
          <w:szCs w:val="21"/>
          <w:highlight w:val="none"/>
        </w:rPr>
        <w:t>。</w:t>
      </w:r>
    </w:p>
    <w:p w14:paraId="7F1A5344">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竣工结算申请单的内容应包括：</w:t>
      </w:r>
      <w:r>
        <w:rPr>
          <w:rFonts w:hint="eastAsia" w:ascii="宋体" w:hAnsi="宋体" w:cs="宋体"/>
          <w:color w:val="auto"/>
          <w:szCs w:val="21"/>
          <w:highlight w:val="none"/>
          <w:u w:val="single"/>
        </w:rPr>
        <w:t xml:space="preserve">  执行发包人统一内容格式  </w:t>
      </w:r>
      <w:r>
        <w:rPr>
          <w:rFonts w:hint="eastAsia" w:ascii="宋体" w:hAnsi="宋体" w:cs="宋体"/>
          <w:color w:val="auto"/>
          <w:szCs w:val="21"/>
          <w:highlight w:val="none"/>
        </w:rPr>
        <w:t>。</w:t>
      </w:r>
    </w:p>
    <w:p w14:paraId="3F321F28">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14.5.2 竣工结算审核</w:t>
      </w:r>
    </w:p>
    <w:p w14:paraId="2A18FDBC">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u w:val="single"/>
        </w:rPr>
      </w:pPr>
      <w:r>
        <w:rPr>
          <w:rFonts w:hint="eastAsia" w:ascii="宋体" w:hAnsi="宋体" w:cs="宋体"/>
          <w:color w:val="auto"/>
          <w:szCs w:val="21"/>
          <w:highlight w:val="none"/>
        </w:rPr>
        <w:t>发包人审批竣工付款申请单的期限：</w:t>
      </w:r>
      <w:r>
        <w:rPr>
          <w:rFonts w:hint="eastAsia" w:ascii="宋体" w:hAnsi="宋体" w:cs="宋体"/>
          <w:color w:val="auto"/>
          <w:szCs w:val="21"/>
          <w:highlight w:val="none"/>
          <w:u w:val="single"/>
        </w:rPr>
        <w:t xml:space="preserve"> 经审计部门审核确认后</w:t>
      </w:r>
      <w:r>
        <w:rPr>
          <w:rFonts w:hint="eastAsia" w:ascii="宋体" w:hAnsi="宋体" w:cs="宋体"/>
          <w:strike w:val="0"/>
          <w:dstrike w:val="0"/>
          <w:color w:val="auto"/>
          <w:szCs w:val="21"/>
          <w:highlight w:val="none"/>
          <w:u w:val="single"/>
          <w:lang w:val="en-US" w:eastAsia="zh-CN"/>
        </w:rPr>
        <w:t>14</w:t>
      </w:r>
      <w:r>
        <w:rPr>
          <w:rFonts w:hint="eastAsia" w:ascii="宋体" w:hAnsi="宋体" w:cs="宋体"/>
          <w:color w:val="auto"/>
          <w:szCs w:val="21"/>
          <w:highlight w:val="none"/>
          <w:u w:val="single"/>
        </w:rPr>
        <w:t>天内完成审批并签发结算款支付证书。</w:t>
      </w:r>
    </w:p>
    <w:p w14:paraId="53F3AB14">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u w:val="single"/>
        </w:rPr>
      </w:pPr>
      <w:r>
        <w:rPr>
          <w:rFonts w:hint="eastAsia" w:ascii="宋体" w:hAnsi="宋体" w:cs="宋体"/>
          <w:color w:val="auto"/>
          <w:szCs w:val="21"/>
          <w:highlight w:val="none"/>
        </w:rPr>
        <w:t>发包人完成竣工付款的期限：</w:t>
      </w:r>
      <w:r>
        <w:rPr>
          <w:rFonts w:hint="eastAsia" w:ascii="宋体" w:hAnsi="宋体" w:cs="宋体"/>
          <w:color w:val="auto"/>
          <w:szCs w:val="21"/>
          <w:highlight w:val="none"/>
          <w:u w:val="single"/>
        </w:rPr>
        <w:t xml:space="preserve">  发包人在发票送达</w:t>
      </w:r>
      <w:r>
        <w:rPr>
          <w:rFonts w:hint="eastAsia" w:ascii="宋体" w:hAnsi="宋体" w:cs="宋体"/>
          <w:strike w:val="0"/>
          <w:dstrike w:val="0"/>
          <w:color w:val="auto"/>
          <w:szCs w:val="21"/>
          <w:highlight w:val="none"/>
          <w:u w:val="single"/>
          <w:lang w:val="en-US" w:eastAsia="zh-CN"/>
        </w:rPr>
        <w:t>30日</w:t>
      </w:r>
      <w:r>
        <w:rPr>
          <w:rFonts w:hint="eastAsia" w:ascii="宋体" w:hAnsi="宋体" w:cs="宋体"/>
          <w:color w:val="auto"/>
          <w:szCs w:val="21"/>
          <w:highlight w:val="none"/>
          <w:u w:val="single"/>
        </w:rPr>
        <w:t xml:space="preserve">内完成支付 </w:t>
      </w:r>
      <w:r>
        <w:rPr>
          <w:rFonts w:hint="eastAsia" w:ascii="宋体" w:hAnsi="宋体" w:cs="宋体"/>
          <w:color w:val="auto"/>
          <w:szCs w:val="21"/>
          <w:highlight w:val="none"/>
        </w:rPr>
        <w:t>。</w:t>
      </w:r>
    </w:p>
    <w:p w14:paraId="4E536CF8">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关于竣工付款证书异议部分复核的方式和程序：</w:t>
      </w:r>
      <w:r>
        <w:rPr>
          <w:rFonts w:hint="eastAsia" w:ascii="宋体" w:hAnsi="宋体" w:cs="宋体"/>
          <w:color w:val="auto"/>
          <w:szCs w:val="21"/>
          <w:highlight w:val="none"/>
          <w:u w:val="single"/>
        </w:rPr>
        <w:t xml:space="preserve">   按照第20条〔争议解决〕约定处理   </w:t>
      </w:r>
      <w:r>
        <w:rPr>
          <w:rFonts w:hint="eastAsia" w:ascii="宋体" w:hAnsi="宋体" w:cs="宋体"/>
          <w:color w:val="auto"/>
          <w:szCs w:val="21"/>
          <w:highlight w:val="none"/>
        </w:rPr>
        <w:t>。</w:t>
      </w:r>
    </w:p>
    <w:p w14:paraId="09631C6A">
      <w:pPr>
        <w:widowControl/>
        <w:tabs>
          <w:tab w:val="left" w:pos="220"/>
        </w:tabs>
        <w:adjustRightInd w:val="0"/>
        <w:snapToGrid w:val="0"/>
        <w:spacing w:line="440" w:lineRule="exact"/>
        <w:ind w:right="250" w:rightChars="119"/>
        <w:jc w:val="left"/>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lang w:val="en-US" w:eastAsia="zh-CN"/>
        </w:rPr>
        <w:t>工程造价</w:t>
      </w:r>
      <w:r>
        <w:rPr>
          <w:rFonts w:hint="eastAsia" w:ascii="宋体" w:hAnsi="宋体" w:eastAsia="宋体" w:cs="宋体"/>
          <w:b w:val="0"/>
          <w:bCs w:val="0"/>
          <w:color w:val="auto"/>
          <w:szCs w:val="21"/>
          <w:highlight w:val="none"/>
        </w:rPr>
        <w:t>审减率超过</w:t>
      </w:r>
      <w:r>
        <w:rPr>
          <w:rFonts w:hint="eastAsia" w:ascii="宋体" w:hAnsi="宋体" w:eastAsia="宋体" w:cs="宋体"/>
          <w:b w:val="0"/>
          <w:bCs w:val="0"/>
          <w:color w:val="auto"/>
          <w:szCs w:val="21"/>
          <w:highlight w:val="none"/>
          <w:lang w:val="en-US" w:eastAsia="zh-CN"/>
        </w:rPr>
        <w:t>10</w:t>
      </w:r>
      <w:r>
        <w:rPr>
          <w:rFonts w:hint="eastAsia" w:ascii="宋体" w:hAnsi="宋体" w:eastAsia="宋体" w:cs="宋体"/>
          <w:b w:val="0"/>
          <w:bCs w:val="0"/>
          <w:color w:val="auto"/>
          <w:szCs w:val="21"/>
          <w:highlight w:val="none"/>
        </w:rPr>
        <w:t>%</w:t>
      </w:r>
      <w:r>
        <w:rPr>
          <w:rFonts w:hint="eastAsia" w:ascii="宋体" w:hAnsi="宋体" w:eastAsia="宋体" w:cs="宋体"/>
          <w:b w:val="0"/>
          <w:bCs w:val="0"/>
          <w:color w:val="auto"/>
          <w:szCs w:val="21"/>
          <w:highlight w:val="none"/>
          <w:lang w:val="en-US" w:eastAsia="zh-CN"/>
        </w:rPr>
        <w:t>时</w:t>
      </w:r>
      <w:r>
        <w:rPr>
          <w:rFonts w:hint="eastAsia" w:ascii="宋体" w:hAnsi="宋体" w:eastAsia="宋体" w:cs="宋体"/>
          <w:b w:val="0"/>
          <w:bCs w:val="0"/>
          <w:color w:val="auto"/>
          <w:szCs w:val="21"/>
          <w:highlight w:val="none"/>
        </w:rPr>
        <w:t>，</w:t>
      </w:r>
      <w:r>
        <w:rPr>
          <w:rFonts w:hint="eastAsia" w:ascii="宋体" w:hAnsi="宋体" w:eastAsia="宋体" w:cs="宋体"/>
          <w:b w:val="0"/>
          <w:bCs w:val="0"/>
          <w:color w:val="auto"/>
          <w:szCs w:val="21"/>
          <w:highlight w:val="none"/>
          <w:lang w:val="en-US" w:eastAsia="zh-CN"/>
        </w:rPr>
        <w:t>将对施工单位进行处罚，处罚金额为超出部分的</w:t>
      </w:r>
      <w:r>
        <w:rPr>
          <w:rFonts w:hint="eastAsia" w:ascii="宋体" w:hAnsi="宋体" w:cs="宋体"/>
          <w:b w:val="0"/>
          <w:bCs w:val="0"/>
          <w:color w:val="auto"/>
          <w:szCs w:val="21"/>
          <w:highlight w:val="none"/>
          <w:lang w:val="en-US" w:eastAsia="zh-CN"/>
        </w:rPr>
        <w:t>5%</w:t>
      </w:r>
      <w:r>
        <w:rPr>
          <w:rFonts w:hint="eastAsia" w:ascii="宋体" w:hAnsi="宋体" w:eastAsia="宋体" w:cs="宋体"/>
          <w:b w:val="0"/>
          <w:bCs w:val="0"/>
          <w:color w:val="auto"/>
          <w:szCs w:val="21"/>
          <w:highlight w:val="none"/>
        </w:rPr>
        <w:t>。</w:t>
      </w:r>
      <w:r>
        <w:rPr>
          <w:rFonts w:hint="default" w:ascii="Times New Roman" w:hAnsi="Times New Roman" w:eastAsia="宋体" w:cs="Times New Roman"/>
          <w:b w:val="0"/>
          <w:bCs w:val="0"/>
          <w:color w:val="auto"/>
          <w:highlight w:val="none"/>
          <w:lang w:val="en-US" w:eastAsia="zh-CN"/>
        </w:rPr>
        <w:t>项目结算付款单位根据审计结果将此部分费用缴纳至指定账户，不提供票据。</w:t>
      </w:r>
      <w:r>
        <w:rPr>
          <w:rFonts w:hint="eastAsia" w:ascii="Times New Roman" w:hAnsi="Times New Roman" w:eastAsia="宋体" w:cs="Times New Roman"/>
          <w:b w:val="0"/>
          <w:bCs w:val="0"/>
          <w:color w:val="auto"/>
          <w:highlight w:val="none"/>
          <w:lang w:val="en-US" w:eastAsia="zh-CN"/>
        </w:rPr>
        <w:t xml:space="preserve"> </w:t>
      </w:r>
    </w:p>
    <w:p w14:paraId="7BDEE3D3">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14.6 质量保证金</w:t>
      </w:r>
    </w:p>
    <w:p w14:paraId="51D5A3C1">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14.6.1 承包人提供质量保证金的方式</w:t>
      </w:r>
    </w:p>
    <w:p w14:paraId="49F0A589">
      <w:pPr>
        <w:spacing w:line="440" w:lineRule="exact"/>
        <w:jc w:val="left"/>
        <w:rPr>
          <w:rFonts w:hint="eastAsia" w:ascii="宋体" w:hAnsi="宋体" w:cs="宋体"/>
          <w:color w:val="auto"/>
          <w:szCs w:val="21"/>
          <w:highlight w:val="none"/>
        </w:rPr>
      </w:pPr>
      <w:r>
        <w:rPr>
          <w:rFonts w:hint="eastAsia" w:ascii="宋体" w:hAnsi="宋体" w:cs="宋体"/>
          <w:color w:val="auto"/>
          <w:szCs w:val="21"/>
          <w:highlight w:val="none"/>
        </w:rPr>
        <w:t>质量保证金采用以下方式：</w:t>
      </w:r>
    </w:p>
    <w:p w14:paraId="4B949C41">
      <w:pPr>
        <w:autoSpaceDE w:val="0"/>
        <w:autoSpaceDN w:val="0"/>
        <w:adjustRightInd w:val="0"/>
        <w:spacing w:line="440" w:lineRule="exact"/>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（1）质量保证金保函，保证金额为：</w:t>
      </w:r>
      <w:r>
        <w:rPr>
          <w:rFonts w:hint="eastAsia" w:ascii="宋体" w:hAnsi="宋体" w:eastAsia="宋体" w:cs="宋体"/>
          <w:color w:val="auto"/>
          <w:szCs w:val="21"/>
          <w:highlight w:val="none"/>
          <w:u w:val="single"/>
        </w:rPr>
        <w:t>单个建筑工程结算总价款</w:t>
      </w:r>
      <w:r>
        <w:rPr>
          <w:rFonts w:hint="eastAsia" w:ascii="宋体" w:hAnsi="宋体" w:cs="宋体"/>
          <w:color w:val="auto"/>
          <w:szCs w:val="21"/>
          <w:highlight w:val="none"/>
          <w:u w:val="single"/>
          <w:lang w:val="en-US" w:eastAsia="zh-CN"/>
        </w:rPr>
        <w:t>2</w:t>
      </w:r>
      <w:r>
        <w:rPr>
          <w:rFonts w:hint="eastAsia" w:ascii="宋体" w:hAnsi="宋体" w:cs="宋体"/>
          <w:color w:val="auto"/>
          <w:szCs w:val="21"/>
          <w:highlight w:val="none"/>
          <w:u w:val="single"/>
        </w:rPr>
        <w:t>%的工程款</w:t>
      </w:r>
      <w:r>
        <w:rPr>
          <w:rFonts w:hint="eastAsia" w:ascii="宋体" w:hAnsi="宋体" w:cs="宋体"/>
          <w:color w:val="auto"/>
          <w:kern w:val="0"/>
          <w:szCs w:val="21"/>
          <w:highlight w:val="none"/>
        </w:rPr>
        <w:t>。</w:t>
      </w:r>
    </w:p>
    <w:p w14:paraId="7F53D2EF">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14.6.2 质量保证金的预留</w:t>
      </w:r>
    </w:p>
    <w:p w14:paraId="57500E38">
      <w:pPr>
        <w:spacing w:line="440" w:lineRule="exact"/>
        <w:jc w:val="left"/>
        <w:rPr>
          <w:rFonts w:hint="eastAsia" w:ascii="宋体" w:hAnsi="宋体" w:cs="宋体"/>
          <w:color w:val="auto"/>
          <w:szCs w:val="21"/>
          <w:highlight w:val="none"/>
        </w:rPr>
      </w:pPr>
      <w:r>
        <w:rPr>
          <w:rFonts w:hint="eastAsia" w:ascii="宋体" w:hAnsi="宋体" w:cs="宋体"/>
          <w:color w:val="auto"/>
          <w:szCs w:val="21"/>
          <w:highlight w:val="none"/>
        </w:rPr>
        <w:t>质量保证金的扣留采取以下方式：</w:t>
      </w:r>
    </w:p>
    <w:p w14:paraId="4BEFDCE9">
      <w:pPr>
        <w:widowControl/>
        <w:adjustRightInd w:val="0"/>
        <w:snapToGrid w:val="0"/>
        <w:spacing w:line="440" w:lineRule="exact"/>
        <w:ind w:right="-307" w:rightChars="-146"/>
        <w:jc w:val="left"/>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(1) 工程竣工结算时一次性扣留质量保证金</w:t>
      </w:r>
      <w:r>
        <w:rPr>
          <w:rFonts w:hint="eastAsia" w:ascii="宋体" w:hAnsi="宋体" w:cs="宋体"/>
          <w:color w:val="auto"/>
          <w:szCs w:val="21"/>
          <w:highlight w:val="none"/>
          <w:lang w:eastAsia="zh-CN"/>
        </w:rPr>
        <w:t>。</w:t>
      </w:r>
    </w:p>
    <w:p w14:paraId="39E5A708">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14.7 最终结清</w:t>
      </w:r>
    </w:p>
    <w:p w14:paraId="600FC5CA">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14.7.1 最终结清申请单</w:t>
      </w:r>
    </w:p>
    <w:p w14:paraId="29EA828B">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当事人双方关于最终结清申请的其他约定：</w:t>
      </w:r>
      <w:r>
        <w:rPr>
          <w:rFonts w:hint="eastAsia" w:ascii="宋体" w:hAnsi="宋体" w:cs="宋体"/>
          <w:color w:val="auto"/>
          <w:szCs w:val="21"/>
          <w:highlight w:val="none"/>
          <w:u w:val="single"/>
        </w:rPr>
        <w:t>缺陷责任期满经回访合格后</w:t>
      </w:r>
      <w:r>
        <w:rPr>
          <w:rFonts w:hint="eastAsia" w:ascii="宋体" w:hAnsi="宋体" w:cs="宋体"/>
          <w:strike w:val="0"/>
          <w:dstrike w:val="0"/>
          <w:color w:val="auto"/>
          <w:szCs w:val="21"/>
          <w:highlight w:val="none"/>
          <w:u w:val="single"/>
          <w:lang w:val="en-US" w:eastAsia="zh-CN"/>
        </w:rPr>
        <w:t>30</w:t>
      </w:r>
      <w:r>
        <w:rPr>
          <w:rFonts w:hint="eastAsia" w:ascii="宋体" w:hAnsi="宋体" w:cs="宋体"/>
          <w:color w:val="auto"/>
          <w:szCs w:val="21"/>
          <w:highlight w:val="none"/>
          <w:u w:val="single"/>
        </w:rPr>
        <w:t xml:space="preserve">天内承包人提交最终结算申请单 </w:t>
      </w:r>
      <w:r>
        <w:rPr>
          <w:rFonts w:hint="eastAsia" w:ascii="宋体" w:hAnsi="宋体" w:cs="宋体"/>
          <w:color w:val="auto"/>
          <w:szCs w:val="21"/>
          <w:highlight w:val="none"/>
        </w:rPr>
        <w:t>。</w:t>
      </w:r>
    </w:p>
    <w:p w14:paraId="08738791">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14.7.2 最终结清证书和支付</w:t>
      </w:r>
    </w:p>
    <w:p w14:paraId="412E3B69">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u w:val="single"/>
        </w:rPr>
      </w:pPr>
      <w:r>
        <w:rPr>
          <w:rFonts w:hint="eastAsia" w:ascii="宋体" w:hAnsi="宋体" w:cs="宋体"/>
          <w:color w:val="auto"/>
          <w:szCs w:val="21"/>
          <w:highlight w:val="none"/>
        </w:rPr>
        <w:t>当事人双方关于最终结清支付的其他约定：</w:t>
      </w:r>
      <w:r>
        <w:rPr>
          <w:rFonts w:hint="eastAsia" w:ascii="宋体" w:hAnsi="宋体" w:cs="宋体"/>
          <w:color w:val="auto"/>
          <w:szCs w:val="21"/>
          <w:highlight w:val="none"/>
          <w:u w:val="single"/>
        </w:rPr>
        <w:t xml:space="preserve"> 缺陷责任期满经回访合格后</w:t>
      </w:r>
      <w:r>
        <w:rPr>
          <w:rFonts w:hint="eastAsia" w:ascii="宋体" w:hAnsi="宋体" w:cs="宋体"/>
          <w:strike w:val="0"/>
          <w:dstrike w:val="0"/>
          <w:color w:val="auto"/>
          <w:szCs w:val="21"/>
          <w:highlight w:val="none"/>
          <w:u w:val="single"/>
          <w:lang w:val="en-US" w:eastAsia="zh-CN"/>
        </w:rPr>
        <w:t>30</w:t>
      </w:r>
      <w:r>
        <w:rPr>
          <w:rFonts w:hint="eastAsia" w:ascii="宋体" w:hAnsi="宋体" w:cs="宋体"/>
          <w:color w:val="auto"/>
          <w:szCs w:val="21"/>
          <w:highlight w:val="none"/>
          <w:u w:val="single"/>
        </w:rPr>
        <w:t>天内发包人完成最终结清申请单的审批并颁发最终结清证书。发包人在发票送达</w:t>
      </w:r>
      <w:r>
        <w:rPr>
          <w:rFonts w:hint="eastAsia" w:ascii="宋体" w:hAnsi="宋体" w:cs="宋体"/>
          <w:strike w:val="0"/>
          <w:dstrike w:val="0"/>
          <w:color w:val="auto"/>
          <w:szCs w:val="21"/>
          <w:highlight w:val="none"/>
          <w:u w:val="single"/>
          <w:lang w:val="en-US" w:eastAsia="zh-CN"/>
        </w:rPr>
        <w:t>30</w:t>
      </w:r>
      <w:r>
        <w:rPr>
          <w:rFonts w:hint="eastAsia" w:ascii="宋体" w:hAnsi="宋体" w:cs="宋体"/>
          <w:color w:val="auto"/>
          <w:szCs w:val="21"/>
          <w:highlight w:val="none"/>
          <w:u w:val="single"/>
        </w:rPr>
        <w:t>内完成支付 。</w:t>
      </w:r>
    </w:p>
    <w:p w14:paraId="7E2CDBC9">
      <w:pPr>
        <w:pStyle w:val="221"/>
        <w:widowControl/>
        <w:tabs>
          <w:tab w:val="left" w:pos="220"/>
        </w:tabs>
        <w:adjustRightInd w:val="0"/>
        <w:snapToGrid w:val="0"/>
        <w:spacing w:before="93" w:beforeLines="30" w:after="93" w:afterLines="30" w:line="440" w:lineRule="exact"/>
        <w:ind w:left="0" w:leftChars="0" w:right="250" w:rightChars="119" w:hanging="15" w:firstLineChars="0"/>
        <w:jc w:val="left"/>
        <w:rPr>
          <w:rFonts w:hint="eastAsia" w:cs="宋体"/>
          <w:bCs w:val="0"/>
          <w:color w:val="auto"/>
          <w:sz w:val="21"/>
          <w:szCs w:val="21"/>
          <w:highlight w:val="none"/>
        </w:rPr>
      </w:pPr>
      <w:r>
        <w:rPr>
          <w:rFonts w:hint="eastAsia" w:cs="宋体"/>
          <w:bCs w:val="0"/>
          <w:color w:val="auto"/>
          <w:sz w:val="21"/>
          <w:szCs w:val="21"/>
          <w:highlight w:val="none"/>
        </w:rPr>
        <w:t>第15条 违约</w:t>
      </w:r>
    </w:p>
    <w:p w14:paraId="50B5A667">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15.1 发包人违约</w:t>
      </w:r>
    </w:p>
    <w:p w14:paraId="33D303DA">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15.1.1 发包人违约的情形</w:t>
      </w:r>
    </w:p>
    <w:p w14:paraId="7A8E912F">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发包人违约的其他情形</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无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110A4B9B">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15.1.3 发包人违约的责任</w:t>
      </w:r>
    </w:p>
    <w:p w14:paraId="1AA0ACCA">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发包人违约责任的承担方式和计算方法：</w:t>
      </w:r>
    </w:p>
    <w:p w14:paraId="40F6D336">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u w:val="single"/>
        </w:rPr>
      </w:pPr>
      <w:r>
        <w:rPr>
          <w:rFonts w:hint="eastAsia" w:ascii="宋体" w:hAnsi="宋体" w:cs="宋体"/>
          <w:color w:val="auto"/>
          <w:szCs w:val="21"/>
          <w:highlight w:val="none"/>
        </w:rPr>
        <w:t>（1）因发包人原因未能在计划开工日期前7天内下达开工通知的违约责任：</w:t>
      </w:r>
      <w:r>
        <w:rPr>
          <w:rFonts w:hint="eastAsia" w:ascii="宋体" w:hAnsi="宋体" w:cs="宋体"/>
          <w:color w:val="auto"/>
          <w:szCs w:val="21"/>
          <w:highlight w:val="none"/>
          <w:u w:val="single"/>
        </w:rPr>
        <w:t xml:space="preserve"> 对工期造成影响的可顺延工期  。</w:t>
      </w:r>
    </w:p>
    <w:p w14:paraId="72B0A845">
      <w:pPr>
        <w:widowControl/>
        <w:tabs>
          <w:tab w:val="left" w:pos="220"/>
        </w:tabs>
        <w:adjustRightInd w:val="0"/>
        <w:snapToGrid w:val="0"/>
        <w:spacing w:line="440" w:lineRule="exact"/>
        <w:ind w:left="0" w:leftChars="0" w:right="250" w:rightChars="119" w:hanging="15" w:firstLineChars="0"/>
        <w:jc w:val="left"/>
        <w:rPr>
          <w:rFonts w:hint="default" w:ascii="宋体" w:hAnsi="宋体" w:eastAsia="宋体" w:cs="宋体"/>
          <w:strike w:val="0"/>
          <w:color w:val="auto"/>
          <w:szCs w:val="21"/>
          <w:highlight w:val="none"/>
          <w:u w:val="single"/>
          <w:lang w:val="en-US" w:eastAsia="zh-CN"/>
        </w:rPr>
      </w:pPr>
      <w:r>
        <w:rPr>
          <w:rFonts w:hint="eastAsia" w:ascii="宋体" w:hAnsi="宋体" w:cs="宋体"/>
          <w:color w:val="auto"/>
          <w:szCs w:val="21"/>
          <w:highlight w:val="none"/>
        </w:rPr>
        <w:t>（2）因发包人原因未能按合同约定支付合同价款的违约责任：</w:t>
      </w:r>
      <w:r>
        <w:rPr>
          <w:rFonts w:hint="eastAsia" w:ascii="宋体" w:hAnsi="宋体" w:cs="宋体"/>
          <w:strike w:val="0"/>
          <w:dstrike w:val="0"/>
          <w:color w:val="auto"/>
          <w:szCs w:val="21"/>
          <w:highlight w:val="none"/>
          <w:u w:val="single"/>
          <w:lang w:val="en-US" w:eastAsia="zh-CN"/>
        </w:rPr>
        <w:t xml:space="preserve"> 无</w:t>
      </w:r>
    </w:p>
    <w:p w14:paraId="6331CF80">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（3）发包人违反“取消合同中任何工作，但转由他人实施的工作除外”约定，自行实施被取消的工作或转由他人实施的违约责任：</w:t>
      </w:r>
      <w:r>
        <w:rPr>
          <w:rFonts w:hint="eastAsia" w:ascii="宋体" w:hAnsi="宋体" w:cs="宋体"/>
          <w:color w:val="auto"/>
          <w:szCs w:val="21"/>
          <w:highlight w:val="none"/>
          <w:u w:val="single"/>
          <w:lang w:val="en-US" w:eastAsia="zh-CN"/>
        </w:rPr>
        <w:t>无</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015B112B">
      <w:pPr>
        <w:widowControl/>
        <w:tabs>
          <w:tab w:val="left" w:pos="220"/>
        </w:tabs>
        <w:adjustRightInd w:val="0"/>
        <w:snapToGrid w:val="0"/>
        <w:spacing w:line="440" w:lineRule="exact"/>
        <w:ind w:left="0" w:leftChars="0" w:right="250" w:rightChars="119" w:hanging="15" w:firstLineChars="0"/>
        <w:jc w:val="left"/>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（4）发包人提供的材料、工程设备的规格、数量或质量不符合合同约定，或因发包人原因导致交货日期延误或交货地点变更等情况的违约责任：</w:t>
      </w:r>
      <w:r>
        <w:rPr>
          <w:rFonts w:hint="eastAsia" w:ascii="宋体" w:hAnsi="宋体" w:cs="宋体"/>
          <w:color w:val="auto"/>
          <w:szCs w:val="21"/>
          <w:highlight w:val="none"/>
          <w:u w:val="single"/>
        </w:rPr>
        <w:t>发包人可补足或更换材料、工程设备；对工期造成延误的可以顺延；</w:t>
      </w:r>
      <w:r>
        <w:rPr>
          <w:rFonts w:hint="eastAsia" w:ascii="宋体" w:hAnsi="宋体" w:cs="宋体"/>
          <w:color w:val="auto"/>
          <w:szCs w:val="21"/>
          <w:highlight w:val="none"/>
          <w:u w:val="single"/>
          <w:lang w:val="en-US" w:eastAsia="zh-CN"/>
        </w:rPr>
        <w:t>无</w:t>
      </w:r>
    </w:p>
    <w:p w14:paraId="4A4BD886">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（5）因发包人违反合同约定造成暂停施工的违约责任：</w:t>
      </w:r>
      <w:r>
        <w:rPr>
          <w:rFonts w:hint="eastAsia" w:ascii="宋体" w:hAnsi="宋体" w:cs="宋体"/>
          <w:color w:val="auto"/>
          <w:szCs w:val="21"/>
          <w:highlight w:val="none"/>
          <w:u w:val="single"/>
        </w:rPr>
        <w:t xml:space="preserve">  可顺延工期  </w:t>
      </w:r>
      <w:r>
        <w:rPr>
          <w:rFonts w:hint="eastAsia" w:ascii="宋体" w:hAnsi="宋体" w:cs="宋体"/>
          <w:color w:val="auto"/>
          <w:szCs w:val="21"/>
          <w:highlight w:val="none"/>
        </w:rPr>
        <w:t>。</w:t>
      </w:r>
    </w:p>
    <w:p w14:paraId="112F89AE">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u w:val="single"/>
        </w:rPr>
      </w:pPr>
      <w:r>
        <w:rPr>
          <w:rFonts w:hint="eastAsia" w:ascii="宋体" w:hAnsi="宋体" w:cs="宋体"/>
          <w:color w:val="auto"/>
          <w:szCs w:val="21"/>
          <w:highlight w:val="none"/>
        </w:rPr>
        <w:t>（6）发包人无正当理由没有在约定期限内发出复工指示，导致承包人无法复工的违约责任：</w:t>
      </w:r>
      <w:r>
        <w:rPr>
          <w:rFonts w:hint="eastAsia" w:ascii="宋体" w:hAnsi="宋体" w:cs="宋体"/>
          <w:color w:val="auto"/>
          <w:szCs w:val="21"/>
          <w:highlight w:val="none"/>
          <w:u w:val="single"/>
        </w:rPr>
        <w:t xml:space="preserve"> 对工期造成影响的可顺延工期  。</w:t>
      </w:r>
    </w:p>
    <w:p w14:paraId="5283C2A2">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（7）其他：</w:t>
      </w:r>
      <w:r>
        <w:rPr>
          <w:rFonts w:hint="eastAsia" w:ascii="宋体" w:hAnsi="宋体" w:cs="宋体"/>
          <w:color w:val="auto"/>
          <w:szCs w:val="21"/>
          <w:highlight w:val="none"/>
          <w:u w:val="single"/>
        </w:rPr>
        <w:t xml:space="preserve">  无  </w:t>
      </w:r>
      <w:r>
        <w:rPr>
          <w:rFonts w:hint="eastAsia" w:ascii="宋体" w:hAnsi="宋体" w:cs="宋体"/>
          <w:color w:val="auto"/>
          <w:szCs w:val="21"/>
          <w:highlight w:val="none"/>
        </w:rPr>
        <w:t>。</w:t>
      </w:r>
    </w:p>
    <w:p w14:paraId="6AB725EB">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15.2 承包人违约</w:t>
      </w:r>
    </w:p>
    <w:p w14:paraId="7673C68E">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15.2.1 承包人违约的情形</w:t>
      </w:r>
    </w:p>
    <w:p w14:paraId="0DF3ADE4">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承包人违约的其他情形：</w:t>
      </w:r>
      <w:r>
        <w:rPr>
          <w:rFonts w:hint="eastAsia" w:ascii="宋体" w:hAnsi="宋体" w:cs="宋体"/>
          <w:color w:val="auto"/>
          <w:szCs w:val="21"/>
          <w:highlight w:val="none"/>
          <w:u w:val="single"/>
        </w:rPr>
        <w:t xml:space="preserve">    执行</w:t>
      </w:r>
      <w:r>
        <w:rPr>
          <w:rFonts w:hint="eastAsia" w:ascii="宋体" w:hAnsi="宋体" w:cs="宋体"/>
          <w:color w:val="auto"/>
          <w:szCs w:val="21"/>
          <w:highlight w:val="none"/>
          <w:u w:val="single"/>
          <w:lang w:val="en-US" w:eastAsia="zh-CN"/>
        </w:rPr>
        <w:t>通用条款和</w:t>
      </w:r>
      <w:r>
        <w:rPr>
          <w:rFonts w:hint="eastAsia" w:ascii="宋体" w:hAnsi="宋体" w:cs="宋体"/>
          <w:color w:val="auto"/>
          <w:szCs w:val="21"/>
          <w:highlight w:val="none"/>
          <w:u w:val="single"/>
        </w:rPr>
        <w:t>补充条款</w:t>
      </w:r>
      <w:r>
        <w:rPr>
          <w:rFonts w:hint="eastAsia" w:ascii="宋体" w:hAnsi="宋体" w:cs="宋体"/>
          <w:color w:val="auto"/>
          <w:szCs w:val="21"/>
          <w:highlight w:val="none"/>
          <w:u w:val="single"/>
          <w:lang w:val="en-US" w:eastAsia="zh-CN"/>
        </w:rPr>
        <w:t>及其他约定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121E46EA">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15.2.2 通知改正</w:t>
      </w:r>
    </w:p>
    <w:p w14:paraId="7FE1642D">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工程师通知承包人改正的合理期限是：</w:t>
      </w:r>
      <w:r>
        <w:rPr>
          <w:rFonts w:hint="eastAsia" w:ascii="宋体" w:hAnsi="宋体" w:cs="宋体"/>
          <w:color w:val="auto"/>
          <w:szCs w:val="21"/>
          <w:highlight w:val="none"/>
          <w:u w:val="single"/>
        </w:rPr>
        <w:t xml:space="preserve"> 执行国家、省、市有关规定  </w:t>
      </w:r>
      <w:r>
        <w:rPr>
          <w:rFonts w:hint="eastAsia" w:ascii="宋体" w:hAnsi="宋体" w:cs="宋体"/>
          <w:color w:val="auto"/>
          <w:szCs w:val="21"/>
          <w:highlight w:val="none"/>
        </w:rPr>
        <w:t>。</w:t>
      </w:r>
    </w:p>
    <w:p w14:paraId="021DDCBF">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15.2.3 承包人违约的责任</w:t>
      </w:r>
    </w:p>
    <w:p w14:paraId="29DD5779">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承包人违约责任的承担方式和计算方法：</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由承包人承担全部费用并承担全部法律责任</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2279F924">
      <w:pPr>
        <w:pStyle w:val="221"/>
        <w:widowControl/>
        <w:tabs>
          <w:tab w:val="left" w:pos="220"/>
        </w:tabs>
        <w:adjustRightInd w:val="0"/>
        <w:snapToGrid w:val="0"/>
        <w:spacing w:before="93" w:beforeLines="30" w:after="93" w:afterLines="30" w:line="440" w:lineRule="exact"/>
        <w:ind w:left="0" w:leftChars="0" w:right="250" w:rightChars="119" w:hanging="15" w:firstLineChars="0"/>
        <w:jc w:val="left"/>
        <w:rPr>
          <w:rFonts w:hint="eastAsia" w:cs="宋体"/>
          <w:bCs w:val="0"/>
          <w:color w:val="auto"/>
          <w:sz w:val="21"/>
          <w:szCs w:val="21"/>
          <w:highlight w:val="none"/>
        </w:rPr>
      </w:pPr>
      <w:r>
        <w:rPr>
          <w:rFonts w:hint="eastAsia" w:cs="宋体"/>
          <w:bCs w:val="0"/>
          <w:color w:val="auto"/>
          <w:sz w:val="21"/>
          <w:szCs w:val="21"/>
          <w:highlight w:val="none"/>
        </w:rPr>
        <w:t>第16条 合同解除</w:t>
      </w:r>
    </w:p>
    <w:p w14:paraId="0B2E4EEE">
      <w:pPr>
        <w:widowControl/>
        <w:tabs>
          <w:tab w:val="left" w:pos="220"/>
        </w:tabs>
        <w:adjustRightInd w:val="0"/>
        <w:snapToGrid w:val="0"/>
        <w:spacing w:line="440" w:lineRule="exact"/>
        <w:ind w:left="0" w:leftChars="0" w:right="250" w:rightChars="119" w:hanging="15"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.1 合同解除的因素：</w:t>
      </w:r>
    </w:p>
    <w:p w14:paraId="66F72BE6">
      <w:pPr>
        <w:widowControl/>
        <w:tabs>
          <w:tab w:val="left" w:pos="220"/>
        </w:tabs>
        <w:adjustRightInd w:val="0"/>
        <w:snapToGrid w:val="0"/>
        <w:spacing w:line="440" w:lineRule="exact"/>
        <w:ind w:left="0" w:leftChars="0" w:right="250" w:rightChars="119" w:hanging="15"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发包人和承包人双方协商一致，可解除合同，解除合同应采用书面形式。</w:t>
      </w:r>
    </w:p>
    <w:p w14:paraId="643B42A4">
      <w:pPr>
        <w:widowControl/>
        <w:tabs>
          <w:tab w:val="left" w:pos="220"/>
        </w:tabs>
        <w:adjustRightInd w:val="0"/>
        <w:snapToGrid w:val="0"/>
        <w:spacing w:line="440" w:lineRule="exact"/>
        <w:ind w:left="0" w:leftChars="0" w:right="250" w:rightChars="119" w:hanging="15"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.2 发生下列情形之一的,守约方可以解除合同:</w:t>
      </w:r>
    </w:p>
    <w:p w14:paraId="5B6F18DD">
      <w:pPr>
        <w:widowControl/>
        <w:tabs>
          <w:tab w:val="left" w:pos="220"/>
        </w:tabs>
        <w:adjustRightInd w:val="0"/>
        <w:snapToGrid w:val="0"/>
        <w:spacing w:line="440" w:lineRule="exact"/>
        <w:ind w:left="0" w:leftChars="0" w:right="250" w:rightChars="119" w:hanging="15"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1）因不可抗力,致使合同目的不能实现；</w:t>
      </w:r>
    </w:p>
    <w:p w14:paraId="37ACA2B7">
      <w:pPr>
        <w:widowControl/>
        <w:tabs>
          <w:tab w:val="left" w:pos="220"/>
        </w:tabs>
        <w:adjustRightInd w:val="0"/>
        <w:snapToGrid w:val="0"/>
        <w:spacing w:line="440" w:lineRule="exact"/>
        <w:ind w:left="0" w:leftChars="0" w:right="250" w:rightChars="119" w:hanging="15"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2）承包人未按合同约定期限完成验收并移交生产,经催告后20个工作日内仍未补救；</w:t>
      </w:r>
    </w:p>
    <w:p w14:paraId="0442E47A">
      <w:pPr>
        <w:widowControl/>
        <w:tabs>
          <w:tab w:val="left" w:pos="220"/>
        </w:tabs>
        <w:adjustRightInd w:val="0"/>
        <w:snapToGrid w:val="0"/>
        <w:spacing w:line="440" w:lineRule="exact"/>
        <w:ind w:left="0" w:leftChars="0" w:right="250" w:rightChars="119" w:hanging="15"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3）承包人采购的设备质量</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材料</w:t>
      </w:r>
      <w:r>
        <w:rPr>
          <w:rFonts w:hint="eastAsia" w:ascii="宋体" w:hAnsi="宋体" w:eastAsia="宋体" w:cs="宋体"/>
          <w:color w:val="auto"/>
          <w:szCs w:val="21"/>
          <w:highlight w:val="none"/>
        </w:rPr>
        <w:t>不符合约定，且承包人未按发包人要求采取必要补救措施的，发包人有权解除合同，承包人须就发包人所遭受的损失承担全部赔偿责任；</w:t>
      </w:r>
    </w:p>
    <w:p w14:paraId="44F5FCCC">
      <w:pPr>
        <w:widowControl/>
        <w:tabs>
          <w:tab w:val="left" w:pos="220"/>
        </w:tabs>
        <w:adjustRightInd w:val="0"/>
        <w:snapToGrid w:val="0"/>
        <w:spacing w:line="440" w:lineRule="exact"/>
        <w:ind w:left="0" w:leftChars="0" w:right="250" w:rightChars="119" w:hanging="15"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4）工程发生安全事故或发生造成发包人直接经济损失50万（含）以上的质量事故，且承包人故意推脱，不积极配合发包人进行事故处理的；</w:t>
      </w:r>
    </w:p>
    <w:p w14:paraId="23C1E6B4">
      <w:pPr>
        <w:widowControl/>
        <w:tabs>
          <w:tab w:val="left" w:pos="220"/>
        </w:tabs>
        <w:adjustRightInd w:val="0"/>
        <w:snapToGrid w:val="0"/>
        <w:spacing w:line="440" w:lineRule="exact"/>
        <w:ind w:left="0" w:leftChars="0" w:right="250" w:rightChars="119" w:hanging="15"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5）承包人违反本合同第十六条约定，发包人有权解除合同, 承包人须就发包人所遭受的损失承担全部赔偿责任；</w:t>
      </w:r>
    </w:p>
    <w:p w14:paraId="2D8A056A">
      <w:pPr>
        <w:widowControl/>
        <w:tabs>
          <w:tab w:val="left" w:pos="220"/>
        </w:tabs>
        <w:adjustRightInd w:val="0"/>
        <w:snapToGrid w:val="0"/>
        <w:spacing w:line="440" w:lineRule="exact"/>
        <w:ind w:left="0" w:leftChars="0" w:right="250" w:rightChars="119" w:hanging="15"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6）承包人态度恶劣或辱骂、恐吓、 殴打发包人员工；</w:t>
      </w:r>
    </w:p>
    <w:p w14:paraId="28B54EA5">
      <w:pPr>
        <w:widowControl/>
        <w:tabs>
          <w:tab w:val="left" w:pos="220"/>
        </w:tabs>
        <w:adjustRightInd w:val="0"/>
        <w:snapToGrid w:val="0"/>
        <w:spacing w:line="440" w:lineRule="exact"/>
        <w:ind w:left="0" w:leftChars="0" w:right="250" w:rightChars="119" w:hanging="15"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7）因一方违约致使合同无法履行；</w:t>
      </w:r>
    </w:p>
    <w:p w14:paraId="0D77897B">
      <w:pPr>
        <w:widowControl/>
        <w:tabs>
          <w:tab w:val="left" w:pos="220"/>
        </w:tabs>
        <w:adjustRightInd w:val="0"/>
        <w:snapToGrid w:val="0"/>
        <w:spacing w:line="440" w:lineRule="exact"/>
        <w:ind w:left="0" w:leftChars="0" w:right="250" w:rightChars="119" w:hanging="15"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8）发生《生产安全事故报告和调查处理条例》规定的一般及以上等级的生产安全事故或一般及以上工程质量事故的，发包人有权解除合同；</w:t>
      </w:r>
    </w:p>
    <w:p w14:paraId="491343DE">
      <w:pPr>
        <w:widowControl/>
        <w:tabs>
          <w:tab w:val="left" w:pos="220"/>
        </w:tabs>
        <w:adjustRightInd w:val="0"/>
        <w:snapToGrid w:val="0"/>
        <w:spacing w:line="440" w:lineRule="exact"/>
        <w:ind w:left="0" w:leftChars="0" w:right="250" w:rightChars="119" w:hanging="15"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9) 承包人未取得合法有效的安全生产许可证，或承包人安全生产许可证在本合同履行期间内失效未及时补办的，发包人有权解除合同；</w:t>
      </w:r>
    </w:p>
    <w:p w14:paraId="081577D1">
      <w:pPr>
        <w:widowControl/>
        <w:tabs>
          <w:tab w:val="left" w:pos="220"/>
        </w:tabs>
        <w:adjustRightInd w:val="0"/>
        <w:snapToGrid w:val="0"/>
        <w:spacing w:line="440" w:lineRule="exact"/>
        <w:ind w:left="0" w:leftChars="0" w:right="250" w:rightChars="119" w:hanging="15"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10) 承包人未投保安全生产责任保险或安全生产责任保险在发包人颁发最终竣工验收证书之前失效且未能及时续保的，发包人有权解除合同；</w:t>
      </w:r>
    </w:p>
    <w:p w14:paraId="5B60A78D">
      <w:pPr>
        <w:widowControl/>
        <w:tabs>
          <w:tab w:val="left" w:pos="220"/>
        </w:tabs>
        <w:adjustRightInd w:val="0"/>
        <w:snapToGrid w:val="0"/>
        <w:spacing w:line="440" w:lineRule="exact"/>
        <w:ind w:left="0" w:leftChars="0" w:right="250" w:rightChars="119" w:hanging="15"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11) 因承包人原因导致其分包商、设备材料供应商、农民工等上访、闹事、妨碍发包人及其关联方的正常经营的，承包人在收到发包人书面通知之日起的三个工作日内未进行妥善处理的，发包人有权解除合同；</w:t>
      </w:r>
    </w:p>
    <w:p w14:paraId="3F5F0082">
      <w:pPr>
        <w:pStyle w:val="2"/>
        <w:ind w:left="0" w:leftChars="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12）承包人未及时按照发包人要求对安全、环保等事项进行及时整改或整改不到位的。</w:t>
      </w:r>
    </w:p>
    <w:p w14:paraId="69726A2F">
      <w:pPr>
        <w:rPr>
          <w:rFonts w:hint="default"/>
          <w:color w:val="auto"/>
          <w:highlight w:val="none"/>
          <w:lang w:val="en-US" w:eastAsia="zh-CN"/>
        </w:rPr>
      </w:pPr>
      <w:r>
        <w:rPr>
          <w:rFonts w:hint="eastAsia" w:ascii="宋体" w:hAnsi="宋体" w:eastAsia="宋体" w:cs="宋体"/>
          <w:color w:val="auto"/>
          <w:szCs w:val="21"/>
          <w:highlight w:val="none"/>
          <w:lang w:val="en-US" w:eastAsia="zh-CN"/>
        </w:rPr>
        <w:t>13）承包人出现严重拖延工期（工期拖延达20%）；或出现可预见的无法按时完成项目时。</w:t>
      </w:r>
    </w:p>
    <w:p w14:paraId="14BCE796">
      <w:pPr>
        <w:widowControl/>
        <w:tabs>
          <w:tab w:val="left" w:pos="220"/>
        </w:tabs>
        <w:adjustRightInd w:val="0"/>
        <w:snapToGrid w:val="0"/>
        <w:spacing w:line="440" w:lineRule="exact"/>
        <w:ind w:left="0" w:leftChars="0" w:right="250" w:rightChars="119" w:hanging="15"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合同解除的处理：</w:t>
      </w:r>
    </w:p>
    <w:p w14:paraId="2740203A">
      <w:pPr>
        <w:widowControl/>
        <w:tabs>
          <w:tab w:val="left" w:pos="220"/>
        </w:tabs>
        <w:adjustRightInd w:val="0"/>
        <w:snapToGrid w:val="0"/>
        <w:spacing w:line="440" w:lineRule="exact"/>
        <w:ind w:left="0" w:leftChars="0" w:right="250" w:rightChars="119" w:hanging="15"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.1 一方要求解除合同的，应在10个工作日内以书面形式向对方发出解除通知，通知到达时合同解除。对解除合同有争议的，按第十五条约定处理。</w:t>
      </w:r>
    </w:p>
    <w:p w14:paraId="055067A1">
      <w:pPr>
        <w:widowControl/>
        <w:tabs>
          <w:tab w:val="left" w:pos="220"/>
        </w:tabs>
        <w:adjustRightInd w:val="0"/>
        <w:snapToGrid w:val="0"/>
        <w:spacing w:line="440" w:lineRule="exact"/>
        <w:ind w:left="0" w:leftChars="0" w:right="250" w:rightChars="119" w:hanging="15"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.2 合同解除后的善后工作，</w:t>
      </w:r>
      <w:r>
        <w:rPr>
          <w:rFonts w:hint="eastAsia" w:ascii="宋体" w:hAnsi="宋体" w:cs="宋体"/>
          <w:color w:val="auto"/>
          <w:szCs w:val="21"/>
          <w:highlight w:val="none"/>
          <w:lang w:eastAsia="zh-CN"/>
        </w:rPr>
        <w:t>因承包人原因导致解除的，本合同有约定的按本合同约定处理，本合同无约定，发包人有权在合同解除通知发出后</w:t>
      </w:r>
      <w:r>
        <w:rPr>
          <w:rFonts w:hint="eastAsia" w:ascii="宋体" w:hAnsi="宋体" w:cs="宋体"/>
          <w:color w:val="auto"/>
          <w:szCs w:val="21"/>
          <w:highlight w:val="none"/>
          <w:lang w:val="en-US" w:eastAsia="zh-CN"/>
        </w:rPr>
        <w:t>10个工作日内，要求承包人配合已完成工程量的确认，逾期，按发包人确认的工程量认定；因发包人原因解除的，</w:t>
      </w:r>
      <w:r>
        <w:rPr>
          <w:rFonts w:hint="eastAsia" w:ascii="宋体" w:hAnsi="宋体" w:eastAsia="宋体" w:cs="宋体"/>
          <w:color w:val="auto"/>
          <w:szCs w:val="21"/>
          <w:highlight w:val="none"/>
        </w:rPr>
        <w:t>双方另行约定协商。</w:t>
      </w:r>
    </w:p>
    <w:p w14:paraId="36A2574B">
      <w:pPr>
        <w:widowControl/>
        <w:tabs>
          <w:tab w:val="left" w:pos="220"/>
        </w:tabs>
        <w:adjustRightInd w:val="0"/>
        <w:snapToGrid w:val="0"/>
        <w:spacing w:line="440" w:lineRule="exact"/>
        <w:ind w:left="0" w:leftChars="0" w:right="250" w:rightChars="119" w:hanging="15"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 xml:space="preserve"> 承包人将工程交付发包人后，在发包人支付完毕全部竣工结算款，除有关争议解决、质量保证、售后服务条款、保密条款仍然生效外，其它条款即告终止。</w:t>
      </w:r>
    </w:p>
    <w:p w14:paraId="4B78053D">
      <w:pPr>
        <w:pStyle w:val="221"/>
        <w:widowControl/>
        <w:tabs>
          <w:tab w:val="left" w:pos="220"/>
        </w:tabs>
        <w:adjustRightInd w:val="0"/>
        <w:snapToGrid w:val="0"/>
        <w:spacing w:before="93" w:beforeLines="30" w:after="93" w:afterLines="30" w:line="440" w:lineRule="exact"/>
        <w:ind w:left="0" w:leftChars="0" w:right="250" w:rightChars="119" w:hanging="15" w:firstLineChars="0"/>
        <w:jc w:val="left"/>
        <w:rPr>
          <w:rFonts w:hint="eastAsia" w:cs="宋体"/>
          <w:bCs w:val="0"/>
          <w:color w:val="auto"/>
          <w:sz w:val="21"/>
          <w:szCs w:val="21"/>
          <w:highlight w:val="none"/>
        </w:rPr>
      </w:pPr>
      <w:r>
        <w:rPr>
          <w:rFonts w:hint="eastAsia" w:cs="宋体"/>
          <w:bCs w:val="0"/>
          <w:color w:val="auto"/>
          <w:sz w:val="21"/>
          <w:szCs w:val="21"/>
          <w:highlight w:val="none"/>
        </w:rPr>
        <w:t>第17条 不可抗力</w:t>
      </w:r>
    </w:p>
    <w:p w14:paraId="2171F512">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17.1 不可抗力的定义</w:t>
      </w:r>
    </w:p>
    <w:p w14:paraId="4D1F5299">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除通用合同条件约定的不可抗力事件之外，视为不可抗力的其他情形：</w:t>
      </w:r>
      <w:r>
        <w:rPr>
          <w:rFonts w:hint="eastAsia" w:ascii="宋体" w:hAnsi="宋体" w:cs="宋体"/>
          <w:color w:val="auto"/>
          <w:szCs w:val="21"/>
          <w:highlight w:val="none"/>
          <w:u w:val="single"/>
        </w:rPr>
        <w:t xml:space="preserve">   </w:t>
      </w:r>
      <w:r>
        <w:rPr>
          <w:rFonts w:hint="eastAsia" w:cs="宋体"/>
          <w:color w:val="auto"/>
          <w:szCs w:val="21"/>
          <w:highlight w:val="none"/>
          <w:u w:val="single"/>
        </w:rPr>
        <w:t>无</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069D8A66">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17.6 因不可抗力解除合同</w:t>
      </w:r>
    </w:p>
    <w:p w14:paraId="372CC891">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合同解除后，发包人应当在商定或确定发包人应支付款项后的</w:t>
      </w:r>
      <w:r>
        <w:rPr>
          <w:rFonts w:hint="eastAsia" w:ascii="宋体" w:hAnsi="宋体" w:cs="宋体"/>
          <w:color w:val="auto"/>
          <w:szCs w:val="21"/>
          <w:highlight w:val="none"/>
          <w:u w:val="single"/>
          <w:lang w:val="en-US" w:eastAsia="zh-CN"/>
        </w:rPr>
        <w:t xml:space="preserve">  </w:t>
      </w:r>
      <w:r>
        <w:rPr>
          <w:rFonts w:hint="eastAsia" w:cs="宋体"/>
          <w:color w:val="auto"/>
          <w:szCs w:val="21"/>
          <w:highlight w:val="none"/>
          <w:u w:val="single"/>
        </w:rPr>
        <w:t>发票送达</w:t>
      </w:r>
      <w:r>
        <w:rPr>
          <w:rFonts w:hint="eastAsia" w:cs="宋体"/>
          <w:color w:val="auto"/>
          <w:szCs w:val="21"/>
          <w:highlight w:val="none"/>
          <w:u w:val="single"/>
          <w:lang w:val="en-US" w:eastAsia="zh-CN"/>
        </w:rPr>
        <w:t>30</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天内完成款项的支付。</w:t>
      </w:r>
    </w:p>
    <w:p w14:paraId="701E8255">
      <w:pPr>
        <w:pStyle w:val="221"/>
        <w:widowControl/>
        <w:tabs>
          <w:tab w:val="left" w:pos="220"/>
        </w:tabs>
        <w:adjustRightInd w:val="0"/>
        <w:snapToGrid w:val="0"/>
        <w:spacing w:before="93" w:beforeLines="30" w:after="93" w:afterLines="30" w:line="440" w:lineRule="exact"/>
        <w:ind w:left="0" w:leftChars="0" w:right="250" w:rightChars="119" w:hanging="15" w:firstLineChars="0"/>
        <w:jc w:val="left"/>
        <w:rPr>
          <w:rFonts w:hint="eastAsia" w:cs="宋体"/>
          <w:bCs w:val="0"/>
          <w:color w:val="auto"/>
          <w:sz w:val="21"/>
          <w:szCs w:val="21"/>
          <w:highlight w:val="none"/>
        </w:rPr>
      </w:pPr>
      <w:r>
        <w:rPr>
          <w:rFonts w:hint="eastAsia" w:cs="宋体"/>
          <w:bCs w:val="0"/>
          <w:color w:val="auto"/>
          <w:sz w:val="21"/>
          <w:szCs w:val="21"/>
          <w:highlight w:val="none"/>
        </w:rPr>
        <w:t>第18条 保险</w:t>
      </w:r>
    </w:p>
    <w:p w14:paraId="62D9D773">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18.1 设计和工程保险</w:t>
      </w:r>
    </w:p>
    <w:p w14:paraId="0EB7898B">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18.1.1 双方当事人关于设计和工程保险的特别约定：</w:t>
      </w:r>
      <w:r>
        <w:rPr>
          <w:rFonts w:hint="eastAsia" w:cs="宋体"/>
          <w:color w:val="auto"/>
          <w:szCs w:val="21"/>
          <w:highlight w:val="none"/>
          <w:u w:val="single"/>
        </w:rPr>
        <w:t xml:space="preserve"> 执行国家、省、市有关规定 </w:t>
      </w:r>
      <w:r>
        <w:rPr>
          <w:rFonts w:hint="eastAsia" w:ascii="宋体" w:hAnsi="宋体" w:cs="宋体"/>
          <w:color w:val="auto"/>
          <w:szCs w:val="21"/>
          <w:highlight w:val="none"/>
        </w:rPr>
        <w:t>。</w:t>
      </w:r>
    </w:p>
    <w:p w14:paraId="4CB6FA11">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18.1.2 双方当事人关于第三方责任险的特别约定：</w:t>
      </w:r>
      <w:r>
        <w:rPr>
          <w:rFonts w:hint="eastAsia" w:ascii="宋体" w:hAnsi="宋体" w:cs="宋体"/>
          <w:color w:val="auto"/>
          <w:szCs w:val="21"/>
          <w:highlight w:val="none"/>
          <w:u w:val="single"/>
        </w:rPr>
        <w:t xml:space="preserve">           另行协商         </w:t>
      </w:r>
      <w:r>
        <w:rPr>
          <w:rFonts w:hint="eastAsia" w:ascii="宋体" w:hAnsi="宋体" w:cs="宋体"/>
          <w:color w:val="auto"/>
          <w:szCs w:val="21"/>
          <w:highlight w:val="none"/>
        </w:rPr>
        <w:t>。</w:t>
      </w:r>
    </w:p>
    <w:p w14:paraId="0C63AFC1">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18.2 工伤和意外伤害保险</w:t>
      </w:r>
    </w:p>
    <w:p w14:paraId="0C74CB95">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18.2.3 关于工伤保险和意外伤害保险的特别约定：</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执行国家、省、市有关规定  </w:t>
      </w:r>
      <w:r>
        <w:rPr>
          <w:rFonts w:hint="eastAsia" w:ascii="宋体" w:hAnsi="宋体" w:cs="宋体"/>
          <w:color w:val="auto"/>
          <w:szCs w:val="21"/>
          <w:highlight w:val="none"/>
        </w:rPr>
        <w:t>。</w:t>
      </w:r>
    </w:p>
    <w:p w14:paraId="229DA323">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18.3 货物保险</w:t>
      </w:r>
    </w:p>
    <w:p w14:paraId="56869859">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关于承包人应为其施工设备、材料、工程设备和临时工程等办理财产保险的特别约定：</w:t>
      </w:r>
      <w:r>
        <w:rPr>
          <w:rFonts w:hint="eastAsia" w:ascii="宋体" w:hAnsi="宋体" w:cs="宋体"/>
          <w:color w:val="auto"/>
          <w:szCs w:val="21"/>
          <w:highlight w:val="none"/>
          <w:u w:val="single"/>
        </w:rPr>
        <w:t xml:space="preserve"> </w:t>
      </w:r>
      <w:r>
        <w:rPr>
          <w:rFonts w:hint="eastAsia" w:cs="宋体"/>
          <w:color w:val="auto"/>
          <w:szCs w:val="21"/>
          <w:highlight w:val="none"/>
          <w:u w:val="single"/>
        </w:rPr>
        <w:t>另行协商</w:t>
      </w:r>
      <w:r>
        <w:rPr>
          <w:rFonts w:hint="eastAsia" w:ascii="宋体" w:hAnsi="宋体" w:cs="宋体"/>
          <w:color w:val="auto"/>
          <w:szCs w:val="21"/>
          <w:highlight w:val="none"/>
        </w:rPr>
        <w:t>。</w:t>
      </w:r>
    </w:p>
    <w:p w14:paraId="4F4FCC0D">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18.4 其他保险</w:t>
      </w:r>
    </w:p>
    <w:p w14:paraId="0D3EE0DD">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关于其他保险的约定：</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执行国家、省、市有关规定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7A0C0594">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18.5 对各项保险的一般要求</w:t>
      </w:r>
    </w:p>
    <w:p w14:paraId="00BCF5C8">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18.5.2 保险凭证</w:t>
      </w:r>
    </w:p>
    <w:p w14:paraId="78B61004">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保险单的条件：</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7C2FB276">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18.5.4 通知义务</w:t>
      </w:r>
    </w:p>
    <w:p w14:paraId="1066A732">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u w:val="single"/>
        </w:rPr>
      </w:pPr>
      <w:r>
        <w:rPr>
          <w:rFonts w:hint="eastAsia" w:ascii="宋体" w:hAnsi="宋体" w:cs="宋体"/>
          <w:color w:val="auto"/>
          <w:szCs w:val="21"/>
          <w:highlight w:val="none"/>
        </w:rPr>
        <w:t>关于变更保险合同时的通知义务的约定：</w:t>
      </w:r>
      <w:r>
        <w:rPr>
          <w:rFonts w:hint="eastAsia" w:ascii="宋体" w:hAnsi="宋体" w:cs="宋体"/>
          <w:color w:val="auto"/>
          <w:szCs w:val="21"/>
          <w:highlight w:val="none"/>
          <w:u w:val="single"/>
        </w:rPr>
        <w:t xml:space="preserve"> 发包人变更除工伤保险之外的保险合同时，应事先征得承包人同意，并通知监理人；承包人变更除工伤保险之外的保险合同时，应事先征得发包人同意，并通知监理人。</w:t>
      </w:r>
    </w:p>
    <w:p w14:paraId="340FFEDF">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u w:val="single"/>
        </w:rPr>
        <w:t>保险事故发生时，投保人应按照保险合同规定的条件和期限及时向保险人报告。发包人和承包人应当在知道保险事故发生后及时通知对方</w:t>
      </w:r>
      <w:r>
        <w:rPr>
          <w:rFonts w:hint="eastAsia" w:ascii="宋体" w:hAnsi="宋体" w:cs="宋体"/>
          <w:color w:val="auto"/>
          <w:szCs w:val="21"/>
          <w:highlight w:val="none"/>
        </w:rPr>
        <w:t>。</w:t>
      </w:r>
    </w:p>
    <w:p w14:paraId="2AA24E7B">
      <w:pPr>
        <w:pStyle w:val="221"/>
        <w:widowControl/>
        <w:tabs>
          <w:tab w:val="left" w:pos="220"/>
        </w:tabs>
        <w:adjustRightInd w:val="0"/>
        <w:snapToGrid w:val="0"/>
        <w:spacing w:before="93" w:beforeLines="30" w:after="93" w:afterLines="30" w:line="440" w:lineRule="exact"/>
        <w:ind w:left="0" w:leftChars="0" w:right="250" w:rightChars="119" w:hanging="15" w:firstLineChars="0"/>
        <w:jc w:val="left"/>
        <w:rPr>
          <w:rFonts w:hint="eastAsia" w:cs="宋体"/>
          <w:bCs w:val="0"/>
          <w:color w:val="auto"/>
          <w:sz w:val="21"/>
          <w:szCs w:val="21"/>
          <w:highlight w:val="none"/>
        </w:rPr>
      </w:pPr>
      <w:r>
        <w:rPr>
          <w:rFonts w:hint="eastAsia" w:cs="宋体"/>
          <w:bCs w:val="0"/>
          <w:color w:val="auto"/>
          <w:sz w:val="21"/>
          <w:szCs w:val="21"/>
          <w:highlight w:val="none"/>
        </w:rPr>
        <w:t>第20条 争议解决</w:t>
      </w:r>
    </w:p>
    <w:p w14:paraId="0FC584CE">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20.3 争议评审</w:t>
      </w:r>
    </w:p>
    <w:p w14:paraId="7940566D">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 xml:space="preserve">合同当事人是否同意将工程争议提交争议评审小组决定： </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否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2CB2BE02">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20.3.1 争议评审小组的确定</w:t>
      </w:r>
    </w:p>
    <w:p w14:paraId="70704D5A">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争议评审小组成员的人数：</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430CF32F">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争议评审小组成员的确定：</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0FDF6B17">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选定争议避免/评审组的期限：</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54AC6FA8">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评审机构：</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5B10D028">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其他事项的约定：</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70C3DFFE">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争议评审员报酬的承担人：</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639DAF2A">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20.3.2 争议的避免</w:t>
      </w:r>
    </w:p>
    <w:p w14:paraId="1073956A">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发包人和承包人是否均出席争议避免的非正式讨论：</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747E27A9">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20.3.3 争议评审小组的决定</w:t>
      </w:r>
    </w:p>
    <w:p w14:paraId="093DA9A6">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关于争议评审小组的决定的特别约定：</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64CCF6B0">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20.4 仲裁或诉讼</w:t>
      </w:r>
    </w:p>
    <w:p w14:paraId="52FDCF02">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因合同及合同有关事项发生的争议，按下列第</w:t>
      </w:r>
      <w:r>
        <w:rPr>
          <w:rFonts w:hint="eastAsia" w:ascii="宋体" w:hAnsi="宋体" w:cs="宋体"/>
          <w:color w:val="auto"/>
          <w:szCs w:val="21"/>
          <w:highlight w:val="none"/>
          <w:u w:val="single"/>
        </w:rPr>
        <w:t xml:space="preserve">  </w:t>
      </w:r>
      <w:r>
        <w:rPr>
          <w:rFonts w:hint="eastAsia"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种方式解决：</w:t>
      </w:r>
    </w:p>
    <w:p w14:paraId="54811EA1">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（1）向</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cs="宋体"/>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仲裁委员会申请仲裁；</w:t>
      </w:r>
    </w:p>
    <w:p w14:paraId="6EE9A908">
      <w:pPr>
        <w:widowControl/>
        <w:tabs>
          <w:tab w:val="left" w:pos="220"/>
        </w:tabs>
        <w:adjustRightInd w:val="0"/>
        <w:snapToGrid w:val="0"/>
        <w:spacing w:line="440" w:lineRule="exact"/>
        <w:ind w:left="0" w:leftChars="0" w:right="250" w:rightChars="119" w:hanging="15" w:firstLineChars="0"/>
        <w:jc w:val="left"/>
        <w:rPr>
          <w:rFonts w:hint="eastAsia" w:ascii="宋体" w:hAnsi="宋体" w:cs="宋体"/>
          <w:color w:val="auto"/>
          <w:szCs w:val="21"/>
          <w:highlight w:val="none"/>
        </w:rPr>
      </w:pPr>
      <w:r>
        <w:rPr>
          <w:rFonts w:hint="eastAsia" w:ascii="宋体" w:hAnsi="宋体" w:cs="宋体"/>
          <w:color w:val="auto"/>
          <w:szCs w:val="21"/>
          <w:highlight w:val="none"/>
        </w:rPr>
        <w:t>（2）向</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人民法院起诉。</w:t>
      </w:r>
    </w:p>
    <w:p w14:paraId="3C7F402F">
      <w:pPr>
        <w:rPr>
          <w:rFonts w:hint="eastAsia" w:cs="宋体"/>
          <w:color w:val="auto"/>
          <w:sz w:val="32"/>
          <w:szCs w:val="32"/>
          <w:highlight w:val="none"/>
        </w:rPr>
      </w:pPr>
      <w:r>
        <w:rPr>
          <w:rFonts w:hint="eastAsia" w:cs="宋体"/>
          <w:color w:val="auto"/>
          <w:sz w:val="32"/>
          <w:szCs w:val="32"/>
          <w:highlight w:val="none"/>
        </w:rPr>
        <w:br w:type="page"/>
      </w:r>
    </w:p>
    <w:p w14:paraId="45217FF3">
      <w:pPr>
        <w:pStyle w:val="218"/>
        <w:keepNext w:val="0"/>
        <w:keepLines w:val="0"/>
        <w:widowControl/>
        <w:adjustRightInd w:val="0"/>
        <w:snapToGrid w:val="0"/>
        <w:spacing w:before="156" w:beforeLines="50" w:after="156" w:afterLines="50" w:line="440" w:lineRule="exact"/>
        <w:jc w:val="center"/>
        <w:rPr>
          <w:rFonts w:cs="宋体"/>
          <w:color w:val="auto"/>
          <w:sz w:val="32"/>
          <w:szCs w:val="32"/>
          <w:highlight w:val="none"/>
        </w:rPr>
      </w:pPr>
      <w:r>
        <w:rPr>
          <w:rFonts w:hint="eastAsia" w:cs="宋体"/>
          <w:color w:val="auto"/>
          <w:sz w:val="32"/>
          <w:szCs w:val="32"/>
          <w:highlight w:val="none"/>
        </w:rPr>
        <w:t>第四部分 补充条款</w:t>
      </w:r>
    </w:p>
    <w:p w14:paraId="20527592">
      <w:pPr>
        <w:keepNext w:val="0"/>
        <w:keepLines w:val="0"/>
        <w:pageBreakBefore w:val="0"/>
        <w:widowControl/>
        <w:tabs>
          <w:tab w:val="left" w:pos="220"/>
        </w:tabs>
        <w:kinsoku/>
        <w:wordWrap/>
        <w:overflowPunct/>
        <w:topLinePunct w:val="0"/>
        <w:autoSpaceDE/>
        <w:autoSpaceDN/>
        <w:bidi w:val="0"/>
        <w:adjustRightInd w:val="0"/>
        <w:snapToGrid w:val="0"/>
        <w:spacing w:line="440" w:lineRule="exact"/>
        <w:ind w:left="-17" w:leftChars="0" w:right="250" w:rightChars="119"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rPr>
        <w:t>本次招标实行</w:t>
      </w:r>
      <w:r>
        <w:rPr>
          <w:rFonts w:hint="eastAsia" w:ascii="宋体" w:hAnsi="宋体" w:eastAsia="宋体" w:cs="宋体"/>
          <w:color w:val="auto"/>
          <w:szCs w:val="21"/>
          <w:highlight w:val="none"/>
          <w:lang w:val="en-US" w:eastAsia="zh-CN"/>
        </w:rPr>
        <w:t>资源开发（如有）、</w:t>
      </w:r>
      <w:r>
        <w:rPr>
          <w:rFonts w:hint="eastAsia" w:ascii="宋体" w:hAnsi="宋体" w:eastAsia="宋体" w:cs="宋体"/>
          <w:color w:val="auto"/>
          <w:szCs w:val="21"/>
          <w:highlight w:val="none"/>
        </w:rPr>
        <w:t>设计、施工、采购、质保期内全包维保服务</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运维</w:t>
      </w:r>
      <w:r>
        <w:rPr>
          <w:rFonts w:hint="eastAsia" w:ascii="宋体" w:hAnsi="宋体" w:eastAsia="宋体" w:cs="宋体"/>
          <w:color w:val="auto"/>
          <w:szCs w:val="21"/>
          <w:highlight w:val="none"/>
        </w:rPr>
        <w:t>等全过程的“交钥匙”工程。中标后需要根据</w:t>
      </w:r>
      <w:r>
        <w:rPr>
          <w:rFonts w:hint="eastAsia" w:ascii="宋体" w:hAnsi="宋体" w:eastAsia="宋体" w:cs="宋体"/>
          <w:color w:val="auto"/>
          <w:szCs w:val="21"/>
          <w:highlight w:val="none"/>
          <w:lang w:eastAsia="zh-CN"/>
        </w:rPr>
        <w:t>发包人</w:t>
      </w:r>
      <w:r>
        <w:rPr>
          <w:rFonts w:hint="eastAsia" w:ascii="宋体" w:hAnsi="宋体" w:eastAsia="宋体" w:cs="宋体"/>
          <w:color w:val="auto"/>
          <w:szCs w:val="21"/>
          <w:highlight w:val="none"/>
        </w:rPr>
        <w:t>要求及项目实际情况进行调整（优化）设计方案，优化设计方案必须经</w:t>
      </w:r>
      <w:r>
        <w:rPr>
          <w:rFonts w:hint="eastAsia" w:ascii="宋体" w:hAnsi="宋体" w:eastAsia="宋体" w:cs="宋体"/>
          <w:color w:val="auto"/>
          <w:szCs w:val="21"/>
          <w:highlight w:val="none"/>
          <w:lang w:eastAsia="zh-CN"/>
        </w:rPr>
        <w:t>发包人</w:t>
      </w:r>
      <w:r>
        <w:rPr>
          <w:rFonts w:hint="eastAsia" w:ascii="宋体" w:hAnsi="宋体" w:eastAsia="宋体" w:cs="宋体"/>
          <w:color w:val="auto"/>
          <w:szCs w:val="21"/>
          <w:highlight w:val="none"/>
        </w:rPr>
        <w:t>认可，费用全部包含在</w:t>
      </w:r>
      <w:r>
        <w:rPr>
          <w:rFonts w:hint="eastAsia" w:ascii="宋体" w:hAnsi="宋体" w:eastAsia="宋体" w:cs="宋体"/>
          <w:color w:val="auto"/>
          <w:szCs w:val="21"/>
          <w:highlight w:val="none"/>
          <w:lang w:eastAsia="zh-CN"/>
        </w:rPr>
        <w:t>合同价</w:t>
      </w:r>
      <w:r>
        <w:rPr>
          <w:rFonts w:hint="eastAsia" w:ascii="宋体" w:hAnsi="宋体" w:eastAsia="宋体" w:cs="宋体"/>
          <w:color w:val="auto"/>
          <w:szCs w:val="21"/>
          <w:highlight w:val="none"/>
        </w:rPr>
        <w:t>中，不单独计费。</w:t>
      </w:r>
    </w:p>
    <w:p w14:paraId="32883431">
      <w:pPr>
        <w:keepNext w:val="0"/>
        <w:keepLines w:val="0"/>
        <w:pageBreakBefore w:val="0"/>
        <w:widowControl/>
        <w:tabs>
          <w:tab w:val="left" w:pos="220"/>
        </w:tabs>
        <w:kinsoku/>
        <w:wordWrap/>
        <w:overflowPunct/>
        <w:topLinePunct w:val="0"/>
        <w:autoSpaceDE/>
        <w:autoSpaceDN/>
        <w:bidi w:val="0"/>
        <w:adjustRightInd w:val="0"/>
        <w:snapToGrid w:val="0"/>
        <w:spacing w:line="440" w:lineRule="exact"/>
        <w:ind w:left="-17" w:leftChars="0" w:right="250" w:rightChars="119"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若</w:t>
      </w:r>
      <w:r>
        <w:rPr>
          <w:rFonts w:hint="eastAsia" w:ascii="宋体" w:hAnsi="宋体" w:eastAsia="宋体" w:cs="宋体"/>
          <w:color w:val="auto"/>
          <w:szCs w:val="21"/>
          <w:highlight w:val="none"/>
          <w:lang w:eastAsia="zh-CN"/>
        </w:rPr>
        <w:t>发包人</w:t>
      </w:r>
      <w:r>
        <w:rPr>
          <w:rFonts w:hint="eastAsia" w:ascii="宋体" w:hAnsi="宋体" w:eastAsia="宋体" w:cs="宋体"/>
          <w:color w:val="auto"/>
          <w:szCs w:val="21"/>
          <w:highlight w:val="none"/>
        </w:rPr>
        <w:t>提供的相关资料明示或暗示已包含的内容中标单位设计时未设计，中标单位需按</w:t>
      </w:r>
      <w:r>
        <w:rPr>
          <w:rFonts w:hint="eastAsia" w:ascii="宋体" w:hAnsi="宋体" w:eastAsia="宋体" w:cs="宋体"/>
          <w:color w:val="auto"/>
          <w:szCs w:val="21"/>
          <w:highlight w:val="none"/>
          <w:lang w:eastAsia="zh-CN"/>
        </w:rPr>
        <w:t>发包人</w:t>
      </w:r>
      <w:r>
        <w:rPr>
          <w:rFonts w:hint="eastAsia" w:ascii="宋体" w:hAnsi="宋体" w:eastAsia="宋体" w:cs="宋体"/>
          <w:color w:val="auto"/>
          <w:szCs w:val="21"/>
          <w:highlight w:val="none"/>
        </w:rPr>
        <w:t>要求完成此部分内容的设计并施工完成。</w:t>
      </w:r>
    </w:p>
    <w:p w14:paraId="0A85CCC2">
      <w:pPr>
        <w:keepNext w:val="0"/>
        <w:keepLines w:val="0"/>
        <w:pageBreakBefore w:val="0"/>
        <w:widowControl/>
        <w:tabs>
          <w:tab w:val="left" w:pos="220"/>
        </w:tabs>
        <w:kinsoku/>
        <w:wordWrap/>
        <w:overflowPunct/>
        <w:topLinePunct w:val="0"/>
        <w:autoSpaceDE/>
        <w:autoSpaceDN/>
        <w:bidi w:val="0"/>
        <w:adjustRightInd w:val="0"/>
        <w:snapToGrid w:val="0"/>
        <w:spacing w:line="440" w:lineRule="exact"/>
        <w:ind w:left="-17" w:leftChars="0" w:right="250" w:rightChars="119"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发包人</w:t>
      </w:r>
      <w:r>
        <w:rPr>
          <w:rFonts w:hint="eastAsia" w:ascii="宋体" w:hAnsi="宋体" w:eastAsia="宋体" w:cs="宋体"/>
          <w:color w:val="auto"/>
          <w:szCs w:val="21"/>
          <w:highlight w:val="none"/>
        </w:rPr>
        <w:t xml:space="preserve">取消或暂缓部分工程， </w:t>
      </w:r>
      <w:r>
        <w:rPr>
          <w:rFonts w:hint="eastAsia" w:ascii="宋体" w:hAnsi="宋体" w:eastAsia="宋体" w:cs="宋体"/>
          <w:color w:val="auto"/>
          <w:szCs w:val="21"/>
          <w:highlight w:val="none"/>
          <w:lang w:eastAsia="zh-CN"/>
        </w:rPr>
        <w:t>承包人</w:t>
      </w:r>
      <w:r>
        <w:rPr>
          <w:rFonts w:hint="eastAsia" w:ascii="宋体" w:hAnsi="宋体" w:cs="宋体"/>
          <w:color w:val="auto"/>
          <w:szCs w:val="21"/>
          <w:highlight w:val="none"/>
          <w:lang w:eastAsia="zh-CN"/>
        </w:rPr>
        <w:t>须</w:t>
      </w:r>
      <w:r>
        <w:rPr>
          <w:rFonts w:hint="eastAsia" w:ascii="宋体" w:hAnsi="宋体" w:eastAsia="宋体" w:cs="宋体"/>
          <w:color w:val="auto"/>
          <w:szCs w:val="21"/>
          <w:highlight w:val="none"/>
        </w:rPr>
        <w:t>无条件执行</w:t>
      </w:r>
      <w:r>
        <w:rPr>
          <w:rFonts w:hint="eastAsia" w:ascii="宋体" w:hAnsi="宋体" w:eastAsia="宋体" w:cs="宋体"/>
          <w:color w:val="auto"/>
          <w:szCs w:val="21"/>
          <w:highlight w:val="none"/>
          <w:lang w:eastAsia="zh-CN"/>
        </w:rPr>
        <w:t>发包人</w:t>
      </w:r>
      <w:r>
        <w:rPr>
          <w:rFonts w:hint="eastAsia" w:ascii="宋体" w:hAnsi="宋体" w:eastAsia="宋体" w:cs="宋体"/>
          <w:color w:val="auto"/>
          <w:szCs w:val="21"/>
          <w:highlight w:val="none"/>
        </w:rPr>
        <w:t>的此类指令， 同时也不得以“合同履行后可以获得的利益” 为由要求赔偿损失。本项目采用固定综合单价合同，除根据合同变更条款以及合同中其他相关增减金额的约定进行调整外，合同综合单价不做调整。因承包人原因造成本工程费用增加或各分项项目费用增加、竣工日期延误等责任，均由承包人承担。</w:t>
      </w:r>
    </w:p>
    <w:p w14:paraId="0C9FDDC0">
      <w:pPr>
        <w:keepNext w:val="0"/>
        <w:keepLines w:val="0"/>
        <w:pageBreakBefore w:val="0"/>
        <w:widowControl/>
        <w:tabs>
          <w:tab w:val="left" w:pos="220"/>
        </w:tabs>
        <w:kinsoku/>
        <w:wordWrap/>
        <w:overflowPunct/>
        <w:topLinePunct w:val="0"/>
        <w:autoSpaceDE/>
        <w:autoSpaceDN/>
        <w:bidi w:val="0"/>
        <w:adjustRightInd w:val="0"/>
        <w:snapToGrid w:val="0"/>
        <w:spacing w:line="440" w:lineRule="exact"/>
        <w:ind w:left="-17" w:leftChars="0" w:right="250" w:rightChars="119"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4、承包人</w:t>
      </w:r>
      <w:r>
        <w:rPr>
          <w:rFonts w:hint="eastAsia" w:ascii="宋体" w:hAnsi="宋体" w:eastAsia="宋体" w:cs="宋体"/>
          <w:color w:val="auto"/>
          <w:szCs w:val="21"/>
          <w:highlight w:val="none"/>
        </w:rPr>
        <w:t>有义务按</w:t>
      </w:r>
      <w:r>
        <w:rPr>
          <w:rFonts w:hint="eastAsia" w:ascii="宋体" w:hAnsi="宋体" w:eastAsia="宋体" w:cs="宋体"/>
          <w:color w:val="auto"/>
          <w:szCs w:val="21"/>
          <w:highlight w:val="none"/>
          <w:lang w:val="en-US" w:eastAsia="zh-CN"/>
        </w:rPr>
        <w:t>发包人</w:t>
      </w:r>
      <w:r>
        <w:rPr>
          <w:rFonts w:hint="eastAsia" w:ascii="宋体" w:hAnsi="宋体" w:eastAsia="宋体" w:cs="宋体"/>
          <w:color w:val="auto"/>
          <w:szCs w:val="21"/>
          <w:highlight w:val="none"/>
        </w:rPr>
        <w:t>要求和</w:t>
      </w:r>
      <w:r>
        <w:rPr>
          <w:rFonts w:hint="eastAsia" w:ascii="宋体" w:hAnsi="宋体" w:eastAsia="宋体" w:cs="宋体"/>
          <w:color w:val="auto"/>
          <w:szCs w:val="21"/>
          <w:highlight w:val="none"/>
          <w:lang w:val="en-US" w:eastAsia="zh-CN"/>
        </w:rPr>
        <w:t>发包人</w:t>
      </w:r>
      <w:r>
        <w:rPr>
          <w:rFonts w:hint="eastAsia" w:ascii="宋体" w:hAnsi="宋体" w:eastAsia="宋体" w:cs="宋体"/>
          <w:color w:val="auto"/>
          <w:szCs w:val="21"/>
          <w:highlight w:val="none"/>
        </w:rPr>
        <w:t>提供的基础资料及国家有关部门、行业工程建设标准规范规定的设计深度及要求开展工程设计，并对设计的工艺技术和(或)功能，及工程的安全、环境保护、职业健康的标准，设备材料的质量、工程质量和完成时间负责。</w:t>
      </w:r>
      <w:r>
        <w:rPr>
          <w:rFonts w:hint="eastAsia" w:ascii="宋体" w:hAnsi="宋体" w:eastAsia="宋体" w:cs="宋体"/>
          <w:color w:val="auto"/>
          <w:szCs w:val="21"/>
          <w:highlight w:val="none"/>
          <w:lang w:val="en-US" w:eastAsia="zh-CN"/>
        </w:rPr>
        <w:t>承包人</w:t>
      </w:r>
      <w:r>
        <w:rPr>
          <w:rFonts w:hint="eastAsia" w:ascii="宋体" w:hAnsi="宋体" w:eastAsia="宋体" w:cs="宋体"/>
          <w:color w:val="auto"/>
          <w:szCs w:val="21"/>
          <w:highlight w:val="none"/>
        </w:rPr>
        <w:t>提供的图纸由</w:t>
      </w:r>
      <w:r>
        <w:rPr>
          <w:rFonts w:hint="eastAsia" w:ascii="宋体" w:hAnsi="宋体" w:eastAsia="宋体" w:cs="宋体"/>
          <w:color w:val="auto"/>
          <w:szCs w:val="21"/>
          <w:highlight w:val="none"/>
          <w:lang w:val="en-US" w:eastAsia="zh-CN"/>
        </w:rPr>
        <w:t>发包人</w:t>
      </w:r>
      <w:r>
        <w:rPr>
          <w:rFonts w:hint="eastAsia" w:ascii="宋体" w:hAnsi="宋体" w:eastAsia="宋体" w:cs="宋体"/>
          <w:color w:val="auto"/>
          <w:szCs w:val="21"/>
          <w:highlight w:val="none"/>
        </w:rPr>
        <w:t>主持委托评审，审查发生的所有相关费用由</w:t>
      </w:r>
      <w:r>
        <w:rPr>
          <w:rFonts w:hint="eastAsia" w:ascii="宋体" w:hAnsi="宋体" w:eastAsia="宋体" w:cs="宋体"/>
          <w:color w:val="auto"/>
          <w:szCs w:val="21"/>
          <w:highlight w:val="none"/>
          <w:lang w:eastAsia="zh-CN"/>
        </w:rPr>
        <w:t>承包人</w:t>
      </w:r>
      <w:r>
        <w:rPr>
          <w:rFonts w:hint="eastAsia" w:ascii="宋体" w:hAnsi="宋体" w:eastAsia="宋体" w:cs="宋体"/>
          <w:color w:val="auto"/>
          <w:szCs w:val="21"/>
          <w:highlight w:val="none"/>
        </w:rPr>
        <w:t>承担。</w:t>
      </w:r>
    </w:p>
    <w:p w14:paraId="6A665D6A">
      <w:pPr>
        <w:keepNext w:val="0"/>
        <w:keepLines w:val="0"/>
        <w:pageBreakBefore w:val="0"/>
        <w:widowControl/>
        <w:tabs>
          <w:tab w:val="left" w:pos="220"/>
        </w:tabs>
        <w:kinsoku/>
        <w:wordWrap/>
        <w:overflowPunct/>
        <w:topLinePunct w:val="0"/>
        <w:autoSpaceDE/>
        <w:autoSpaceDN/>
        <w:bidi w:val="0"/>
        <w:adjustRightInd w:val="0"/>
        <w:snapToGrid w:val="0"/>
        <w:spacing w:line="440" w:lineRule="exact"/>
        <w:ind w:left="-17" w:leftChars="0" w:right="250" w:rightChars="119"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承包人</w:t>
      </w:r>
      <w:r>
        <w:rPr>
          <w:rFonts w:hint="eastAsia" w:ascii="宋体" w:hAnsi="宋体" w:eastAsia="宋体" w:cs="宋体"/>
          <w:color w:val="auto"/>
          <w:szCs w:val="21"/>
          <w:highlight w:val="none"/>
        </w:rPr>
        <w:t>须在其提供的图纸经</w:t>
      </w:r>
      <w:r>
        <w:rPr>
          <w:rFonts w:hint="eastAsia" w:ascii="宋体" w:hAnsi="宋体" w:eastAsia="宋体" w:cs="宋体"/>
          <w:color w:val="auto"/>
          <w:szCs w:val="21"/>
          <w:highlight w:val="none"/>
          <w:lang w:val="en-US" w:eastAsia="zh-CN"/>
        </w:rPr>
        <w:t>发包人</w:t>
      </w:r>
      <w:r>
        <w:rPr>
          <w:rFonts w:hint="eastAsia" w:ascii="宋体" w:hAnsi="宋体" w:eastAsia="宋体" w:cs="宋体"/>
          <w:color w:val="auto"/>
          <w:szCs w:val="21"/>
          <w:highlight w:val="none"/>
        </w:rPr>
        <w:t>确认后方可开工建设，严禁边设计、边施工、边修改。</w:t>
      </w:r>
    </w:p>
    <w:p w14:paraId="51CA9696">
      <w:pPr>
        <w:keepNext w:val="0"/>
        <w:keepLines w:val="0"/>
        <w:pageBreakBefore w:val="0"/>
        <w:widowControl/>
        <w:tabs>
          <w:tab w:val="left" w:pos="220"/>
        </w:tabs>
        <w:kinsoku/>
        <w:wordWrap/>
        <w:overflowPunct/>
        <w:topLinePunct w:val="0"/>
        <w:autoSpaceDE/>
        <w:autoSpaceDN/>
        <w:bidi w:val="0"/>
        <w:adjustRightInd w:val="0"/>
        <w:snapToGrid w:val="0"/>
        <w:spacing w:line="440" w:lineRule="exact"/>
        <w:ind w:left="-17" w:leftChars="0" w:right="250" w:rightChars="119" w:firstLine="420" w:firstLineChars="200"/>
        <w:jc w:val="left"/>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因</w:t>
      </w:r>
      <w:r>
        <w:rPr>
          <w:rFonts w:hint="eastAsia" w:ascii="宋体" w:hAnsi="宋体" w:eastAsia="宋体" w:cs="宋体"/>
          <w:color w:val="auto"/>
          <w:szCs w:val="21"/>
          <w:highlight w:val="none"/>
          <w:lang w:val="en-US" w:eastAsia="zh-CN"/>
        </w:rPr>
        <w:t>承包人</w:t>
      </w:r>
      <w:r>
        <w:rPr>
          <w:rFonts w:hint="eastAsia" w:ascii="宋体" w:hAnsi="宋体" w:eastAsia="宋体" w:cs="宋体"/>
          <w:color w:val="auto"/>
          <w:szCs w:val="21"/>
          <w:highlight w:val="none"/>
        </w:rPr>
        <w:t>未能按进度计划组织实施或未按合同履约导致工期延误或发生其他经双方协商未能达成一致意见情形的，</w:t>
      </w:r>
      <w:r>
        <w:rPr>
          <w:rFonts w:hint="eastAsia" w:ascii="宋体" w:hAnsi="宋体" w:eastAsia="宋体" w:cs="宋体"/>
          <w:color w:val="auto"/>
          <w:szCs w:val="21"/>
          <w:highlight w:val="none"/>
          <w:lang w:val="en-US" w:eastAsia="zh-CN"/>
        </w:rPr>
        <w:t>发包人</w:t>
      </w:r>
      <w:r>
        <w:rPr>
          <w:rFonts w:hint="eastAsia" w:ascii="宋体" w:hAnsi="宋体" w:eastAsia="宋体" w:cs="宋体"/>
          <w:color w:val="auto"/>
          <w:szCs w:val="21"/>
          <w:highlight w:val="none"/>
        </w:rPr>
        <w:t>可选择将部分分项项目或全部项目另行发包给第三方实施， 由此产生的所有相关费用由</w:t>
      </w:r>
      <w:r>
        <w:rPr>
          <w:rFonts w:hint="eastAsia" w:ascii="宋体" w:hAnsi="宋体" w:eastAsia="宋体" w:cs="宋体"/>
          <w:color w:val="auto"/>
          <w:szCs w:val="21"/>
          <w:highlight w:val="none"/>
          <w:lang w:val="en-US" w:eastAsia="zh-CN"/>
        </w:rPr>
        <w:t>发包人</w:t>
      </w:r>
      <w:r>
        <w:rPr>
          <w:rFonts w:hint="eastAsia" w:ascii="宋体" w:hAnsi="宋体" w:eastAsia="宋体" w:cs="宋体"/>
          <w:color w:val="auto"/>
          <w:szCs w:val="21"/>
          <w:highlight w:val="none"/>
        </w:rPr>
        <w:t>直接从合同价款中予以扣除，且</w:t>
      </w:r>
      <w:r>
        <w:rPr>
          <w:rFonts w:hint="eastAsia" w:ascii="宋体" w:hAnsi="宋体" w:eastAsia="宋体" w:cs="宋体"/>
          <w:color w:val="auto"/>
          <w:szCs w:val="21"/>
          <w:highlight w:val="none"/>
          <w:lang w:val="en-US" w:eastAsia="zh-CN"/>
        </w:rPr>
        <w:t>承包人</w:t>
      </w:r>
      <w:r>
        <w:rPr>
          <w:rFonts w:hint="eastAsia" w:ascii="宋体" w:hAnsi="宋体" w:eastAsia="宋体" w:cs="宋体"/>
          <w:color w:val="auto"/>
          <w:szCs w:val="21"/>
          <w:highlight w:val="none"/>
        </w:rPr>
        <w:t>须按合同约定承担相应的违约责任。因</w:t>
      </w:r>
      <w:r>
        <w:rPr>
          <w:rFonts w:hint="eastAsia" w:ascii="宋体" w:hAnsi="宋体" w:eastAsia="宋体" w:cs="宋体"/>
          <w:color w:val="auto"/>
          <w:szCs w:val="21"/>
          <w:highlight w:val="none"/>
          <w:lang w:val="en-US" w:eastAsia="zh-CN"/>
        </w:rPr>
        <w:t>承包人</w:t>
      </w:r>
      <w:r>
        <w:rPr>
          <w:rFonts w:hint="eastAsia" w:ascii="宋体" w:hAnsi="宋体" w:eastAsia="宋体" w:cs="宋体"/>
          <w:color w:val="auto"/>
          <w:szCs w:val="21"/>
          <w:highlight w:val="none"/>
        </w:rPr>
        <w:t>违约导致</w:t>
      </w:r>
      <w:r>
        <w:rPr>
          <w:rFonts w:hint="eastAsia" w:ascii="宋体" w:hAnsi="宋体" w:eastAsia="宋体" w:cs="宋体"/>
          <w:color w:val="auto"/>
          <w:szCs w:val="21"/>
          <w:highlight w:val="none"/>
          <w:lang w:val="en-US" w:eastAsia="zh-CN"/>
        </w:rPr>
        <w:t>发包人</w:t>
      </w:r>
      <w:r>
        <w:rPr>
          <w:rFonts w:hint="eastAsia" w:ascii="宋体" w:hAnsi="宋体" w:eastAsia="宋体" w:cs="宋体"/>
          <w:color w:val="auto"/>
          <w:szCs w:val="21"/>
          <w:highlight w:val="none"/>
        </w:rPr>
        <w:t>另行发包而造成工期延误、结算造价超过</w:t>
      </w:r>
      <w:r>
        <w:rPr>
          <w:rFonts w:hint="eastAsia" w:ascii="宋体" w:hAnsi="宋体" w:eastAsia="宋体" w:cs="宋体"/>
          <w:color w:val="auto"/>
          <w:szCs w:val="21"/>
          <w:highlight w:val="none"/>
          <w:lang w:val="en-US" w:eastAsia="zh-CN"/>
        </w:rPr>
        <w:t>承包人</w:t>
      </w:r>
      <w:r>
        <w:rPr>
          <w:rFonts w:hint="eastAsia" w:ascii="宋体" w:hAnsi="宋体" w:eastAsia="宋体" w:cs="宋体"/>
          <w:color w:val="auto"/>
          <w:szCs w:val="21"/>
          <w:highlight w:val="none"/>
        </w:rPr>
        <w:t>的</w:t>
      </w:r>
      <w:r>
        <w:rPr>
          <w:rFonts w:hint="eastAsia" w:ascii="宋体" w:hAnsi="宋体" w:eastAsia="宋体" w:cs="宋体"/>
          <w:color w:val="auto"/>
          <w:szCs w:val="21"/>
          <w:highlight w:val="none"/>
          <w:lang w:eastAsia="zh-CN"/>
        </w:rPr>
        <w:t>合同价</w:t>
      </w:r>
      <w:r>
        <w:rPr>
          <w:rFonts w:hint="eastAsia" w:ascii="宋体" w:hAnsi="宋体" w:eastAsia="宋体" w:cs="宋体"/>
          <w:color w:val="auto"/>
          <w:szCs w:val="21"/>
          <w:highlight w:val="none"/>
        </w:rPr>
        <w:t>等其他的损失，全部由</w:t>
      </w:r>
      <w:r>
        <w:rPr>
          <w:rFonts w:hint="eastAsia" w:ascii="宋体" w:hAnsi="宋体" w:eastAsia="宋体" w:cs="宋体"/>
          <w:color w:val="auto"/>
          <w:szCs w:val="21"/>
          <w:highlight w:val="none"/>
          <w:lang w:val="en-US" w:eastAsia="zh-CN"/>
        </w:rPr>
        <w:t>承包人</w:t>
      </w:r>
      <w:r>
        <w:rPr>
          <w:rFonts w:hint="eastAsia" w:ascii="宋体" w:hAnsi="宋体" w:eastAsia="宋体" w:cs="宋体"/>
          <w:color w:val="auto"/>
          <w:szCs w:val="21"/>
          <w:highlight w:val="none"/>
        </w:rPr>
        <w:t>承担</w:t>
      </w:r>
      <w:r>
        <w:rPr>
          <w:rFonts w:hint="eastAsia" w:ascii="宋体" w:hAnsi="宋体" w:eastAsia="宋体" w:cs="宋体"/>
          <w:color w:val="auto"/>
          <w:szCs w:val="21"/>
          <w:highlight w:val="none"/>
          <w:lang w:eastAsia="zh-CN"/>
        </w:rPr>
        <w:t>。</w:t>
      </w:r>
    </w:p>
    <w:p w14:paraId="04132968">
      <w:pPr>
        <w:keepNext w:val="0"/>
        <w:keepLines w:val="0"/>
        <w:pageBreakBefore w:val="0"/>
        <w:widowControl/>
        <w:tabs>
          <w:tab w:val="left" w:pos="220"/>
        </w:tabs>
        <w:kinsoku/>
        <w:wordWrap/>
        <w:overflowPunct/>
        <w:topLinePunct w:val="0"/>
        <w:autoSpaceDE/>
        <w:autoSpaceDN/>
        <w:bidi w:val="0"/>
        <w:adjustRightInd w:val="0"/>
        <w:snapToGrid w:val="0"/>
        <w:spacing w:line="440" w:lineRule="exact"/>
        <w:ind w:left="-17" w:leftChars="0" w:right="250" w:rightChars="119" w:firstLine="420" w:firstLineChars="200"/>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因产品质量等原因造成的光伏发电系统故障或设备缺陷、部件损坏及光伏面板需清洗等，</w:t>
      </w:r>
      <w:r>
        <w:rPr>
          <w:rFonts w:hint="eastAsia" w:ascii="宋体" w:hAnsi="宋体" w:eastAsia="宋体" w:cs="宋体"/>
          <w:color w:val="auto"/>
          <w:szCs w:val="21"/>
          <w:highlight w:val="none"/>
          <w:lang w:eastAsia="zh-CN"/>
        </w:rPr>
        <w:t>承包人</w:t>
      </w:r>
      <w:r>
        <w:rPr>
          <w:rFonts w:hint="eastAsia" w:ascii="宋体" w:hAnsi="宋体" w:eastAsia="宋体" w:cs="宋体"/>
          <w:color w:val="auto"/>
          <w:szCs w:val="21"/>
          <w:highlight w:val="none"/>
        </w:rPr>
        <w:t>接到用户通知（书面或电话）1小时内给予答复，</w:t>
      </w:r>
      <w:r>
        <w:rPr>
          <w:rFonts w:hint="eastAsia"/>
          <w:color w:val="auto"/>
          <w:highlight w:val="none"/>
        </w:rPr>
        <w:t>应设立</w:t>
      </w:r>
      <w:r>
        <w:rPr>
          <w:rFonts w:hint="eastAsia"/>
          <w:color w:val="auto"/>
          <w:highlight w:val="none"/>
          <w:lang w:val="en-US" w:eastAsia="zh-CN"/>
        </w:rPr>
        <w:t>服务于本项目的专业</w:t>
      </w:r>
      <w:r>
        <w:rPr>
          <w:rFonts w:hint="eastAsia"/>
          <w:color w:val="auto"/>
          <w:highlight w:val="none"/>
        </w:rPr>
        <w:t>运营维护服务机构</w:t>
      </w:r>
      <w:r>
        <w:rPr>
          <w:rFonts w:hint="eastAsia"/>
          <w:color w:val="auto"/>
          <w:highlight w:val="none"/>
          <w:lang w:eastAsia="zh-CN"/>
        </w:rPr>
        <w:t>，</w:t>
      </w:r>
      <w:r>
        <w:rPr>
          <w:rFonts w:hint="eastAsia"/>
          <w:color w:val="auto"/>
          <w:highlight w:val="none"/>
          <w:lang w:val="en-US" w:eastAsia="zh-CN"/>
        </w:rPr>
        <w:t>并明确服务机构负责人</w:t>
      </w:r>
      <w:r>
        <w:rPr>
          <w:rFonts w:hint="eastAsia" w:ascii="宋体" w:hAnsi="宋体" w:eastAsia="宋体" w:cs="宋体"/>
          <w:color w:val="auto"/>
          <w:szCs w:val="21"/>
          <w:highlight w:val="none"/>
        </w:rPr>
        <w:t>，24小时内派专业人员到达</w:t>
      </w:r>
      <w:r>
        <w:rPr>
          <w:rStyle w:val="222"/>
          <w:rFonts w:hint="eastAsia" w:eastAsia="宋体" w:cs="宋体"/>
          <w:color w:val="auto"/>
          <w:sz w:val="21"/>
          <w:szCs w:val="21"/>
          <w:highlight w:val="none"/>
        </w:rPr>
        <w:t>现场处理解决（紧急情况下应立即到达现场）</w:t>
      </w:r>
      <w:r>
        <w:rPr>
          <w:rFonts w:hint="eastAsia" w:ascii="宋体" w:hAnsi="宋体" w:eastAsia="宋体" w:cs="宋体"/>
          <w:color w:val="auto"/>
          <w:szCs w:val="21"/>
          <w:highlight w:val="none"/>
        </w:rPr>
        <w:t>，时效</w:t>
      </w:r>
      <w:r>
        <w:rPr>
          <w:rFonts w:hint="eastAsia" w:ascii="宋体" w:hAnsi="宋体" w:eastAsia="宋体" w:cs="宋体"/>
          <w:strike w:val="0"/>
          <w:dstrike w:val="0"/>
          <w:color w:val="auto"/>
          <w:szCs w:val="21"/>
          <w:highlight w:val="none"/>
          <w:lang w:val="en-US" w:eastAsia="zh-CN"/>
        </w:rPr>
        <w:t>两年八个月，包括建设期八个月</w:t>
      </w:r>
      <w:r>
        <w:rPr>
          <w:rFonts w:hint="eastAsia" w:ascii="宋体" w:hAnsi="宋体" w:eastAsia="宋体" w:cs="宋体"/>
          <w:strike w:val="0"/>
          <w:dstrike w:val="0"/>
          <w:color w:val="auto"/>
          <w:szCs w:val="21"/>
          <w:highlight w:val="none"/>
          <w:lang w:eastAsia="zh-CN"/>
        </w:rPr>
        <w:t>）</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 xml:space="preserve">    </w:t>
      </w:r>
    </w:p>
    <w:p w14:paraId="37642394">
      <w:pPr>
        <w:keepNext w:val="0"/>
        <w:keepLines w:val="0"/>
        <w:pageBreakBefore w:val="0"/>
        <w:widowControl/>
        <w:tabs>
          <w:tab w:val="left" w:pos="220"/>
        </w:tabs>
        <w:kinsoku/>
        <w:wordWrap/>
        <w:overflowPunct/>
        <w:topLinePunct w:val="0"/>
        <w:autoSpaceDE/>
        <w:autoSpaceDN/>
        <w:bidi w:val="0"/>
        <w:adjustRightInd w:val="0"/>
        <w:snapToGrid w:val="0"/>
        <w:spacing w:line="440" w:lineRule="exact"/>
        <w:ind w:left="-17" w:leftChars="0" w:right="250" w:rightChars="119" w:firstLine="420" w:firstLineChars="200"/>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8、</w:t>
      </w:r>
      <w:r>
        <w:rPr>
          <w:rFonts w:hint="eastAsia" w:ascii="宋体" w:hAnsi="宋体" w:cs="宋体"/>
          <w:color w:val="auto"/>
          <w:szCs w:val="21"/>
          <w:highlight w:val="none"/>
          <w:lang w:val="en-US" w:eastAsia="zh-CN"/>
        </w:rPr>
        <w:t>承包人</w:t>
      </w:r>
      <w:r>
        <w:rPr>
          <w:rFonts w:hint="eastAsia" w:ascii="宋体" w:hAnsi="宋体" w:eastAsia="宋体" w:cs="宋体"/>
          <w:color w:val="auto"/>
          <w:szCs w:val="21"/>
          <w:highlight w:val="none"/>
          <w:lang w:val="en-US" w:eastAsia="zh-CN"/>
        </w:rPr>
        <w:t>需自行了解当地接入系统方案；中标后相关设计及施工方案需得到发包人认可方可实施；发包人根据项目方案等因素，可以选择全部或部分终止合同，且不承担任何责任和费用。</w:t>
      </w:r>
    </w:p>
    <w:p w14:paraId="04665CBD">
      <w:pPr>
        <w:keepNext w:val="0"/>
        <w:keepLines w:val="0"/>
        <w:pageBreakBefore w:val="0"/>
        <w:widowControl/>
        <w:tabs>
          <w:tab w:val="left" w:pos="220"/>
        </w:tabs>
        <w:kinsoku/>
        <w:wordWrap/>
        <w:overflowPunct/>
        <w:topLinePunct w:val="0"/>
        <w:autoSpaceDE/>
        <w:autoSpaceDN/>
        <w:bidi w:val="0"/>
        <w:adjustRightInd w:val="0"/>
        <w:snapToGrid w:val="0"/>
        <w:spacing w:line="440" w:lineRule="exact"/>
        <w:ind w:left="-17" w:leftChars="0" w:right="250" w:rightChars="119" w:firstLine="420" w:firstLineChars="200"/>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9、设备材料供应</w:t>
      </w:r>
    </w:p>
    <w:p w14:paraId="07CAB66E">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9</w:t>
      </w:r>
      <w:r>
        <w:rPr>
          <w:rStyle w:val="222"/>
          <w:rFonts w:hint="eastAsia" w:eastAsia="宋体" w:cs="宋体"/>
          <w:color w:val="auto"/>
          <w:sz w:val="21"/>
          <w:szCs w:val="21"/>
          <w:highlight w:val="none"/>
        </w:rPr>
        <w:t>.1承包人采购设备材料</w:t>
      </w:r>
    </w:p>
    <w:p w14:paraId="58F06768">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9</w:t>
      </w:r>
      <w:r>
        <w:rPr>
          <w:rStyle w:val="222"/>
          <w:rFonts w:hint="eastAsia" w:eastAsia="宋体" w:cs="宋体"/>
          <w:color w:val="auto"/>
          <w:sz w:val="21"/>
          <w:szCs w:val="21"/>
          <w:highlight w:val="none"/>
        </w:rPr>
        <w:t>.1.1由承包人负责采购除发包人设备以外的全部本项目工程并网发电以及本合同工程范围内所需的全部设备材料。</w:t>
      </w:r>
    </w:p>
    <w:p w14:paraId="491A1835">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9</w:t>
      </w:r>
      <w:r>
        <w:rPr>
          <w:rStyle w:val="222"/>
          <w:rFonts w:hint="eastAsia" w:eastAsia="宋体" w:cs="宋体"/>
          <w:color w:val="auto"/>
          <w:sz w:val="21"/>
          <w:szCs w:val="21"/>
          <w:highlight w:val="none"/>
        </w:rPr>
        <w:t>.1.2本项目工程除发包人负责采购的设备外的本项目满发并网发电所需要的其他设备材料以及本合同工程范围内所需的全部设备材料均由承包人采购。承包人应严格按照国家及行业标准以及设计图纸要求进行采购，发包人有权对该等材料设备的采购进行随机抽检，抽检不合格的发包人有权禁止承包人采购的设备材料用于项目现场，且发包人有权要求承包人限期予以更换，由此产生的费用全部由承包人自行承担，若因此造成本项目工程工期延误的，承包人应当按照本合同的有关规定承担工期延误的违约责任。</w:t>
      </w:r>
    </w:p>
    <w:p w14:paraId="5E931101">
      <w:pPr>
        <w:spacing w:line="360" w:lineRule="auto"/>
        <w:ind w:firstLine="420" w:firstLineChars="200"/>
        <w:jc w:val="left"/>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9</w:t>
      </w:r>
      <w:r>
        <w:rPr>
          <w:rStyle w:val="222"/>
          <w:rFonts w:hint="eastAsia" w:eastAsia="宋体" w:cs="宋体"/>
          <w:color w:val="auto"/>
          <w:sz w:val="21"/>
          <w:szCs w:val="21"/>
          <w:highlight w:val="none"/>
        </w:rPr>
        <w:t>.1.3承包人供应的材料设备由承包人负责采购、运输、装卸货、场内二次搬运、储存、保管等，发包人负责提供设备材料的接货、卸货、场内二次搬运、储存、保管、维护、安装等工作均由承包人负责。</w:t>
      </w:r>
    </w:p>
    <w:p w14:paraId="639351DD">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9</w:t>
      </w:r>
      <w:r>
        <w:rPr>
          <w:rStyle w:val="222"/>
          <w:rFonts w:hint="eastAsia" w:eastAsia="宋体" w:cs="宋体"/>
          <w:color w:val="auto"/>
          <w:sz w:val="21"/>
          <w:szCs w:val="21"/>
          <w:highlight w:val="none"/>
        </w:rPr>
        <w:t>.1.4承包人采购的所有材料及设备进场报验时必须经</w:t>
      </w:r>
      <w:r>
        <w:rPr>
          <w:rStyle w:val="222"/>
          <w:rFonts w:hint="eastAsia" w:eastAsia="宋体" w:cs="宋体"/>
          <w:color w:val="auto"/>
          <w:sz w:val="21"/>
          <w:szCs w:val="21"/>
          <w:highlight w:val="none"/>
          <w:lang w:eastAsia="zh-CN"/>
        </w:rPr>
        <w:t>发包人</w:t>
      </w:r>
      <w:r>
        <w:rPr>
          <w:rStyle w:val="222"/>
          <w:rFonts w:hint="eastAsia" w:eastAsia="宋体" w:cs="宋体"/>
          <w:color w:val="auto"/>
          <w:sz w:val="21"/>
          <w:szCs w:val="21"/>
          <w:highlight w:val="none"/>
        </w:rPr>
        <w:t>书面认可方可进场施工，否则</w:t>
      </w:r>
      <w:r>
        <w:rPr>
          <w:rStyle w:val="222"/>
          <w:rFonts w:hint="eastAsia" w:eastAsia="宋体" w:cs="宋体"/>
          <w:color w:val="auto"/>
          <w:sz w:val="21"/>
          <w:szCs w:val="21"/>
          <w:highlight w:val="none"/>
          <w:lang w:eastAsia="zh-CN"/>
        </w:rPr>
        <w:t>承包人</w:t>
      </w:r>
      <w:r>
        <w:rPr>
          <w:rStyle w:val="222"/>
          <w:rFonts w:hint="eastAsia" w:eastAsia="宋体" w:cs="宋体"/>
          <w:color w:val="auto"/>
          <w:sz w:val="21"/>
          <w:szCs w:val="21"/>
          <w:highlight w:val="none"/>
        </w:rPr>
        <w:t>必须进行更换。施工过程中发现</w:t>
      </w:r>
      <w:r>
        <w:rPr>
          <w:rStyle w:val="222"/>
          <w:rFonts w:hint="eastAsia" w:eastAsia="宋体" w:cs="宋体"/>
          <w:color w:val="auto"/>
          <w:sz w:val="21"/>
          <w:szCs w:val="21"/>
          <w:highlight w:val="none"/>
          <w:lang w:eastAsia="zh-CN"/>
        </w:rPr>
        <w:t>承包人</w:t>
      </w:r>
      <w:r>
        <w:rPr>
          <w:rStyle w:val="222"/>
          <w:rFonts w:hint="eastAsia" w:eastAsia="宋体" w:cs="宋体"/>
          <w:color w:val="auto"/>
          <w:sz w:val="21"/>
          <w:szCs w:val="21"/>
          <w:highlight w:val="none"/>
        </w:rPr>
        <w:t>未得到</w:t>
      </w:r>
      <w:r>
        <w:rPr>
          <w:rStyle w:val="222"/>
          <w:rFonts w:hint="eastAsia" w:eastAsia="宋体" w:cs="宋体"/>
          <w:color w:val="auto"/>
          <w:sz w:val="21"/>
          <w:szCs w:val="21"/>
          <w:highlight w:val="none"/>
          <w:lang w:eastAsia="zh-CN"/>
        </w:rPr>
        <w:t>发包人</w:t>
      </w:r>
      <w:r>
        <w:rPr>
          <w:rStyle w:val="222"/>
          <w:rFonts w:hint="eastAsia" w:eastAsia="宋体" w:cs="宋体"/>
          <w:color w:val="auto"/>
          <w:sz w:val="21"/>
          <w:szCs w:val="21"/>
          <w:highlight w:val="none"/>
        </w:rPr>
        <w:t>书面认可进场施工的材料设备，</w:t>
      </w:r>
      <w:r>
        <w:rPr>
          <w:rStyle w:val="222"/>
          <w:rFonts w:hint="eastAsia" w:eastAsia="宋体" w:cs="宋体"/>
          <w:color w:val="auto"/>
          <w:sz w:val="21"/>
          <w:szCs w:val="21"/>
          <w:highlight w:val="none"/>
          <w:lang w:eastAsia="zh-CN"/>
        </w:rPr>
        <w:t>发包人</w:t>
      </w:r>
      <w:r>
        <w:rPr>
          <w:rStyle w:val="222"/>
          <w:rFonts w:hint="eastAsia" w:eastAsia="宋体" w:cs="宋体"/>
          <w:color w:val="auto"/>
          <w:sz w:val="21"/>
          <w:szCs w:val="21"/>
          <w:highlight w:val="none"/>
        </w:rPr>
        <w:t>不予验收，</w:t>
      </w:r>
      <w:r>
        <w:rPr>
          <w:rStyle w:val="222"/>
          <w:rFonts w:hint="eastAsia" w:eastAsia="宋体" w:cs="宋体"/>
          <w:color w:val="auto"/>
          <w:sz w:val="21"/>
          <w:szCs w:val="21"/>
          <w:highlight w:val="none"/>
          <w:lang w:eastAsia="zh-CN"/>
        </w:rPr>
        <w:t>承包人</w:t>
      </w:r>
      <w:r>
        <w:rPr>
          <w:rStyle w:val="222"/>
          <w:rFonts w:hint="eastAsia" w:eastAsia="宋体" w:cs="宋体"/>
          <w:color w:val="auto"/>
          <w:sz w:val="21"/>
          <w:szCs w:val="21"/>
          <w:highlight w:val="none"/>
        </w:rPr>
        <w:t>自行拆除返工，由此造成的费用全部由</w:t>
      </w:r>
      <w:r>
        <w:rPr>
          <w:rStyle w:val="222"/>
          <w:rFonts w:hint="eastAsia" w:eastAsia="宋体" w:cs="宋体"/>
          <w:color w:val="auto"/>
          <w:sz w:val="21"/>
          <w:szCs w:val="21"/>
          <w:highlight w:val="none"/>
          <w:lang w:eastAsia="zh-CN"/>
        </w:rPr>
        <w:t>承包人</w:t>
      </w:r>
      <w:r>
        <w:rPr>
          <w:rStyle w:val="222"/>
          <w:rFonts w:hint="eastAsia" w:eastAsia="宋体" w:cs="宋体"/>
          <w:color w:val="auto"/>
          <w:sz w:val="21"/>
          <w:szCs w:val="21"/>
          <w:highlight w:val="none"/>
        </w:rPr>
        <w:t xml:space="preserve">承担。 </w:t>
      </w:r>
    </w:p>
    <w:p w14:paraId="7CBABBF0">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9</w:t>
      </w:r>
      <w:r>
        <w:rPr>
          <w:rStyle w:val="222"/>
          <w:rFonts w:hint="eastAsia" w:eastAsia="宋体" w:cs="宋体"/>
          <w:color w:val="auto"/>
          <w:sz w:val="21"/>
          <w:szCs w:val="21"/>
          <w:highlight w:val="none"/>
        </w:rPr>
        <w:t>.1.5在承包人的供应商就承包人负责采购的设备、材料开始生产前</w:t>
      </w:r>
      <w:r>
        <w:rPr>
          <w:rStyle w:val="222"/>
          <w:rFonts w:hint="eastAsia" w:eastAsia="宋体" w:cs="宋体"/>
          <w:color w:val="auto"/>
          <w:sz w:val="21"/>
          <w:szCs w:val="21"/>
          <w:highlight w:val="none"/>
          <w:lang w:eastAsia="zh-CN"/>
        </w:rPr>
        <w:t>、</w:t>
      </w:r>
      <w:r>
        <w:rPr>
          <w:rStyle w:val="222"/>
          <w:rFonts w:hint="eastAsia" w:eastAsia="宋体" w:cs="宋体"/>
          <w:color w:val="auto"/>
          <w:sz w:val="21"/>
          <w:szCs w:val="21"/>
          <w:highlight w:val="none"/>
          <w:lang w:val="en-US" w:eastAsia="zh-CN"/>
        </w:rPr>
        <w:t>生产中、出厂前</w:t>
      </w:r>
      <w:r>
        <w:rPr>
          <w:rStyle w:val="222"/>
          <w:rFonts w:hint="eastAsia" w:eastAsia="宋体" w:cs="宋体"/>
          <w:color w:val="auto"/>
          <w:sz w:val="21"/>
          <w:szCs w:val="21"/>
          <w:highlight w:val="none"/>
        </w:rPr>
        <w:t>，承包人应提前通知发包人，发包人可视具体情况决定是否至承包人的供应商见证出厂试验。如发包人要求见证出厂试验的，承包人应当予以妥善安排并协助进行。发包人发现承包人采购并使用不符合设计或质量标准要求的材料设备时，有权要求承包人负责</w:t>
      </w:r>
      <w:r>
        <w:rPr>
          <w:rStyle w:val="222"/>
          <w:rFonts w:hint="eastAsia" w:eastAsia="宋体" w:cs="宋体"/>
          <w:color w:val="auto"/>
          <w:sz w:val="21"/>
          <w:szCs w:val="21"/>
          <w:highlight w:val="none"/>
          <w:lang w:eastAsia="zh-CN"/>
        </w:rPr>
        <w:t>更换、</w:t>
      </w:r>
      <w:r>
        <w:rPr>
          <w:rStyle w:val="222"/>
          <w:rFonts w:hint="eastAsia" w:eastAsia="宋体" w:cs="宋体"/>
          <w:color w:val="auto"/>
          <w:sz w:val="21"/>
          <w:szCs w:val="21"/>
          <w:highlight w:val="none"/>
        </w:rPr>
        <w:t>修复、拆除或重新采购，由此发生的费用由承包人承担，延误的工期不予顺延。</w:t>
      </w:r>
    </w:p>
    <w:p w14:paraId="2804EF21">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9</w:t>
      </w:r>
      <w:r>
        <w:rPr>
          <w:rStyle w:val="222"/>
          <w:rFonts w:hint="eastAsia" w:eastAsia="宋体" w:cs="宋体"/>
          <w:color w:val="auto"/>
          <w:sz w:val="21"/>
          <w:szCs w:val="21"/>
          <w:highlight w:val="none"/>
        </w:rPr>
        <w:t>.1.6承包人应当按照发包人要求向发包人提供承包人采购的设备材料的质量检验合格证书和质量保证书，否则，发包人有权拒绝</w:t>
      </w:r>
      <w:r>
        <w:rPr>
          <w:rStyle w:val="222"/>
          <w:rFonts w:hint="eastAsia" w:eastAsia="宋体" w:cs="宋体"/>
          <w:color w:val="auto"/>
          <w:sz w:val="21"/>
          <w:szCs w:val="21"/>
          <w:highlight w:val="none"/>
          <w:lang w:val="en-US" w:eastAsia="zh-CN"/>
        </w:rPr>
        <w:t>进场或拒绝</w:t>
      </w:r>
      <w:r>
        <w:rPr>
          <w:rStyle w:val="222"/>
          <w:rFonts w:hint="eastAsia" w:eastAsia="宋体" w:cs="宋体"/>
          <w:color w:val="auto"/>
          <w:sz w:val="21"/>
          <w:szCs w:val="21"/>
          <w:highlight w:val="none"/>
        </w:rPr>
        <w:t>向承包人支付本合同项下的相应合同款项。</w:t>
      </w:r>
    </w:p>
    <w:p w14:paraId="6DBC9A33">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9</w:t>
      </w:r>
      <w:r>
        <w:rPr>
          <w:rStyle w:val="222"/>
          <w:rFonts w:hint="eastAsia" w:eastAsia="宋体" w:cs="宋体"/>
          <w:color w:val="auto"/>
          <w:sz w:val="21"/>
          <w:szCs w:val="21"/>
          <w:highlight w:val="none"/>
        </w:rPr>
        <w:t>.1.7承包人负责采购的设备材料自运抵项目现场，且承包人完成卸货并经发包人对数量、外观、质量进行确认后，</w:t>
      </w:r>
      <w:r>
        <w:rPr>
          <w:rStyle w:val="222"/>
          <w:rFonts w:hint="eastAsia" w:eastAsia="宋体" w:cs="宋体"/>
          <w:strike w:val="0"/>
          <w:dstrike w:val="0"/>
          <w:color w:val="auto"/>
          <w:sz w:val="21"/>
          <w:szCs w:val="21"/>
          <w:highlight w:val="none"/>
          <w:lang w:val="en-US" w:eastAsia="zh-CN"/>
        </w:rPr>
        <w:t>经发包人和监理验收合格的，</w:t>
      </w:r>
      <w:r>
        <w:rPr>
          <w:rStyle w:val="222"/>
          <w:rFonts w:hint="eastAsia" w:eastAsia="宋体" w:cs="宋体"/>
          <w:color w:val="auto"/>
          <w:sz w:val="21"/>
          <w:szCs w:val="21"/>
          <w:highlight w:val="none"/>
        </w:rPr>
        <w:t>所有权归发包人所有，承包人需确保发包人享有排他的、不受干扰的、没有瑕疵的所有权。</w:t>
      </w:r>
    </w:p>
    <w:p w14:paraId="3BF6C37D">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9</w:t>
      </w:r>
      <w:r>
        <w:rPr>
          <w:rStyle w:val="222"/>
          <w:rFonts w:hint="eastAsia" w:eastAsia="宋体" w:cs="宋体"/>
          <w:color w:val="auto"/>
          <w:sz w:val="21"/>
          <w:szCs w:val="21"/>
          <w:highlight w:val="none"/>
        </w:rPr>
        <w:t>.1.8承包人应当按照设备的使用数量、设备或元器件的故障率或消耗率、合同要求提供的备品备件储备于本项目实施地（发包人提供的设备除外），以确保在项目现场及时消除缺陷，否则由此导致的发包人经济损失全部由承包人承担。</w:t>
      </w:r>
    </w:p>
    <w:p w14:paraId="6CA503AF">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9.</w:t>
      </w:r>
      <w:r>
        <w:rPr>
          <w:rStyle w:val="222"/>
          <w:rFonts w:hint="eastAsia" w:eastAsia="宋体" w:cs="宋体"/>
          <w:color w:val="auto"/>
          <w:sz w:val="21"/>
          <w:szCs w:val="21"/>
          <w:highlight w:val="none"/>
        </w:rPr>
        <w:t>1.9 承包人所采购的设备、材料造成发包人的损失，包括但不限于发电量减少导致的电费收入损失、电站暂停运行导致的电费收入损失、电力管理部门考核对发包人的处罚以及人力等其他费用，均由承包人承担。</w:t>
      </w:r>
    </w:p>
    <w:p w14:paraId="1C4B16EA">
      <w:pPr>
        <w:pStyle w:val="28"/>
        <w:rPr>
          <w:rFonts w:hint="default" w:eastAsia="宋体"/>
          <w:color w:val="auto"/>
          <w:highlight w:val="none"/>
          <w:lang w:val="en-US" w:eastAsia="zh-CN"/>
        </w:rPr>
      </w:pPr>
      <w:r>
        <w:rPr>
          <w:rStyle w:val="222"/>
          <w:rFonts w:hint="eastAsia" w:cs="宋体"/>
          <w:color w:val="auto"/>
          <w:sz w:val="21"/>
          <w:szCs w:val="21"/>
          <w:highlight w:val="none"/>
          <w:lang w:val="en-US" w:eastAsia="zh-CN"/>
        </w:rPr>
        <w:t>9.1.</w:t>
      </w:r>
      <w:r>
        <w:rPr>
          <w:rStyle w:val="222"/>
          <w:rFonts w:hint="eastAsia" w:eastAsia="宋体" w:cs="宋体"/>
          <w:color w:val="auto"/>
          <w:kern w:val="2"/>
          <w:sz w:val="21"/>
          <w:szCs w:val="21"/>
          <w:highlight w:val="none"/>
          <w:lang w:val="en-US" w:eastAsia="zh-CN" w:bidi="ar-SA"/>
        </w:rPr>
        <w:t>10承包人在投标时所响应的设备品牌，在项目实施时无特殊原因应使用响应的设备品牌，或在发包人推荐的品牌中选择并经发包人认可，如不使用，需书面向发包人及监理单位申请，经发包人同意后可更换设备品牌。</w:t>
      </w:r>
    </w:p>
    <w:p w14:paraId="2722C4FC">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9</w:t>
      </w:r>
      <w:r>
        <w:rPr>
          <w:rStyle w:val="222"/>
          <w:rFonts w:hint="eastAsia" w:eastAsia="宋体" w:cs="宋体"/>
          <w:color w:val="auto"/>
          <w:sz w:val="21"/>
          <w:szCs w:val="21"/>
          <w:highlight w:val="none"/>
        </w:rPr>
        <w:t>.2发包人设备</w:t>
      </w:r>
    </w:p>
    <w:p w14:paraId="41B41DFA">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9</w:t>
      </w:r>
      <w:r>
        <w:rPr>
          <w:rStyle w:val="222"/>
          <w:rFonts w:hint="eastAsia" w:eastAsia="宋体" w:cs="宋体"/>
          <w:color w:val="auto"/>
          <w:sz w:val="21"/>
          <w:szCs w:val="21"/>
          <w:highlight w:val="none"/>
        </w:rPr>
        <w:t>.2.</w:t>
      </w:r>
      <w:r>
        <w:rPr>
          <w:rStyle w:val="222"/>
          <w:rFonts w:hint="eastAsia" w:eastAsia="宋体" w:cs="宋体"/>
          <w:color w:val="auto"/>
          <w:sz w:val="21"/>
          <w:szCs w:val="21"/>
          <w:highlight w:val="none"/>
          <w:lang w:val="en-US" w:eastAsia="zh-CN"/>
        </w:rPr>
        <w:t>1</w:t>
      </w:r>
      <w:r>
        <w:rPr>
          <w:rStyle w:val="222"/>
          <w:rFonts w:hint="eastAsia" w:eastAsia="宋体" w:cs="宋体"/>
          <w:color w:val="auto"/>
          <w:sz w:val="21"/>
          <w:szCs w:val="21"/>
          <w:highlight w:val="none"/>
        </w:rPr>
        <w:t>发包人应当按照承包人提供的施工计划所要求的时间向承包人提供发包人设备。</w:t>
      </w:r>
    </w:p>
    <w:p w14:paraId="40C05FF3">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9</w:t>
      </w:r>
      <w:r>
        <w:rPr>
          <w:rStyle w:val="222"/>
          <w:rFonts w:hint="eastAsia" w:eastAsia="宋体" w:cs="宋体"/>
          <w:color w:val="auto"/>
          <w:sz w:val="21"/>
          <w:szCs w:val="21"/>
          <w:highlight w:val="none"/>
        </w:rPr>
        <w:t>.2.</w:t>
      </w:r>
      <w:r>
        <w:rPr>
          <w:rStyle w:val="222"/>
          <w:rFonts w:hint="eastAsia" w:eastAsia="宋体" w:cs="宋体"/>
          <w:color w:val="auto"/>
          <w:sz w:val="21"/>
          <w:szCs w:val="21"/>
          <w:highlight w:val="none"/>
          <w:lang w:val="en-US" w:eastAsia="zh-CN"/>
        </w:rPr>
        <w:t>2</w:t>
      </w:r>
      <w:r>
        <w:rPr>
          <w:rStyle w:val="222"/>
          <w:rFonts w:hint="eastAsia" w:eastAsia="宋体" w:cs="宋体"/>
          <w:color w:val="auto"/>
          <w:sz w:val="21"/>
          <w:szCs w:val="21"/>
          <w:highlight w:val="none"/>
        </w:rPr>
        <w:t>承包人应负责发包人设备的现场卸货、场内二次搬运、保管、储存等工作，承包人承担上述工作的费用已经包含在本合同单价中，发包人无需向承包人支付其他任何费用。如因承包人管理不善造成发包人设备损坏或者灭失的，承包人应负责进行更换（承包人向发包人进行购买），或者承包人按照发包人的购买价格予以赔偿，若工期延误的，不予延期，由此造成发包人经济损失的，承包人应当予以赔偿。</w:t>
      </w:r>
    </w:p>
    <w:p w14:paraId="472CCF0F">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9</w:t>
      </w:r>
      <w:r>
        <w:rPr>
          <w:rStyle w:val="222"/>
          <w:rFonts w:hint="eastAsia" w:eastAsia="宋体" w:cs="宋体"/>
          <w:color w:val="auto"/>
          <w:sz w:val="21"/>
          <w:szCs w:val="21"/>
          <w:highlight w:val="none"/>
        </w:rPr>
        <w:t>.3监造</w:t>
      </w:r>
    </w:p>
    <w:p w14:paraId="2BBA2C97">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发包人有权要求对承包人采购的设备材料进行监造，承包人应当提供积极配合。</w:t>
      </w:r>
    </w:p>
    <w:p w14:paraId="23F6C02E">
      <w:pPr>
        <w:keepNext w:val="0"/>
        <w:keepLines w:val="0"/>
        <w:pageBreakBefore w:val="0"/>
        <w:widowControl/>
        <w:numPr>
          <w:ilvl w:val="0"/>
          <w:numId w:val="8"/>
        </w:numPr>
        <w:tabs>
          <w:tab w:val="left" w:pos="220"/>
        </w:tabs>
        <w:kinsoku/>
        <w:wordWrap/>
        <w:overflowPunct/>
        <w:topLinePunct w:val="0"/>
        <w:autoSpaceDE/>
        <w:autoSpaceDN/>
        <w:bidi w:val="0"/>
        <w:adjustRightInd w:val="0"/>
        <w:snapToGrid w:val="0"/>
        <w:spacing w:line="440" w:lineRule="exact"/>
        <w:ind w:left="-17" w:leftChars="0" w:right="250" w:rightChars="119" w:firstLine="420" w:firstLineChars="200"/>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设计</w:t>
      </w:r>
    </w:p>
    <w:p w14:paraId="57A05CD4">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10</w:t>
      </w:r>
      <w:r>
        <w:rPr>
          <w:rStyle w:val="222"/>
          <w:rFonts w:hint="eastAsia" w:eastAsia="宋体" w:cs="宋体"/>
          <w:color w:val="auto"/>
          <w:sz w:val="21"/>
          <w:szCs w:val="21"/>
          <w:highlight w:val="none"/>
        </w:rPr>
        <w:t>.1设计内容</w:t>
      </w:r>
    </w:p>
    <w:p w14:paraId="372229C5">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10</w:t>
      </w:r>
      <w:r>
        <w:rPr>
          <w:rStyle w:val="222"/>
          <w:rFonts w:hint="eastAsia" w:eastAsia="宋体" w:cs="宋体"/>
          <w:color w:val="auto"/>
          <w:sz w:val="21"/>
          <w:szCs w:val="21"/>
          <w:highlight w:val="none"/>
        </w:rPr>
        <w:t>.1.1初步设计</w:t>
      </w:r>
    </w:p>
    <w:p w14:paraId="0CF9DB3F">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rPr>
        <w:t>含</w:t>
      </w:r>
      <w:r>
        <w:rPr>
          <w:rStyle w:val="222"/>
          <w:rFonts w:hint="eastAsia" w:cs="宋体"/>
          <w:color w:val="auto"/>
          <w:sz w:val="21"/>
          <w:szCs w:val="21"/>
          <w:highlight w:val="none"/>
          <w:lang w:val="en-US" w:eastAsia="zh-CN"/>
        </w:rPr>
        <w:t>地</w:t>
      </w:r>
      <w:r>
        <w:rPr>
          <w:rStyle w:val="222"/>
          <w:rFonts w:hint="eastAsia" w:eastAsia="宋体" w:cs="宋体"/>
          <w:color w:val="auto"/>
          <w:sz w:val="21"/>
          <w:szCs w:val="21"/>
          <w:highlight w:val="none"/>
        </w:rPr>
        <w:t>勘报告、初步设计报告、图纸、概算编制</w:t>
      </w:r>
      <w:r>
        <w:rPr>
          <w:rStyle w:val="222"/>
          <w:rFonts w:hint="eastAsia" w:cs="宋体"/>
          <w:color w:val="auto"/>
          <w:sz w:val="21"/>
          <w:szCs w:val="21"/>
          <w:highlight w:val="none"/>
          <w:lang w:eastAsia="zh-CN"/>
        </w:rPr>
        <w:t>、</w:t>
      </w:r>
      <w:r>
        <w:rPr>
          <w:rStyle w:val="222"/>
          <w:rFonts w:hint="eastAsia" w:cs="宋体"/>
          <w:color w:val="auto"/>
          <w:sz w:val="21"/>
          <w:szCs w:val="21"/>
          <w:highlight w:val="none"/>
          <w:lang w:val="en-US" w:eastAsia="zh-CN"/>
        </w:rPr>
        <w:t>结构验算书</w:t>
      </w:r>
      <w:r>
        <w:rPr>
          <w:rStyle w:val="222"/>
          <w:rFonts w:hint="eastAsia" w:eastAsia="宋体" w:cs="宋体"/>
          <w:color w:val="auto"/>
          <w:sz w:val="21"/>
          <w:szCs w:val="21"/>
          <w:highlight w:val="none"/>
        </w:rPr>
        <w:t>等。</w:t>
      </w:r>
    </w:p>
    <w:p w14:paraId="28DBB347">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10</w:t>
      </w:r>
      <w:r>
        <w:rPr>
          <w:rStyle w:val="222"/>
          <w:rFonts w:hint="eastAsia" w:eastAsia="宋体" w:cs="宋体"/>
          <w:color w:val="auto"/>
          <w:sz w:val="21"/>
          <w:szCs w:val="21"/>
          <w:highlight w:val="none"/>
        </w:rPr>
        <w:t>.1.2施工图设计</w:t>
      </w:r>
    </w:p>
    <w:p w14:paraId="48B5CD9E">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rPr>
        <w:t>主要包括：光伏电站总图布置、</w:t>
      </w:r>
      <w:r>
        <w:rPr>
          <w:rStyle w:val="222"/>
          <w:rFonts w:hint="eastAsia" w:cs="宋体"/>
          <w:color w:val="auto"/>
          <w:sz w:val="21"/>
          <w:szCs w:val="21"/>
          <w:highlight w:val="none"/>
          <w:lang w:val="en-US" w:eastAsia="zh-CN"/>
        </w:rPr>
        <w:t>钢结构设计、</w:t>
      </w:r>
      <w:r>
        <w:rPr>
          <w:rStyle w:val="222"/>
          <w:rFonts w:hint="eastAsia" w:eastAsia="宋体" w:cs="宋体"/>
          <w:color w:val="auto"/>
          <w:sz w:val="21"/>
          <w:szCs w:val="21"/>
          <w:highlight w:val="none"/>
        </w:rPr>
        <w:t>围栏与道路设计（如有）、光伏发电支架及基础、设备基础、集电线路设计、光伏发电设备选型及布置、光伏发电系统设计、电气一次设计、电气二次设计、电站监控、火灾报警及系统通信、送出线路设计工作等</w:t>
      </w:r>
      <w:r>
        <w:rPr>
          <w:rStyle w:val="222"/>
          <w:rFonts w:hint="eastAsia" w:eastAsia="宋体" w:cs="宋体"/>
          <w:color w:val="auto"/>
          <w:sz w:val="21"/>
          <w:szCs w:val="21"/>
          <w:highlight w:val="none"/>
          <w:lang w:val="en-US" w:eastAsia="zh-CN"/>
        </w:rPr>
        <w:t>一切本工程实施所必须的图纸</w:t>
      </w:r>
      <w:r>
        <w:rPr>
          <w:rStyle w:val="222"/>
          <w:rFonts w:hint="eastAsia" w:eastAsia="宋体" w:cs="宋体"/>
          <w:color w:val="auto"/>
          <w:sz w:val="21"/>
          <w:szCs w:val="21"/>
          <w:highlight w:val="none"/>
        </w:rPr>
        <w:t>。</w:t>
      </w:r>
    </w:p>
    <w:p w14:paraId="599109FB">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10</w:t>
      </w:r>
      <w:r>
        <w:rPr>
          <w:rStyle w:val="222"/>
          <w:rFonts w:hint="eastAsia" w:eastAsia="宋体" w:cs="宋体"/>
          <w:color w:val="auto"/>
          <w:sz w:val="21"/>
          <w:szCs w:val="21"/>
          <w:highlight w:val="none"/>
        </w:rPr>
        <w:t>.1.3竣工图编制</w:t>
      </w:r>
    </w:p>
    <w:p w14:paraId="10895E14">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rPr>
        <w:t>依据本工程的升版图、《设计变更（变更设计）通知单》，施工单位、调试单位或发包人《工程联系单》等有关文件，编制竣工图。</w:t>
      </w:r>
    </w:p>
    <w:p w14:paraId="249D614D">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10</w:t>
      </w:r>
      <w:r>
        <w:rPr>
          <w:rStyle w:val="222"/>
          <w:rFonts w:hint="eastAsia" w:eastAsia="宋体" w:cs="宋体"/>
          <w:color w:val="auto"/>
          <w:sz w:val="21"/>
          <w:szCs w:val="21"/>
          <w:highlight w:val="none"/>
        </w:rPr>
        <w:t>.2设计质量要求</w:t>
      </w:r>
    </w:p>
    <w:p w14:paraId="3CD01176">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10</w:t>
      </w:r>
      <w:r>
        <w:rPr>
          <w:rStyle w:val="222"/>
          <w:rFonts w:hint="eastAsia" w:eastAsia="宋体" w:cs="宋体"/>
          <w:color w:val="auto"/>
          <w:sz w:val="21"/>
          <w:szCs w:val="21"/>
          <w:highlight w:val="none"/>
        </w:rPr>
        <w:t>.2.1在保证电站项目安全可靠运行的前提下，突出体现经济性、合理性和先进性。要以经济效益为中心，采用成熟先进的设计思路、设计手段和设计方案，提高电站的综合水平，降低消耗和运行管理成本。</w:t>
      </w:r>
    </w:p>
    <w:p w14:paraId="4AE2DADF">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10</w:t>
      </w:r>
      <w:r>
        <w:rPr>
          <w:rStyle w:val="222"/>
          <w:rFonts w:hint="eastAsia" w:eastAsia="宋体" w:cs="宋体"/>
          <w:color w:val="auto"/>
          <w:sz w:val="21"/>
          <w:szCs w:val="21"/>
          <w:highlight w:val="none"/>
        </w:rPr>
        <w:t>.2.2系统效率保证：光伏电站系统的整体效率要满足大于等于80%。发包人提供的设备效率与承包人提供的最终版本的技术规范要求应相符合。</w:t>
      </w:r>
    </w:p>
    <w:p w14:paraId="09A7EDA7">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10</w:t>
      </w:r>
      <w:r>
        <w:rPr>
          <w:rStyle w:val="222"/>
          <w:rFonts w:hint="eastAsia" w:eastAsia="宋体" w:cs="宋体"/>
          <w:color w:val="auto"/>
          <w:sz w:val="21"/>
          <w:szCs w:val="21"/>
          <w:highlight w:val="none"/>
        </w:rPr>
        <w:t>.2.3承包人应具备在项目现场开展项目设计的相关资质，并自行解决和设计资质及项目地设计主管单位备案相关的事宜。</w:t>
      </w:r>
    </w:p>
    <w:p w14:paraId="4C76580E">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10</w:t>
      </w:r>
      <w:r>
        <w:rPr>
          <w:rStyle w:val="222"/>
          <w:rFonts w:hint="eastAsia" w:eastAsia="宋体" w:cs="宋体"/>
          <w:color w:val="auto"/>
          <w:sz w:val="21"/>
          <w:szCs w:val="21"/>
          <w:highlight w:val="none"/>
        </w:rPr>
        <w:t>.2.4 设计应符合现行相应行业最新的设计规范，施工图及预算通过业主和相关部门审查，施工图达到施工深度要求，经发包人同意后承包人方可实施。</w:t>
      </w:r>
    </w:p>
    <w:p w14:paraId="284C8582">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10</w:t>
      </w:r>
      <w:r>
        <w:rPr>
          <w:rStyle w:val="222"/>
          <w:rFonts w:hint="eastAsia" w:eastAsia="宋体" w:cs="宋体"/>
          <w:color w:val="auto"/>
          <w:sz w:val="21"/>
          <w:szCs w:val="21"/>
          <w:highlight w:val="none"/>
        </w:rPr>
        <w:t>.2.5 设计中所列出的主要设备、关键元器件，必须符合发包人推荐品牌要求。</w:t>
      </w:r>
    </w:p>
    <w:p w14:paraId="1FC59602">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10</w:t>
      </w:r>
      <w:r>
        <w:rPr>
          <w:rStyle w:val="222"/>
          <w:rFonts w:hint="eastAsia" w:eastAsia="宋体" w:cs="宋体"/>
          <w:color w:val="auto"/>
          <w:sz w:val="21"/>
          <w:szCs w:val="21"/>
          <w:highlight w:val="none"/>
        </w:rPr>
        <w:t>.3设计文件的审查和确认</w:t>
      </w:r>
    </w:p>
    <w:p w14:paraId="1EAFDFF0">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10</w:t>
      </w:r>
      <w:r>
        <w:rPr>
          <w:rStyle w:val="222"/>
          <w:rFonts w:hint="eastAsia" w:eastAsia="宋体" w:cs="宋体"/>
          <w:color w:val="auto"/>
          <w:sz w:val="21"/>
          <w:szCs w:val="21"/>
          <w:highlight w:val="none"/>
        </w:rPr>
        <w:t>.3.1承包人按国家及行业有关规定，呈交符合各设计阶段内容、深度和要求的图纸文件供审查之用，且审核文件应齐全，文件包括但不限于初步设计方案、技术规范书、技术协议等，发包人组织并对上述文件进行确认和审查，审查通过后方可实施，承包人应积极予以配合。</w:t>
      </w:r>
    </w:p>
    <w:p w14:paraId="63C647B0">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10</w:t>
      </w:r>
      <w:r>
        <w:rPr>
          <w:rStyle w:val="222"/>
          <w:rFonts w:hint="eastAsia" w:eastAsia="宋体" w:cs="宋体"/>
          <w:color w:val="auto"/>
          <w:sz w:val="21"/>
          <w:szCs w:val="21"/>
          <w:highlight w:val="none"/>
        </w:rPr>
        <w:t>.3.2承包人交付设计文件后，参加由发包人组织的有关审查。根据审查结论进行必要的修改补充，若审定的设计原则较之前有重大变更而重做或修改设计时，双方应协商确定相关事宜。</w:t>
      </w:r>
    </w:p>
    <w:p w14:paraId="3844FFA4">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10</w:t>
      </w:r>
      <w:r>
        <w:rPr>
          <w:rStyle w:val="222"/>
          <w:rFonts w:hint="eastAsia" w:eastAsia="宋体" w:cs="宋体"/>
          <w:color w:val="auto"/>
          <w:sz w:val="21"/>
          <w:szCs w:val="21"/>
          <w:highlight w:val="none"/>
        </w:rPr>
        <w:t>.3.3 对于屋顶分布式项目，承包人应提供具备合格资质的单位出具的荷载报告计算书（签字盖章）。</w:t>
      </w:r>
    </w:p>
    <w:p w14:paraId="04E0F6FC">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10</w:t>
      </w:r>
      <w:r>
        <w:rPr>
          <w:rStyle w:val="222"/>
          <w:rFonts w:hint="eastAsia" w:eastAsia="宋体" w:cs="宋体"/>
          <w:color w:val="auto"/>
          <w:sz w:val="21"/>
          <w:szCs w:val="21"/>
          <w:highlight w:val="none"/>
        </w:rPr>
        <w:t>.3.4发包人组织并对施工用设计图纸进行确认或施工图会审工作，承包人需提供必要的配合。对审图提出的问题承包人应在会议结束后3个工作日内予以修改完成。</w:t>
      </w:r>
    </w:p>
    <w:p w14:paraId="23FD4678">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10</w:t>
      </w:r>
      <w:r>
        <w:rPr>
          <w:rStyle w:val="222"/>
          <w:rFonts w:hint="eastAsia" w:eastAsia="宋体" w:cs="宋体"/>
          <w:color w:val="auto"/>
          <w:sz w:val="21"/>
          <w:szCs w:val="21"/>
          <w:highlight w:val="none"/>
        </w:rPr>
        <w:t>.3.5 外部施工图审查和消防审查</w:t>
      </w:r>
    </w:p>
    <w:p w14:paraId="55FBA8DD">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rPr>
        <w:t>承包人应配合项目所在地施工图审查机构、消防审查机构组织的施工图审查和消防审查，对审查机构提出的修改和整改意见及时响应，保证项目顺利通过相关审查。</w:t>
      </w:r>
    </w:p>
    <w:p w14:paraId="4368BEBA">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10</w:t>
      </w:r>
      <w:r>
        <w:rPr>
          <w:rStyle w:val="222"/>
          <w:rFonts w:hint="eastAsia" w:eastAsia="宋体" w:cs="宋体"/>
          <w:color w:val="auto"/>
          <w:sz w:val="21"/>
          <w:szCs w:val="21"/>
          <w:highlight w:val="none"/>
        </w:rPr>
        <w:t>.4设计文件份数</w:t>
      </w:r>
    </w:p>
    <w:p w14:paraId="30288B75">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rPr>
        <w:t>承包人提供设计纸质文件份数如下：</w:t>
      </w:r>
    </w:p>
    <w:p w14:paraId="29510E3C">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rPr>
        <w:t>工程概算八份，</w:t>
      </w:r>
    </w:p>
    <w:p w14:paraId="2EB8250C">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rPr>
        <w:t>施工图设计八份，</w:t>
      </w:r>
    </w:p>
    <w:p w14:paraId="1435A041">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rPr>
        <w:t>鸟瞰图一份，</w:t>
      </w:r>
    </w:p>
    <w:p w14:paraId="626FAC6E">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rPr>
        <w:t>竣工图八份。</w:t>
      </w:r>
    </w:p>
    <w:p w14:paraId="07BCC885">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rPr>
        <w:t>上述提供的设计文件不包括设计中采用国家、各部和各省、自治区、直辖市颁发的标准构配件图纸。</w:t>
      </w:r>
    </w:p>
    <w:p w14:paraId="67CC07E7">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rPr>
        <w:t>同时，承包人需向发包人提供上述文件</w:t>
      </w:r>
      <w:r>
        <w:rPr>
          <w:rStyle w:val="222"/>
          <w:rFonts w:hint="eastAsia" w:eastAsia="宋体" w:cs="宋体"/>
          <w:color w:val="auto"/>
          <w:sz w:val="21"/>
          <w:szCs w:val="21"/>
          <w:highlight w:val="none"/>
          <w:lang w:val="en-US" w:eastAsia="zh-CN"/>
        </w:rPr>
        <w:t>同版本</w:t>
      </w:r>
      <w:r>
        <w:rPr>
          <w:rStyle w:val="222"/>
          <w:rFonts w:hint="eastAsia" w:eastAsia="宋体" w:cs="宋体"/>
          <w:color w:val="auto"/>
          <w:sz w:val="21"/>
          <w:szCs w:val="21"/>
          <w:highlight w:val="none"/>
        </w:rPr>
        <w:t>的CAD电子版一份及计算书。承包人须提供其负责的设计文件，该等设计文件的提供将作为通过竣工验收的必要条件之一，承包人在竣工验收前将设计文件发送给发包人保存存档。</w:t>
      </w:r>
    </w:p>
    <w:p w14:paraId="68D3DBF7">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10</w:t>
      </w:r>
      <w:r>
        <w:rPr>
          <w:rStyle w:val="222"/>
          <w:rFonts w:hint="eastAsia" w:eastAsia="宋体" w:cs="宋体"/>
          <w:color w:val="auto"/>
          <w:sz w:val="21"/>
          <w:szCs w:val="21"/>
          <w:highlight w:val="none"/>
        </w:rPr>
        <w:t>.5设计工期</w:t>
      </w:r>
    </w:p>
    <w:p w14:paraId="71A5F659">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10</w:t>
      </w:r>
      <w:r>
        <w:rPr>
          <w:rStyle w:val="222"/>
          <w:rFonts w:hint="eastAsia" w:eastAsia="宋体" w:cs="宋体"/>
          <w:color w:val="auto"/>
          <w:sz w:val="21"/>
          <w:szCs w:val="21"/>
          <w:highlight w:val="none"/>
        </w:rPr>
        <w:t>.5.1除竣工图外，承包人应当按照本项目工程的设计工期需要或者发包人的具体时间要求向发包人提交设计文件</w:t>
      </w:r>
      <w:r>
        <w:rPr>
          <w:rStyle w:val="222"/>
          <w:rFonts w:hint="eastAsia" w:eastAsia="宋体" w:cs="宋体"/>
          <w:color w:val="auto"/>
          <w:sz w:val="21"/>
          <w:szCs w:val="21"/>
          <w:highlight w:val="none"/>
          <w:lang w:val="en-US" w:eastAsia="zh-CN"/>
        </w:rPr>
        <w:t>包括电子版和CAD电子版图纸</w:t>
      </w:r>
      <w:r>
        <w:rPr>
          <w:rStyle w:val="222"/>
          <w:rFonts w:hint="eastAsia" w:eastAsia="宋体" w:cs="宋体"/>
          <w:color w:val="auto"/>
          <w:sz w:val="21"/>
          <w:szCs w:val="21"/>
          <w:highlight w:val="none"/>
        </w:rPr>
        <w:t>。</w:t>
      </w:r>
    </w:p>
    <w:p w14:paraId="6A6AEEEE">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10</w:t>
      </w:r>
      <w:r>
        <w:rPr>
          <w:rStyle w:val="222"/>
          <w:rFonts w:hint="eastAsia" w:eastAsia="宋体" w:cs="宋体"/>
          <w:color w:val="auto"/>
          <w:sz w:val="21"/>
          <w:szCs w:val="21"/>
          <w:highlight w:val="none"/>
        </w:rPr>
        <w:t>.5.2承包人应当在本项目工程完工、满发并网发电后的</w:t>
      </w:r>
      <w:r>
        <w:rPr>
          <w:rStyle w:val="222"/>
          <w:rFonts w:hint="eastAsia" w:eastAsia="宋体" w:cs="宋体"/>
          <w:strike w:val="0"/>
          <w:dstrike w:val="0"/>
          <w:color w:val="auto"/>
          <w:sz w:val="21"/>
          <w:szCs w:val="21"/>
          <w:highlight w:val="none"/>
          <w:lang w:val="en-US" w:eastAsia="zh-CN"/>
        </w:rPr>
        <w:t xml:space="preserve"> 25</w:t>
      </w:r>
      <w:r>
        <w:rPr>
          <w:rStyle w:val="222"/>
          <w:rFonts w:hint="eastAsia" w:eastAsia="宋体" w:cs="宋体"/>
          <w:color w:val="auto"/>
          <w:sz w:val="21"/>
          <w:szCs w:val="21"/>
          <w:highlight w:val="none"/>
        </w:rPr>
        <w:t>个工作日内向发包人提供竣工图纸</w:t>
      </w:r>
      <w:r>
        <w:rPr>
          <w:rStyle w:val="222"/>
          <w:rFonts w:hint="eastAsia" w:ascii="宋体" w:hAnsi="宋体" w:eastAsia="宋体" w:cs="宋体"/>
          <w:color w:val="auto"/>
          <w:sz w:val="21"/>
          <w:szCs w:val="21"/>
          <w:highlight w:val="none"/>
          <w:lang w:eastAsia="zh-CN"/>
        </w:rPr>
        <w:t>及完整的项目资料</w:t>
      </w:r>
      <w:r>
        <w:rPr>
          <w:rStyle w:val="222"/>
          <w:rFonts w:hint="eastAsia" w:eastAsia="宋体" w:cs="宋体"/>
          <w:color w:val="auto"/>
          <w:sz w:val="21"/>
          <w:szCs w:val="21"/>
          <w:highlight w:val="none"/>
        </w:rPr>
        <w:t>，否则，发包人有权拒绝开展竣工验收工作。</w:t>
      </w:r>
    </w:p>
    <w:p w14:paraId="46536A1F">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10</w:t>
      </w:r>
      <w:r>
        <w:rPr>
          <w:rStyle w:val="222"/>
          <w:rFonts w:hint="eastAsia" w:eastAsia="宋体" w:cs="宋体"/>
          <w:color w:val="auto"/>
          <w:sz w:val="21"/>
          <w:szCs w:val="21"/>
          <w:highlight w:val="none"/>
        </w:rPr>
        <w:t>.6设计错误</w:t>
      </w:r>
    </w:p>
    <w:p w14:paraId="6B3E8ED1">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rPr>
        <w:t>如果在承包人设计文件中发现有错误、遗漏、含糊、不一致、不适当或其他缺陷，承包人应自费对这些缺陷和其带来的工程问题进行改正。</w:t>
      </w:r>
    </w:p>
    <w:p w14:paraId="494A2DED">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rPr>
        <w:t>因承包人设计文件未考虑屋顶遮挡情况导致最终发包人建设的项目电站存在遮挡问题的，则由此导致的发包人全部经济损失（包括但不限于发包人项目电站因受遮挡所遭受的发电量损失、项目电站受遮挡部分的设备及施工费用、项目电站受遮挡部分拆除费用以及其他因承包人设计文件未考虑屋顶遮挡情况所导致的发包人项目电站所遭受的直接或间接经济损失等）均由承包人承担。</w:t>
      </w:r>
    </w:p>
    <w:p w14:paraId="1851CD06">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rPr>
        <w:t>由于承包人原因导致设计错误的，承包人除负责采取补救措施外，应免收损失部分的设计费，造成发包人经济损失（包括但不限于发包人或者发包人关联公司进行项目整改所涉及的全部费用、设计错误导致发包人项目出现质量事故所导致的发包人的全部经济损失等）的，承包人应当予以全额赔偿。</w:t>
      </w:r>
    </w:p>
    <w:p w14:paraId="43881F4F">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10</w:t>
      </w:r>
      <w:r>
        <w:rPr>
          <w:rStyle w:val="222"/>
          <w:rFonts w:hint="eastAsia" w:eastAsia="宋体" w:cs="宋体"/>
          <w:color w:val="auto"/>
          <w:sz w:val="21"/>
          <w:szCs w:val="21"/>
          <w:highlight w:val="none"/>
        </w:rPr>
        <w:t>.7设计变更</w:t>
      </w:r>
    </w:p>
    <w:p w14:paraId="33D8E7E2">
      <w:pPr>
        <w:spacing w:line="360" w:lineRule="auto"/>
        <w:ind w:firstLine="413" w:firstLineChars="197"/>
        <w:rPr>
          <w:rStyle w:val="222"/>
          <w:rFonts w:hint="eastAsia" w:eastAsia="宋体" w:cs="宋体"/>
          <w:color w:val="auto"/>
          <w:sz w:val="21"/>
          <w:szCs w:val="21"/>
          <w:highlight w:val="none"/>
        </w:rPr>
      </w:pPr>
      <w:r>
        <w:rPr>
          <w:rStyle w:val="222"/>
          <w:rFonts w:hint="eastAsia" w:eastAsia="宋体" w:cs="宋体"/>
          <w:color w:val="auto"/>
          <w:sz w:val="21"/>
          <w:szCs w:val="21"/>
          <w:highlight w:val="none"/>
        </w:rPr>
        <w:t>一切设计变更、材料更换、技术问题联系单均采用书面形式，且经双方盖章方为有效。</w:t>
      </w:r>
    </w:p>
    <w:p w14:paraId="66FCD1EC">
      <w:pPr>
        <w:pStyle w:val="2"/>
        <w:ind w:left="0" w:leftChars="0" w:firstLine="420" w:firstLineChars="200"/>
        <w:rPr>
          <w:rStyle w:val="222"/>
          <w:rFonts w:hint="eastAsia" w:eastAsia="宋体" w:cs="宋体"/>
          <w:color w:val="auto"/>
          <w:sz w:val="21"/>
          <w:szCs w:val="21"/>
          <w:highlight w:val="none"/>
          <w:lang w:val="en-US" w:eastAsia="zh-CN"/>
        </w:rPr>
      </w:pPr>
      <w:r>
        <w:rPr>
          <w:rStyle w:val="222"/>
          <w:rFonts w:hint="eastAsia" w:eastAsia="宋体" w:cs="宋体"/>
          <w:color w:val="auto"/>
          <w:sz w:val="21"/>
          <w:szCs w:val="21"/>
          <w:highlight w:val="none"/>
          <w:lang w:val="en-US" w:eastAsia="zh-CN"/>
        </w:rPr>
        <w:t>10.8设计违约责任：</w:t>
      </w:r>
    </w:p>
    <w:p w14:paraId="641159DE">
      <w:pPr>
        <w:pStyle w:val="2"/>
        <w:ind w:left="0" w:leftChars="0" w:firstLine="420" w:firstLineChars="200"/>
        <w:rPr>
          <w:rStyle w:val="222"/>
          <w:rFonts w:hint="eastAsia" w:eastAsia="宋体" w:cs="宋体"/>
          <w:color w:val="auto"/>
          <w:sz w:val="21"/>
          <w:szCs w:val="21"/>
          <w:highlight w:val="none"/>
          <w:lang w:val="en-US" w:eastAsia="zh-CN"/>
        </w:rPr>
      </w:pPr>
      <w:r>
        <w:rPr>
          <w:rStyle w:val="222"/>
          <w:rFonts w:hint="eastAsia" w:eastAsia="宋体" w:cs="宋体"/>
          <w:color w:val="auto"/>
          <w:sz w:val="21"/>
          <w:szCs w:val="21"/>
          <w:highlight w:val="none"/>
          <w:lang w:val="en-US" w:eastAsia="zh-CN"/>
        </w:rPr>
        <w:t>10.8.1由于设计单位自身原因，延误了规定的设计资料及设计文件的交付时间，每延误一天，从履约保证金或工程款中扣除10000元人民币，延期达到合同总工期的50%及以上时，发包人有权解除合同，没收履约保证金并赔偿一切损失。</w:t>
      </w:r>
    </w:p>
    <w:p w14:paraId="5FAF6155">
      <w:pPr>
        <w:pStyle w:val="2"/>
        <w:ind w:left="0" w:leftChars="0" w:firstLine="420" w:firstLineChars="200"/>
        <w:rPr>
          <w:rStyle w:val="222"/>
          <w:rFonts w:hint="eastAsia" w:eastAsia="宋体" w:cs="宋体"/>
          <w:color w:val="auto"/>
          <w:sz w:val="21"/>
          <w:szCs w:val="21"/>
          <w:highlight w:val="none"/>
          <w:lang w:val="en-US" w:eastAsia="zh-CN"/>
        </w:rPr>
      </w:pPr>
      <w:r>
        <w:rPr>
          <w:rStyle w:val="222"/>
          <w:rFonts w:hint="eastAsia" w:eastAsia="宋体" w:cs="宋体"/>
          <w:color w:val="auto"/>
          <w:sz w:val="21"/>
          <w:szCs w:val="21"/>
          <w:highlight w:val="none"/>
          <w:lang w:val="en-US" w:eastAsia="zh-CN"/>
        </w:rPr>
        <w:t>10.8.2设计单位必须为施工全过程提供服务（包括设计变更、现场技术指导及验收等）。需要设计单位到达施工现场提供技术服务，而设计单位在2日内不能到达现场，每发生一次，从履约保证金或工程款中扣除5000元人民币。</w:t>
      </w:r>
    </w:p>
    <w:p w14:paraId="0B97CB24">
      <w:pPr>
        <w:pStyle w:val="2"/>
        <w:ind w:left="0" w:leftChars="0" w:firstLine="420" w:firstLineChars="200"/>
        <w:rPr>
          <w:rStyle w:val="222"/>
          <w:rFonts w:hint="eastAsia" w:eastAsia="宋体" w:cs="宋体"/>
          <w:color w:val="auto"/>
          <w:sz w:val="21"/>
          <w:szCs w:val="21"/>
          <w:highlight w:val="none"/>
          <w:lang w:val="en-US" w:eastAsia="zh-CN"/>
        </w:rPr>
      </w:pPr>
      <w:r>
        <w:rPr>
          <w:rStyle w:val="222"/>
          <w:rFonts w:hint="eastAsia" w:eastAsia="宋体" w:cs="宋体"/>
          <w:color w:val="auto"/>
          <w:sz w:val="21"/>
          <w:szCs w:val="21"/>
          <w:highlight w:val="none"/>
          <w:lang w:val="en-US" w:eastAsia="zh-CN"/>
        </w:rPr>
        <w:t>10.8.3施工过程中设计图纸变更和图纸答疑原则上在24小时内回复（外地设计单位可先回复扫描件。重大变更在3日内无法回复的，设计单位需提出书面说明理由注明回复时间并获得认可），未能在规定时间内给予回复的，每延期一天，从履约保证金或工程款中扣除10000元。</w:t>
      </w:r>
    </w:p>
    <w:p w14:paraId="7F15DFB3">
      <w:pPr>
        <w:pStyle w:val="2"/>
        <w:ind w:left="0" w:leftChars="0" w:firstLine="420" w:firstLineChars="200"/>
        <w:rPr>
          <w:rStyle w:val="222"/>
          <w:rFonts w:hint="eastAsia" w:eastAsia="宋体" w:cs="宋体"/>
          <w:color w:val="auto"/>
          <w:sz w:val="21"/>
          <w:szCs w:val="21"/>
          <w:highlight w:val="none"/>
          <w:lang w:val="en-US" w:eastAsia="zh-CN"/>
        </w:rPr>
      </w:pPr>
      <w:r>
        <w:rPr>
          <w:rStyle w:val="222"/>
          <w:rFonts w:hint="eastAsia" w:eastAsia="宋体" w:cs="宋体"/>
          <w:color w:val="auto"/>
          <w:sz w:val="21"/>
          <w:szCs w:val="21"/>
          <w:highlight w:val="none"/>
          <w:lang w:val="en-US" w:eastAsia="zh-CN"/>
        </w:rPr>
        <w:t>10.8.4项目负责人须直接组织并参加项目设计全过程，应参加会议汇报，在设计过程及后期施工过程中能解决施工中的设计技术问题、配合过程变更方案审查和参加过程验收等服务。如项目负责人缺席缺岗，不履行职责，予以2000元/次的处罚。如项目负责人仅为挂靠，不履行职责的，发包人有权终止合同。</w:t>
      </w:r>
    </w:p>
    <w:p w14:paraId="120B841B">
      <w:pPr>
        <w:pStyle w:val="2"/>
        <w:ind w:left="0" w:leftChars="0" w:firstLine="420" w:firstLineChars="200"/>
        <w:rPr>
          <w:rStyle w:val="222"/>
          <w:rFonts w:hint="eastAsia" w:eastAsia="宋体" w:cs="宋体"/>
          <w:color w:val="auto"/>
          <w:sz w:val="21"/>
          <w:szCs w:val="21"/>
          <w:highlight w:val="none"/>
          <w:lang w:val="en-US" w:eastAsia="zh-CN"/>
        </w:rPr>
      </w:pPr>
      <w:r>
        <w:rPr>
          <w:rStyle w:val="222"/>
          <w:rFonts w:hint="eastAsia" w:eastAsia="宋体" w:cs="宋体"/>
          <w:color w:val="auto"/>
          <w:sz w:val="21"/>
          <w:szCs w:val="21"/>
          <w:highlight w:val="none"/>
          <w:lang w:val="en-US" w:eastAsia="zh-CN"/>
        </w:rPr>
        <w:t>10.8.5项目施工期间，如要求设计单位配合的，设计单位应委派一名设计代表驻场办公，每月不少于两周驻场时间（施工关键期需长期驻场），每缺少一天，从履约保证金或工程款中扣除2000元人民币。如施工现场遇急需设计单位提供技术指导的，设计单位应及时配合解决。</w:t>
      </w:r>
    </w:p>
    <w:p w14:paraId="38995AF2">
      <w:pPr>
        <w:pStyle w:val="2"/>
        <w:ind w:left="0" w:leftChars="0" w:firstLine="420" w:firstLineChars="200"/>
        <w:rPr>
          <w:rStyle w:val="222"/>
          <w:rFonts w:hint="eastAsia" w:eastAsia="宋体" w:cs="宋体"/>
          <w:color w:val="auto"/>
          <w:sz w:val="21"/>
          <w:szCs w:val="21"/>
          <w:highlight w:val="none"/>
          <w:lang w:val="en-US" w:eastAsia="zh-CN"/>
        </w:rPr>
      </w:pPr>
      <w:r>
        <w:rPr>
          <w:rStyle w:val="222"/>
          <w:rFonts w:hint="eastAsia" w:eastAsia="宋体" w:cs="宋体"/>
          <w:color w:val="auto"/>
          <w:sz w:val="21"/>
          <w:szCs w:val="21"/>
          <w:highlight w:val="none"/>
          <w:lang w:val="en-US" w:eastAsia="zh-CN"/>
        </w:rPr>
        <w:t>10.9设计单位员职责</w:t>
      </w:r>
    </w:p>
    <w:p w14:paraId="73EFB662">
      <w:pPr>
        <w:pStyle w:val="2"/>
        <w:ind w:left="0" w:leftChars="0" w:firstLine="420" w:firstLineChars="200"/>
        <w:rPr>
          <w:rStyle w:val="222"/>
          <w:rFonts w:hint="eastAsia" w:eastAsia="宋体" w:cs="宋体"/>
          <w:color w:val="auto"/>
          <w:sz w:val="21"/>
          <w:szCs w:val="21"/>
          <w:highlight w:val="none"/>
          <w:lang w:val="en-US" w:eastAsia="zh-CN"/>
        </w:rPr>
      </w:pPr>
      <w:r>
        <w:rPr>
          <w:rStyle w:val="222"/>
          <w:rFonts w:hint="eastAsia" w:eastAsia="宋体" w:cs="宋体"/>
          <w:color w:val="auto"/>
          <w:sz w:val="21"/>
          <w:szCs w:val="21"/>
          <w:highlight w:val="none"/>
          <w:lang w:val="en-US" w:eastAsia="zh-CN"/>
        </w:rPr>
        <w:t>10.9.1设计单位应按国家技术规范、标准、规程、招标文件及发包人提出的设计要求，进行工程设计，按合同规定的进度要求提交质量合格的设计资料，并对其提交的设计资料负责。</w:t>
      </w:r>
    </w:p>
    <w:p w14:paraId="214DE0EE">
      <w:pPr>
        <w:pStyle w:val="2"/>
        <w:ind w:left="0" w:leftChars="0" w:firstLine="420" w:firstLineChars="200"/>
        <w:rPr>
          <w:rStyle w:val="222"/>
          <w:rFonts w:hint="eastAsia" w:eastAsia="宋体" w:cs="宋体"/>
          <w:color w:val="auto"/>
          <w:sz w:val="21"/>
          <w:szCs w:val="21"/>
          <w:highlight w:val="none"/>
          <w:lang w:val="en-US" w:eastAsia="zh-CN"/>
        </w:rPr>
      </w:pPr>
      <w:r>
        <w:rPr>
          <w:rStyle w:val="222"/>
          <w:rFonts w:hint="eastAsia" w:eastAsia="宋体" w:cs="宋体"/>
          <w:color w:val="auto"/>
          <w:sz w:val="21"/>
          <w:szCs w:val="21"/>
          <w:highlight w:val="none"/>
          <w:lang w:val="en-US" w:eastAsia="zh-CN"/>
        </w:rPr>
        <w:t>10.9.2设计单位交付设计资料及文件后，按规定参加有关的设计审查，并根据审查结论负责做必要调整补充，直至完成审查为止。设计单位按合同规定时限交付设计资料及文件，负责向中标单位进行设计交底、处理有关设计问题和参加竣工验收。</w:t>
      </w:r>
    </w:p>
    <w:p w14:paraId="5856D063">
      <w:pPr>
        <w:pStyle w:val="2"/>
        <w:ind w:left="0" w:leftChars="0" w:firstLine="420" w:firstLineChars="200"/>
        <w:rPr>
          <w:rStyle w:val="222"/>
          <w:rFonts w:hint="eastAsia" w:eastAsia="宋体" w:cs="宋体"/>
          <w:color w:val="auto"/>
          <w:sz w:val="21"/>
          <w:szCs w:val="21"/>
          <w:highlight w:val="none"/>
          <w:lang w:val="en-US" w:eastAsia="zh-CN"/>
        </w:rPr>
      </w:pPr>
      <w:r>
        <w:rPr>
          <w:rStyle w:val="222"/>
          <w:rFonts w:hint="eastAsia" w:eastAsia="宋体" w:cs="宋体"/>
          <w:color w:val="auto"/>
          <w:sz w:val="21"/>
          <w:szCs w:val="21"/>
          <w:highlight w:val="none"/>
          <w:lang w:val="en-US" w:eastAsia="zh-CN"/>
        </w:rPr>
        <w:t>10.9.3设计单位应保护发包人的知识产权，不得向第三人泄露、转让发包人提交的产品图纸等技术经济资料。如发生以上情况并给发包人造成经济损失，发包人有权向设计单位索赔。</w:t>
      </w:r>
    </w:p>
    <w:p w14:paraId="2EFBDAF7">
      <w:pPr>
        <w:pStyle w:val="2"/>
        <w:ind w:left="0" w:leftChars="0" w:firstLine="420" w:firstLineChars="200"/>
        <w:rPr>
          <w:rStyle w:val="222"/>
          <w:rFonts w:hint="eastAsia" w:eastAsia="宋体" w:cs="宋体"/>
          <w:color w:val="auto"/>
          <w:sz w:val="21"/>
          <w:szCs w:val="21"/>
          <w:highlight w:val="none"/>
          <w:lang w:val="en-US" w:eastAsia="zh-CN"/>
        </w:rPr>
      </w:pPr>
      <w:r>
        <w:rPr>
          <w:rStyle w:val="222"/>
          <w:rFonts w:hint="eastAsia" w:eastAsia="宋体" w:cs="宋体"/>
          <w:color w:val="auto"/>
          <w:sz w:val="21"/>
          <w:szCs w:val="21"/>
          <w:highlight w:val="none"/>
          <w:lang w:val="en-US" w:eastAsia="zh-CN"/>
        </w:rPr>
        <w:t>10.9.4设计单位自行解决派赴现场处理有关设计问题的工作人员必要的工作生活及交通等相关问题。</w:t>
      </w:r>
    </w:p>
    <w:p w14:paraId="4DD511D8">
      <w:pPr>
        <w:pStyle w:val="2"/>
        <w:ind w:left="0" w:leftChars="0" w:firstLine="420" w:firstLineChars="200"/>
        <w:rPr>
          <w:rStyle w:val="222"/>
          <w:rFonts w:hint="default" w:eastAsia="宋体" w:cs="宋体"/>
          <w:color w:val="auto"/>
          <w:sz w:val="21"/>
          <w:szCs w:val="21"/>
          <w:highlight w:val="none"/>
          <w:lang w:val="en-US" w:eastAsia="zh-CN"/>
        </w:rPr>
      </w:pPr>
      <w:r>
        <w:rPr>
          <w:rStyle w:val="222"/>
          <w:rFonts w:hint="eastAsia" w:eastAsia="宋体" w:cs="宋体"/>
          <w:color w:val="auto"/>
          <w:sz w:val="21"/>
          <w:szCs w:val="21"/>
          <w:highlight w:val="none"/>
          <w:lang w:val="en-US" w:eastAsia="zh-CN"/>
        </w:rPr>
        <w:t>承包人应履行的其他义务</w:t>
      </w:r>
    </w:p>
    <w:p w14:paraId="63D53BCD">
      <w:pPr>
        <w:pStyle w:val="2"/>
        <w:ind w:left="0" w:leftChars="0"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11.1承包人应按照合同设计、实施和完成</w:t>
      </w:r>
      <w:r>
        <w:rPr>
          <w:rStyle w:val="222"/>
          <w:rFonts w:hint="eastAsia" w:eastAsia="宋体" w:cs="宋体"/>
          <w:color w:val="auto"/>
          <w:sz w:val="21"/>
          <w:szCs w:val="21"/>
          <w:highlight w:val="none"/>
        </w:rPr>
        <w:t>工程，并修补合同规定的工程中由承包人造成的任何缺陷。完成后，合同中规定的由承包人负责的工程应能满足合同规定的工程预期目的。承包人应提供合同规定的由承包人负责的生产</w:t>
      </w:r>
      <w:r>
        <w:rPr>
          <w:rStyle w:val="222"/>
          <w:rFonts w:hint="eastAsia" w:eastAsia="宋体" w:cs="宋体"/>
          <w:color w:val="auto"/>
          <w:sz w:val="21"/>
          <w:szCs w:val="21"/>
          <w:highlight w:val="none"/>
          <w:lang w:val="en-US" w:eastAsia="zh-CN"/>
        </w:rPr>
        <w:t>或采购</w:t>
      </w:r>
      <w:r>
        <w:rPr>
          <w:rStyle w:val="222"/>
          <w:rFonts w:hint="eastAsia" w:eastAsia="宋体" w:cs="宋体"/>
          <w:color w:val="auto"/>
          <w:sz w:val="21"/>
          <w:szCs w:val="21"/>
          <w:highlight w:val="none"/>
        </w:rPr>
        <w:t>设备和承包人文件，以及施工、完工和修补缺陷所需的所有临时性或永久性的承包人人员、货物、消耗品及其他物品和服务。</w:t>
      </w:r>
    </w:p>
    <w:p w14:paraId="0DE907E8">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w:t>
      </w:r>
      <w:r>
        <w:rPr>
          <w:rStyle w:val="222"/>
          <w:rFonts w:hint="eastAsia" w:eastAsia="宋体" w:cs="宋体"/>
          <w:color w:val="auto"/>
          <w:sz w:val="21"/>
          <w:szCs w:val="21"/>
          <w:highlight w:val="none"/>
        </w:rPr>
        <w:t>.2承包人应完成为满足发包人要求或合同隐含要求的任何工作，以及（合同虽未提及但）为工程的稳定、或完成、或安全和有效运行所需的所有工作。</w:t>
      </w:r>
    </w:p>
    <w:p w14:paraId="145E919F">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w:t>
      </w:r>
      <w:r>
        <w:rPr>
          <w:rStyle w:val="222"/>
          <w:rFonts w:hint="eastAsia" w:eastAsia="宋体" w:cs="宋体"/>
          <w:color w:val="auto"/>
          <w:sz w:val="21"/>
          <w:szCs w:val="21"/>
          <w:highlight w:val="none"/>
        </w:rPr>
        <w:t>.3承包人应对所有合同范围内的（除合同明确由发包人完成的工作外）现场作业、所有施工方法和全部工程的完备性、稳定性和安全性承担责任。</w:t>
      </w:r>
    </w:p>
    <w:p w14:paraId="773E311D">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w:t>
      </w:r>
      <w:r>
        <w:rPr>
          <w:rStyle w:val="222"/>
          <w:rFonts w:hint="eastAsia" w:eastAsia="宋体" w:cs="宋体"/>
          <w:color w:val="auto"/>
          <w:sz w:val="21"/>
          <w:szCs w:val="21"/>
          <w:highlight w:val="none"/>
        </w:rPr>
        <w:t>.4承包人应当严格进行现场的施工管理。</w:t>
      </w:r>
    </w:p>
    <w:p w14:paraId="1535C2DD">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w:t>
      </w:r>
      <w:r>
        <w:rPr>
          <w:rStyle w:val="222"/>
          <w:rFonts w:hint="eastAsia" w:eastAsia="宋体" w:cs="宋体"/>
          <w:color w:val="auto"/>
          <w:sz w:val="21"/>
          <w:szCs w:val="21"/>
          <w:highlight w:val="none"/>
        </w:rPr>
        <w:t>.5承包人应支付，并应要求其分包商支付有关部门依法对承包人或其分包商及其劳工或雇员在履行本合同时所征收的所有税款及其他收费。</w:t>
      </w:r>
    </w:p>
    <w:p w14:paraId="1F9B4EBD">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w:t>
      </w:r>
      <w:r>
        <w:rPr>
          <w:rStyle w:val="222"/>
          <w:rFonts w:hint="eastAsia" w:eastAsia="宋体" w:cs="宋体"/>
          <w:color w:val="auto"/>
          <w:sz w:val="21"/>
          <w:szCs w:val="21"/>
          <w:highlight w:val="none"/>
        </w:rPr>
        <w:t>.6承包人应负责与其他系统的接口工作，并服从发包人或监理（如有）现场协调、安排。</w:t>
      </w:r>
    </w:p>
    <w:p w14:paraId="563F45F8">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w:t>
      </w:r>
      <w:r>
        <w:rPr>
          <w:rStyle w:val="222"/>
          <w:rFonts w:hint="eastAsia" w:eastAsia="宋体" w:cs="宋体"/>
          <w:color w:val="auto"/>
          <w:sz w:val="21"/>
          <w:szCs w:val="21"/>
          <w:highlight w:val="none"/>
        </w:rPr>
        <w:t>.7承包人应保证系统240小时试运期间（本合同项下所指的“240小时试运行期间”均指30天）不因承包人的责任造成停运，应保证系统240小时试运结束后的质保期内不因承包人的责任造成停运。</w:t>
      </w:r>
    </w:p>
    <w:p w14:paraId="66445E76">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w:t>
      </w:r>
      <w:r>
        <w:rPr>
          <w:rStyle w:val="222"/>
          <w:rFonts w:hint="eastAsia" w:eastAsia="宋体" w:cs="宋体"/>
          <w:color w:val="auto"/>
          <w:sz w:val="21"/>
          <w:szCs w:val="21"/>
          <w:highlight w:val="none"/>
        </w:rPr>
        <w:t>.8本合同签署生效后，承包人不得以任何理由提出涨价、降低标准等影响发包人利益和工程进展的要求。承包人承诺不因满足合同进度要求或者变更进度而要求发包人追加任何合同费用。</w:t>
      </w:r>
    </w:p>
    <w:p w14:paraId="302206F5">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w:t>
      </w:r>
      <w:r>
        <w:rPr>
          <w:rStyle w:val="222"/>
          <w:rFonts w:hint="eastAsia" w:eastAsia="宋体" w:cs="宋体"/>
          <w:color w:val="auto"/>
          <w:sz w:val="21"/>
          <w:szCs w:val="21"/>
          <w:highlight w:val="none"/>
        </w:rPr>
        <w:t>.9承包人负责承担对相关专业参建单位的工程资料管理审查移交与接受工程质量监检的专业对口实施统一管理，对具体的管理费用与责任落实，按照规范规定由发包人项目经理负责协调完成。</w:t>
      </w:r>
    </w:p>
    <w:p w14:paraId="4317F54F">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w:t>
      </w:r>
      <w:r>
        <w:rPr>
          <w:rStyle w:val="222"/>
          <w:rFonts w:hint="eastAsia" w:eastAsia="宋体" w:cs="宋体"/>
          <w:color w:val="auto"/>
          <w:sz w:val="21"/>
          <w:szCs w:val="21"/>
          <w:highlight w:val="none"/>
        </w:rPr>
        <w:t>.10现场电气、热控、试验项目按最新标准规范执行，不漏项，费用已包含在合同价中。电气仪表、检测装置、保护装置（如互感器、变送器、指示仪表、热电偶、热电阻、压力开关等）的送检校验、单体试验出具有技术监督部门认证资质的合格证，费用已含在合同总价中，不另行计价。</w:t>
      </w:r>
    </w:p>
    <w:p w14:paraId="58C037D5">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w:t>
      </w:r>
      <w:r>
        <w:rPr>
          <w:rStyle w:val="222"/>
          <w:rFonts w:hint="eastAsia" w:eastAsia="宋体" w:cs="宋体"/>
          <w:color w:val="auto"/>
          <w:sz w:val="21"/>
          <w:szCs w:val="21"/>
          <w:highlight w:val="none"/>
        </w:rPr>
        <w:t>.11承包人承诺执行发包人和监理部门（如有）关于工程施工的有关指令。</w:t>
      </w:r>
    </w:p>
    <w:p w14:paraId="3CA363EF">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w:t>
      </w:r>
      <w:r>
        <w:rPr>
          <w:rStyle w:val="222"/>
          <w:rFonts w:hint="eastAsia" w:eastAsia="宋体" w:cs="宋体"/>
          <w:color w:val="auto"/>
          <w:sz w:val="21"/>
          <w:szCs w:val="21"/>
          <w:highlight w:val="none"/>
        </w:rPr>
        <w:t>12承包人负责设备制造缺陷的现场处理并承担费用。</w:t>
      </w:r>
    </w:p>
    <w:p w14:paraId="7E87554C">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w:t>
      </w:r>
      <w:r>
        <w:rPr>
          <w:rStyle w:val="222"/>
          <w:rFonts w:hint="eastAsia" w:eastAsia="宋体" w:cs="宋体"/>
          <w:color w:val="auto"/>
          <w:sz w:val="21"/>
          <w:szCs w:val="21"/>
          <w:highlight w:val="none"/>
        </w:rPr>
        <w:t>.13承包人在施工过程中应遵守政府的各项法令和规章，特别是交通、卫生、安全、消防及环境保护等方面的法令和规章。遵守双方或多方约定的现场管理规定。承包人应承担因自身原因造成的损失和罚款。</w:t>
      </w:r>
    </w:p>
    <w:p w14:paraId="2781049D">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w:t>
      </w:r>
      <w:r>
        <w:rPr>
          <w:rStyle w:val="222"/>
          <w:rFonts w:hint="eastAsia" w:eastAsia="宋体" w:cs="宋体"/>
          <w:color w:val="auto"/>
          <w:sz w:val="21"/>
          <w:szCs w:val="21"/>
          <w:highlight w:val="none"/>
        </w:rPr>
        <w:t>.14在开工前5个工作日内完成承包人驻地界区以内的用水、用电、道路和临时设施的建设，承担相应的费用。</w:t>
      </w:r>
    </w:p>
    <w:p w14:paraId="26FEA92C">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w:t>
      </w:r>
      <w:r>
        <w:rPr>
          <w:rStyle w:val="222"/>
          <w:rFonts w:hint="eastAsia" w:eastAsia="宋体" w:cs="宋体"/>
          <w:color w:val="auto"/>
          <w:sz w:val="21"/>
          <w:szCs w:val="21"/>
          <w:highlight w:val="none"/>
        </w:rPr>
        <w:t>.15在开工前10个工作日，完成施工图纸编制，并且提交发包人审核。在开工前10个工作日内，编制施工组织设计（施工方案）报发包人审批，做好各项施工准备工作。</w:t>
      </w:r>
    </w:p>
    <w:p w14:paraId="7FCA5324">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w:t>
      </w:r>
      <w:r>
        <w:rPr>
          <w:rStyle w:val="222"/>
          <w:rFonts w:hint="eastAsia" w:eastAsia="宋体" w:cs="宋体"/>
          <w:color w:val="auto"/>
          <w:sz w:val="21"/>
          <w:szCs w:val="21"/>
          <w:highlight w:val="none"/>
        </w:rPr>
        <w:t>.16工程开工前10工作日内提出书面开工报告。向发包人提交施工平面布置图、施工进度计划；按发包人要求向发包人提交本月施工进度报表及下月施工作业计划；隐蔽工程或中间验收前12小时内以书面形式通知工程师验收；达到竣工条件5个工作日内向发包人提交竣工验收报告；工程事故发生后</w:t>
      </w:r>
      <w:r>
        <w:rPr>
          <w:rStyle w:val="222"/>
          <w:rFonts w:hint="eastAsia" w:eastAsia="宋体" w:cs="宋体"/>
          <w:strike w:val="0"/>
          <w:dstrike w:val="0"/>
          <w:color w:val="auto"/>
          <w:sz w:val="21"/>
          <w:szCs w:val="21"/>
          <w:highlight w:val="none"/>
          <w:lang w:val="en-US" w:eastAsia="zh-CN"/>
        </w:rPr>
        <w:t>按国家相关规定及时</w:t>
      </w:r>
      <w:r>
        <w:rPr>
          <w:rStyle w:val="222"/>
          <w:rFonts w:hint="eastAsia" w:eastAsia="宋体" w:cs="宋体"/>
          <w:color w:val="auto"/>
          <w:sz w:val="21"/>
          <w:szCs w:val="21"/>
          <w:highlight w:val="none"/>
        </w:rPr>
        <w:t>向发包人通报，并在24小时内提交书面报告。</w:t>
      </w:r>
    </w:p>
    <w:p w14:paraId="10934C3F">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w:t>
      </w:r>
      <w:r>
        <w:rPr>
          <w:rStyle w:val="222"/>
          <w:rFonts w:hint="eastAsia" w:eastAsia="宋体" w:cs="宋体"/>
          <w:color w:val="auto"/>
          <w:sz w:val="21"/>
          <w:szCs w:val="21"/>
          <w:highlight w:val="none"/>
        </w:rPr>
        <w:t>.17对已完工的工程在交工前负责保管，并清理好场地。</w:t>
      </w:r>
    </w:p>
    <w:p w14:paraId="29B087A5">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w:t>
      </w:r>
      <w:r>
        <w:rPr>
          <w:rStyle w:val="222"/>
          <w:rFonts w:hint="eastAsia" w:eastAsia="宋体" w:cs="宋体"/>
          <w:color w:val="auto"/>
          <w:sz w:val="21"/>
          <w:szCs w:val="21"/>
          <w:highlight w:val="none"/>
        </w:rPr>
        <w:t>.18在施工过程中如发生较大工程质量事故，应及时报告工程师和安全管理部门，经工程师、安全管理部门共同研究，明确责任，确定处理方案后方可实施。</w:t>
      </w:r>
    </w:p>
    <w:p w14:paraId="3818E356">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w:t>
      </w:r>
      <w:r>
        <w:rPr>
          <w:rStyle w:val="222"/>
          <w:rFonts w:hint="eastAsia" w:eastAsia="宋体" w:cs="宋体"/>
          <w:color w:val="auto"/>
          <w:sz w:val="21"/>
          <w:szCs w:val="21"/>
          <w:highlight w:val="none"/>
        </w:rPr>
        <w:t>19做好施工场地地下管线和邻近建筑物、构筑物等的保护工作，并承担相应的费用。若因承包人施工原因导致发包人项目所在建筑物屋顶出现毁损的，由承包人负责进行维修，并承担相关的费用；</w:t>
      </w:r>
    </w:p>
    <w:p w14:paraId="6CD98B66">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w:t>
      </w:r>
      <w:r>
        <w:rPr>
          <w:rStyle w:val="222"/>
          <w:rFonts w:hint="eastAsia" w:eastAsia="宋体" w:cs="宋体"/>
          <w:color w:val="auto"/>
          <w:sz w:val="21"/>
          <w:szCs w:val="21"/>
          <w:highlight w:val="none"/>
        </w:rPr>
        <w:t>.20承包人不得将整个工程分包或转包/转让给任何第三方，在未取得发包人书面同意的情况下，承包人不得将任何一部分工程转包/转让给任何第三方</w:t>
      </w:r>
      <w:r>
        <w:rPr>
          <w:rStyle w:val="222"/>
          <w:rFonts w:hint="eastAsia" w:ascii="宋体" w:hAnsi="宋体" w:eastAsia="宋体" w:cs="宋体"/>
          <w:color w:val="auto"/>
          <w:sz w:val="21"/>
          <w:szCs w:val="21"/>
          <w:highlight w:val="none"/>
          <w:lang w:eastAsia="zh-CN"/>
        </w:rPr>
        <w:t>，否则，发包人</w:t>
      </w:r>
      <w:r>
        <w:rPr>
          <w:rStyle w:val="222"/>
          <w:rFonts w:hint="eastAsia" w:ascii="宋体" w:hAnsi="宋体" w:eastAsia="宋体" w:cs="宋体"/>
          <w:strike w:val="0"/>
          <w:dstrike w:val="0"/>
          <w:color w:val="auto"/>
          <w:sz w:val="21"/>
          <w:szCs w:val="21"/>
          <w:highlight w:val="none"/>
          <w:lang w:val="en-US" w:eastAsia="zh-CN"/>
        </w:rPr>
        <w:t>有权</w:t>
      </w:r>
      <w:r>
        <w:rPr>
          <w:rStyle w:val="222"/>
          <w:rFonts w:hint="eastAsia" w:ascii="宋体" w:hAnsi="宋体" w:eastAsia="宋体" w:cs="宋体"/>
          <w:color w:val="auto"/>
          <w:sz w:val="21"/>
          <w:szCs w:val="21"/>
          <w:highlight w:val="none"/>
          <w:lang w:eastAsia="zh-CN"/>
        </w:rPr>
        <w:t>解除合同</w:t>
      </w:r>
      <w:r>
        <w:rPr>
          <w:rStyle w:val="222"/>
          <w:rFonts w:hint="eastAsia" w:ascii="宋体" w:hAnsi="宋体" w:eastAsia="宋体" w:cs="宋体"/>
          <w:color w:val="auto"/>
          <w:sz w:val="21"/>
          <w:szCs w:val="21"/>
          <w:highlight w:val="none"/>
        </w:rPr>
        <w:t>。</w:t>
      </w:r>
      <w:r>
        <w:rPr>
          <w:rStyle w:val="222"/>
          <w:rFonts w:hint="eastAsia" w:eastAsia="宋体" w:cs="宋体"/>
          <w:color w:val="auto"/>
          <w:sz w:val="21"/>
          <w:szCs w:val="21"/>
          <w:highlight w:val="none"/>
        </w:rPr>
        <w:t>施工部分的分包商应当具备相应工程所需的电力工程施工资质证书及安全生产许可证。承包人应独立负责支付给每一分包商应由承包人支付的合同款项。</w:t>
      </w:r>
    </w:p>
    <w:p w14:paraId="2871EF0B">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w:t>
      </w:r>
      <w:r>
        <w:rPr>
          <w:rStyle w:val="222"/>
          <w:rFonts w:hint="eastAsia" w:eastAsia="宋体" w:cs="宋体"/>
          <w:color w:val="auto"/>
          <w:sz w:val="21"/>
          <w:szCs w:val="21"/>
          <w:highlight w:val="none"/>
        </w:rPr>
        <w:t>.21承包人应及时向其分包商、雇员支付合同款项或者工资，如承包人未及时向其分包商、雇员支付合同款项或者工资导致分包商、承包人雇员等干扰发包人项目的正常施工、发包人及其关联企业的正常生产经营的，每发生一次，发包人有权按照合同总价1%的标准计扣违约金，且承包人应在上述现象发生后的三天内予以妥善处理，如承包人未能在上述时间期限内妥善处理的，发包人有权向承包人的分包商、雇员直接支付合同款项或者工资，且相关款项从本合同尚未支付的合同款项中予以扣除，且不免除承包人的违约责任。</w:t>
      </w:r>
    </w:p>
    <w:p w14:paraId="5F2A5EA9">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w:t>
      </w:r>
      <w:r>
        <w:rPr>
          <w:rStyle w:val="222"/>
          <w:rFonts w:hint="eastAsia" w:eastAsia="宋体" w:cs="宋体"/>
          <w:color w:val="auto"/>
          <w:sz w:val="21"/>
          <w:szCs w:val="21"/>
          <w:highlight w:val="none"/>
        </w:rPr>
        <w:t>.22</w:t>
      </w:r>
      <w:r>
        <w:rPr>
          <w:rStyle w:val="222"/>
          <w:rFonts w:hint="eastAsia" w:eastAsia="宋体" w:cs="宋体"/>
          <w:color w:val="auto"/>
          <w:sz w:val="21"/>
          <w:szCs w:val="21"/>
          <w:highlight w:val="none"/>
          <w:lang w:val="en-US" w:eastAsia="zh-CN"/>
        </w:rPr>
        <w:t>承包人</w:t>
      </w:r>
      <w:r>
        <w:rPr>
          <w:rStyle w:val="222"/>
          <w:rFonts w:hint="eastAsia" w:eastAsia="宋体" w:cs="宋体"/>
          <w:color w:val="auto"/>
          <w:sz w:val="21"/>
          <w:szCs w:val="21"/>
          <w:highlight w:val="none"/>
        </w:rPr>
        <w:t>提供的光伏组件进行卸货、搬运、存放及安装时应做好防护措施，防止组件损坏或隐裂，发包人有权在竣工验收时抽取部分光伏组件进行EL测试，如存在隐裂等问题，按照本合同附件《</w:t>
      </w:r>
      <w:r>
        <w:rPr>
          <w:rStyle w:val="222"/>
          <w:rFonts w:hint="eastAsia" w:eastAsia="宋体" w:cs="宋体"/>
          <w:b/>
          <w:color w:val="auto"/>
          <w:sz w:val="21"/>
          <w:szCs w:val="21"/>
          <w:highlight w:val="none"/>
          <w:lang w:val="en-US" w:eastAsia="zh-CN"/>
        </w:rPr>
        <w:t>施工质量</w:t>
      </w:r>
      <w:r>
        <w:rPr>
          <w:rStyle w:val="222"/>
          <w:rFonts w:hint="eastAsia" w:eastAsia="宋体" w:cs="宋体"/>
          <w:b/>
          <w:color w:val="auto"/>
          <w:sz w:val="21"/>
          <w:szCs w:val="21"/>
          <w:highlight w:val="none"/>
        </w:rPr>
        <w:t>协议</w:t>
      </w:r>
      <w:r>
        <w:rPr>
          <w:rStyle w:val="222"/>
          <w:rFonts w:hint="eastAsia" w:eastAsia="宋体" w:cs="宋体"/>
          <w:color w:val="auto"/>
          <w:sz w:val="21"/>
          <w:szCs w:val="21"/>
          <w:highlight w:val="none"/>
        </w:rPr>
        <w:t>》</w:t>
      </w:r>
      <w:r>
        <w:rPr>
          <w:rStyle w:val="222"/>
          <w:rFonts w:hint="eastAsia" w:eastAsia="宋体" w:cs="宋体"/>
          <w:b/>
          <w:color w:val="auto"/>
          <w:sz w:val="21"/>
          <w:szCs w:val="21"/>
          <w:highlight w:val="none"/>
        </w:rPr>
        <w:t>中约定的条款执行，</w:t>
      </w:r>
      <w:r>
        <w:rPr>
          <w:rStyle w:val="222"/>
          <w:rFonts w:hint="eastAsia" w:eastAsia="宋体" w:cs="宋体"/>
          <w:color w:val="auto"/>
          <w:sz w:val="21"/>
          <w:szCs w:val="21"/>
          <w:highlight w:val="none"/>
        </w:rPr>
        <w:t xml:space="preserve">承包人必须安排人员配合整个抽样测试。 </w:t>
      </w:r>
    </w:p>
    <w:p w14:paraId="39F9CE06">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w:t>
      </w:r>
      <w:r>
        <w:rPr>
          <w:rStyle w:val="222"/>
          <w:rFonts w:hint="eastAsia" w:eastAsia="宋体" w:cs="宋体"/>
          <w:color w:val="auto"/>
          <w:sz w:val="21"/>
          <w:szCs w:val="21"/>
          <w:highlight w:val="none"/>
        </w:rPr>
        <w:t>.23承包人的安全管理职责：</w:t>
      </w:r>
    </w:p>
    <w:p w14:paraId="3258C20B">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承包人应对合同工程施工现场的安全负总责，履行《中华人民共和国安全生产法》、《建设工程安全生产管理条例》、《电力建设工程施工安全监督管理办法》、《电力建设安全工作规程(火力发电厂部分)》、《电力建设文明施工规定及考核办法》、《生产安全事故报告和调查处理条例》等国家法律、法规和行业安全标准及合同履行期间变更的或新颁布的国家法律、法规和行业安全标准。按照“安全第一、预防为主、综合治理”的方针，从源头上防范化解重大安全风险，保证建设工程安全生产。</w:t>
      </w:r>
    </w:p>
    <w:p w14:paraId="5FF56B41">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承包人必须采取一切必要措施和手段强化施工安全健康文明管理，提高安全健康与文明施工水平，严格落实建设过程中安全生产资金、物资、技术、人员的投入保障力度，确定严格的安全施工秩序以保证施工人员及任何第三方在施工中的安全与健康。</w:t>
      </w:r>
    </w:p>
    <w:p w14:paraId="6105307B">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承包人应建立严密的安全管理网络和有效的安全保障体系；必须设立独立安全管理机构。</w:t>
      </w:r>
    </w:p>
    <w:p w14:paraId="4F309B79">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承包人必须按规定参加由监理工程师和发包人组织的各种安全活动和召开的安全会议。</w:t>
      </w:r>
    </w:p>
    <w:p w14:paraId="285094D1">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承包人应审查施工分包商主要负责人、项目经理、专职安全人员是否达到国家有关安全生产许可证规定的考核要求，并将该条件作为投标资格的必备条件。</w:t>
      </w:r>
    </w:p>
    <w:p w14:paraId="508ADDDE">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承包人所有安全设施、施工机具设备和高空作业的设备均应符合国家或行业安全技术标准并应定期检查，并有安全员的签字记录；特种设备(电梯、升降机、起重机械、厂内机动车辆、防爆电气设备等)应取得地方政府质量技术监督部门的许可使用证件方可使用。</w:t>
      </w:r>
    </w:p>
    <w:p w14:paraId="30DAC55F">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承包人特殊工种(电工、电梯工、起重工、焊工、车船驾驶员、爆破工、潜水工等)要经专业培训，并持有政府主管部门签发的上岗合格证。</w:t>
      </w:r>
    </w:p>
    <w:p w14:paraId="1C76A608">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承包人组织制订合同工程的安全应急预案，定期组织演练。发生事故后，应及时启动相关应急预案，采取有效措施，最大程度减少人员伤亡、工程与设备损失，防止事故扩大。</w:t>
      </w:r>
    </w:p>
    <w:p w14:paraId="183CA749">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监理工程师和发包人代表对承包人在合同工程期间的安全、健康、环境与文明施工等管理工作进行全面监督、考核。承包人承诺遵守安全、文明施工协议书的约定，接受发包人和监理工程师按照其中的考核条款进行考核。如承包人的安全与文明施工管理达不到安全、文明施工协议书的要求，符合其中处罚条件时，承包人同意按照安全、文明施工协议书中相应条款约定的金额向发包人支付违约赔偿金。</w:t>
      </w:r>
    </w:p>
    <w:p w14:paraId="7AF13735">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承包人必须投保安全生产责任保险，保险范围包括本合同履行过程中发生的安全生产事故所导致的任何人身伤亡、财产损失赔偿责任，并确保在发包人颁发最终竣工验收证书之前投保的安全生产责任保险持续有效。</w:t>
      </w:r>
    </w:p>
    <w:p w14:paraId="0BF883D5">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承包人对合同履行过程中发生的任何生产安全事故负总责，无论任何原因发生的安全事故导致发包人的行政责任、民事赔偿责任所招致的经济损失皆由承包人向发包人承担赔偿责任，如确有第三方责任主体的再由承包人自行向第三方追偿。如发生承包人为主要责任方的生产安全事故，发包人亦有权向承包人主张惩罚性违约金，且发包人有权永久将承包人从合格供应商目录中剔除。</w:t>
      </w:r>
    </w:p>
    <w:p w14:paraId="4F8D19F6">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承包人应在其现场设置安全监督管理等机构，配备规定数量的安全员，专门处理安全及防止所有员工人身事故方面的问题。这些工作人员按规定持证上岗，服从发包人的管理，并有权发布各种指示及采取防止事故发生的预防措施。</w:t>
      </w:r>
    </w:p>
    <w:p w14:paraId="40393930">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承包人应在安全事故发生后立即将其详细情况报告监理工程师、发包人代表。如果出现人员死亡或其他严重事故，承包人应以最快方式通知发包人代表、监理工程师及当地政府安全监察部门。善后事宜及费用由承包人自行负责。</w:t>
      </w:r>
    </w:p>
    <w:p w14:paraId="6AF23229">
      <w:pPr>
        <w:spacing w:line="360" w:lineRule="auto"/>
        <w:ind w:firstLine="420" w:firstLineChars="200"/>
        <w:jc w:val="left"/>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11.25</w:t>
      </w:r>
      <w:r>
        <w:rPr>
          <w:rStyle w:val="222"/>
          <w:rFonts w:hint="eastAsia" w:eastAsia="宋体" w:cs="宋体"/>
          <w:color w:val="auto"/>
          <w:sz w:val="21"/>
          <w:szCs w:val="21"/>
          <w:highlight w:val="none"/>
        </w:rPr>
        <w:t>对总承包范围内的资源进行整理、开发 (包含与各级政府对接协调、现场踏勘、基础数据收集、资源梳理、屋面航拍及项目初步评估等工作；单个项目实施的位置需项目业主确认)。</w:t>
      </w:r>
    </w:p>
    <w:p w14:paraId="1DF1B213">
      <w:pPr>
        <w:spacing w:line="360" w:lineRule="auto"/>
        <w:ind w:firstLine="420" w:firstLineChars="200"/>
        <w:jc w:val="left"/>
        <w:rPr>
          <w:rStyle w:val="222"/>
          <w:rFonts w:hint="eastAsia" w:eastAsia="宋体" w:cs="宋体"/>
          <w:color w:val="auto"/>
          <w:sz w:val="21"/>
          <w:szCs w:val="21"/>
          <w:highlight w:val="none"/>
        </w:rPr>
      </w:pPr>
      <w:r>
        <w:rPr>
          <w:rStyle w:val="222"/>
          <w:rFonts w:hint="eastAsia" w:eastAsia="宋体" w:cs="宋体"/>
          <w:color w:val="auto"/>
          <w:sz w:val="21"/>
          <w:szCs w:val="21"/>
          <w:highlight w:val="none"/>
        </w:rPr>
        <w:t>屋顶资源的勘察测绘，项目可研报告优化等；</w:t>
      </w:r>
    </w:p>
    <w:p w14:paraId="6A064F86">
      <w:pPr>
        <w:spacing w:line="360" w:lineRule="auto"/>
        <w:ind w:firstLine="420" w:firstLineChars="200"/>
        <w:jc w:val="left"/>
        <w:rPr>
          <w:rStyle w:val="222"/>
          <w:rFonts w:hint="eastAsia" w:eastAsia="宋体" w:cs="宋体"/>
          <w:color w:val="auto"/>
          <w:sz w:val="21"/>
          <w:szCs w:val="21"/>
          <w:highlight w:val="none"/>
        </w:rPr>
      </w:pPr>
      <w:r>
        <w:rPr>
          <w:rStyle w:val="222"/>
          <w:rFonts w:hint="eastAsia" w:eastAsia="宋体" w:cs="宋体"/>
          <w:color w:val="auto"/>
          <w:sz w:val="21"/>
          <w:szCs w:val="21"/>
          <w:highlight w:val="none"/>
        </w:rPr>
        <w:t>经发包人同意后开展项目备案(发包人协助)；</w:t>
      </w:r>
    </w:p>
    <w:p w14:paraId="4EABE202">
      <w:pPr>
        <w:spacing w:line="360" w:lineRule="auto"/>
        <w:ind w:firstLine="420" w:firstLineChars="200"/>
        <w:jc w:val="left"/>
        <w:rPr>
          <w:rStyle w:val="222"/>
          <w:rFonts w:hint="eastAsia" w:eastAsia="宋体" w:cs="宋体"/>
          <w:color w:val="auto"/>
          <w:sz w:val="21"/>
          <w:szCs w:val="21"/>
          <w:highlight w:val="none"/>
        </w:rPr>
      </w:pPr>
      <w:r>
        <w:rPr>
          <w:rStyle w:val="222"/>
          <w:rFonts w:hint="eastAsia" w:eastAsia="宋体" w:cs="宋体"/>
          <w:color w:val="auto"/>
          <w:sz w:val="21"/>
          <w:szCs w:val="21"/>
          <w:highlight w:val="none"/>
        </w:rPr>
        <w:t>编制单个工程的初步设计方案，并通过发包人审查；</w:t>
      </w:r>
    </w:p>
    <w:p w14:paraId="74275E20">
      <w:pPr>
        <w:spacing w:line="360" w:lineRule="auto"/>
        <w:ind w:firstLine="420" w:firstLineChars="200"/>
        <w:jc w:val="left"/>
        <w:rPr>
          <w:rStyle w:val="222"/>
          <w:rFonts w:hint="eastAsia" w:eastAsia="宋体" w:cs="宋体"/>
          <w:color w:val="auto"/>
          <w:sz w:val="21"/>
          <w:szCs w:val="21"/>
          <w:highlight w:val="none"/>
        </w:rPr>
      </w:pPr>
      <w:r>
        <w:rPr>
          <w:rStyle w:val="222"/>
          <w:rFonts w:hint="eastAsia" w:eastAsia="宋体" w:cs="宋体"/>
          <w:color w:val="auto"/>
          <w:sz w:val="21"/>
          <w:szCs w:val="21"/>
          <w:highlight w:val="none"/>
        </w:rPr>
        <w:t>办理发电收益划扣手续(户用)、用电增容和电力接入报批(发包人协助)；</w:t>
      </w:r>
    </w:p>
    <w:p w14:paraId="415A2471">
      <w:pPr>
        <w:spacing w:line="360" w:lineRule="auto"/>
        <w:ind w:firstLine="420" w:firstLineChars="200"/>
        <w:jc w:val="left"/>
        <w:rPr>
          <w:rStyle w:val="222"/>
          <w:rFonts w:hint="eastAsia" w:eastAsia="宋体" w:cs="宋体"/>
          <w:color w:val="auto"/>
          <w:sz w:val="21"/>
          <w:szCs w:val="21"/>
          <w:highlight w:val="none"/>
          <w:lang w:eastAsia="zh-CN"/>
        </w:rPr>
      </w:pPr>
      <w:r>
        <w:rPr>
          <w:rStyle w:val="222"/>
          <w:rFonts w:hint="eastAsia" w:eastAsia="宋体" w:cs="宋体"/>
          <w:color w:val="auto"/>
          <w:sz w:val="21"/>
          <w:szCs w:val="21"/>
          <w:highlight w:val="none"/>
        </w:rPr>
        <w:t>按照相关要求完成环评登记表编制、报批，安全评价(含预评价、专篇和验收)</w:t>
      </w:r>
      <w:r>
        <w:rPr>
          <w:rStyle w:val="222"/>
          <w:rFonts w:hint="eastAsia" w:eastAsia="宋体" w:cs="宋体"/>
          <w:color w:val="auto"/>
          <w:sz w:val="21"/>
          <w:szCs w:val="21"/>
          <w:highlight w:val="none"/>
          <w:lang w:eastAsia="zh-CN"/>
        </w:rPr>
        <w:t>；</w:t>
      </w:r>
    </w:p>
    <w:p w14:paraId="28796F6F">
      <w:pPr>
        <w:spacing w:line="360" w:lineRule="auto"/>
        <w:ind w:firstLine="420" w:firstLineChars="200"/>
        <w:jc w:val="left"/>
        <w:rPr>
          <w:rStyle w:val="222"/>
          <w:rFonts w:hint="eastAsia" w:eastAsia="宋体" w:cs="宋体"/>
          <w:color w:val="auto"/>
          <w:sz w:val="21"/>
          <w:szCs w:val="21"/>
          <w:highlight w:val="none"/>
        </w:rPr>
      </w:pPr>
      <w:r>
        <w:rPr>
          <w:rStyle w:val="222"/>
          <w:rFonts w:hint="eastAsia" w:eastAsia="宋体" w:cs="宋体"/>
          <w:color w:val="auto"/>
          <w:sz w:val="21"/>
          <w:szCs w:val="21"/>
          <w:highlight w:val="none"/>
        </w:rPr>
        <w:t>完成拟建光伏的构建筑物安全鉴定(含检测或结构复核)、加固和防水修复(如需)等</w:t>
      </w:r>
      <w:r>
        <w:rPr>
          <w:rStyle w:val="222"/>
          <w:rFonts w:hint="eastAsia" w:eastAsia="宋体" w:cs="宋体"/>
          <w:color w:val="auto"/>
          <w:sz w:val="21"/>
          <w:szCs w:val="21"/>
          <w:highlight w:val="none"/>
          <w:lang w:eastAsia="zh-CN"/>
        </w:rPr>
        <w:t>；</w:t>
      </w:r>
    </w:p>
    <w:p w14:paraId="697229F4">
      <w:pPr>
        <w:spacing w:line="360" w:lineRule="auto"/>
        <w:ind w:firstLine="420" w:firstLineChars="200"/>
        <w:jc w:val="left"/>
        <w:rPr>
          <w:rStyle w:val="222"/>
          <w:rFonts w:hint="eastAsia" w:eastAsia="宋体" w:cs="宋体"/>
          <w:color w:val="auto"/>
          <w:sz w:val="21"/>
          <w:szCs w:val="21"/>
          <w:highlight w:val="none"/>
          <w:lang w:eastAsia="zh-CN"/>
        </w:rPr>
      </w:pPr>
      <w:r>
        <w:rPr>
          <w:rStyle w:val="222"/>
          <w:rFonts w:hint="eastAsia" w:eastAsia="宋体" w:cs="宋体"/>
          <w:color w:val="auto"/>
          <w:sz w:val="21"/>
          <w:szCs w:val="21"/>
          <w:highlight w:val="none"/>
        </w:rPr>
        <w:t>施工组织设计、施工图设计及设计交底、竣工图和竣工文件编制、报审、交接</w:t>
      </w:r>
      <w:r>
        <w:rPr>
          <w:rStyle w:val="222"/>
          <w:rFonts w:hint="eastAsia" w:eastAsia="宋体" w:cs="宋体"/>
          <w:color w:val="auto"/>
          <w:sz w:val="21"/>
          <w:szCs w:val="21"/>
          <w:highlight w:val="none"/>
          <w:lang w:eastAsia="zh-CN"/>
        </w:rPr>
        <w:t>；</w:t>
      </w:r>
    </w:p>
    <w:p w14:paraId="0BCEA205">
      <w:pPr>
        <w:spacing w:line="360" w:lineRule="auto"/>
        <w:ind w:firstLine="420" w:firstLineChars="200"/>
        <w:jc w:val="left"/>
        <w:rPr>
          <w:rStyle w:val="222"/>
          <w:rFonts w:hint="eastAsia" w:eastAsia="宋体" w:cs="宋体"/>
          <w:color w:val="auto"/>
          <w:sz w:val="21"/>
          <w:szCs w:val="21"/>
          <w:highlight w:val="none"/>
          <w:lang w:eastAsia="zh-CN"/>
        </w:rPr>
      </w:pPr>
      <w:r>
        <w:rPr>
          <w:rStyle w:val="222"/>
          <w:rFonts w:hint="eastAsia" w:eastAsia="宋体" w:cs="宋体"/>
          <w:color w:val="auto"/>
          <w:sz w:val="21"/>
          <w:szCs w:val="21"/>
          <w:highlight w:val="none"/>
        </w:rPr>
        <w:t>按照设计要求完成屋顶光伏及配套系统工程施工(含并网点改造)</w:t>
      </w:r>
      <w:r>
        <w:rPr>
          <w:rStyle w:val="222"/>
          <w:rFonts w:hint="eastAsia" w:eastAsia="宋体" w:cs="宋体"/>
          <w:color w:val="auto"/>
          <w:sz w:val="21"/>
          <w:szCs w:val="21"/>
          <w:highlight w:val="none"/>
          <w:lang w:eastAsia="zh-CN"/>
        </w:rPr>
        <w:t>；</w:t>
      </w:r>
    </w:p>
    <w:p w14:paraId="6A585337">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提供工程所需的材料、设备、备品备件，包括但不限于：</w:t>
      </w:r>
    </w:p>
    <w:p w14:paraId="37D38E74">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(1) 工程所需的钢筋、水泥、建筑结构件等各项材料。</w:t>
      </w:r>
    </w:p>
    <w:p w14:paraId="336DFD01">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(2) 导轨、支架及基础、逆变器、</w:t>
      </w:r>
      <w:r>
        <w:rPr>
          <w:rStyle w:val="222"/>
          <w:rFonts w:hint="eastAsia" w:eastAsia="宋体" w:cs="宋体"/>
          <w:color w:val="auto"/>
          <w:sz w:val="21"/>
          <w:szCs w:val="21"/>
          <w:highlight w:val="none"/>
          <w:lang w:eastAsia="zh-CN"/>
        </w:rPr>
        <w:t>组件、</w:t>
      </w:r>
      <w:r>
        <w:rPr>
          <w:rStyle w:val="222"/>
          <w:rFonts w:hint="eastAsia" w:eastAsia="宋体" w:cs="宋体"/>
          <w:color w:val="auto"/>
          <w:sz w:val="21"/>
          <w:szCs w:val="21"/>
          <w:highlight w:val="none"/>
        </w:rPr>
        <w:t>交流汇流箱、配电设施(含并网设备)、</w:t>
      </w:r>
    </w:p>
    <w:p w14:paraId="379C7A92">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热浸镀锌电缆桥架、电缆(含防护套管)、上屋面独立钢梯(直爬梯， 按需)、屋顶检修通道 (含护栏) 等满足本工程需要的所有设备和材料。</w:t>
      </w:r>
    </w:p>
    <w:p w14:paraId="738F9684">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(3) 工程需要的主、辅材料。</w:t>
      </w:r>
    </w:p>
    <w:p w14:paraId="00C23AAB">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(4) 工程需要的建筑材料。</w:t>
      </w:r>
    </w:p>
    <w:p w14:paraId="0461E452">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(5) 安全工器具和备品备件。</w:t>
      </w:r>
    </w:p>
    <w:p w14:paraId="6DCE2E3F">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11.26</w:t>
      </w:r>
      <w:r>
        <w:rPr>
          <w:rStyle w:val="222"/>
          <w:rFonts w:hint="eastAsia" w:eastAsia="宋体" w:cs="宋体"/>
          <w:color w:val="auto"/>
          <w:sz w:val="21"/>
          <w:szCs w:val="21"/>
          <w:highlight w:val="none"/>
        </w:rPr>
        <w:t>本工程内安装工程：包含但不限于光伏组件基础安装、光伏组件安装、夹具安 装、支架(导轨) 安装、桥架安装、交直流电缆敷设及电缆头制作、逆变器安装、交流汇流 箱安装、室外配电箱(柜)安装、送出工程及其他配套设施安装等。</w:t>
      </w:r>
    </w:p>
    <w:p w14:paraId="68031B05">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11.27</w:t>
      </w:r>
      <w:r>
        <w:rPr>
          <w:rStyle w:val="222"/>
          <w:rFonts w:hint="eastAsia" w:eastAsia="宋体" w:cs="宋体"/>
          <w:color w:val="auto"/>
          <w:sz w:val="21"/>
          <w:szCs w:val="21"/>
          <w:highlight w:val="none"/>
        </w:rPr>
        <w:t>本工程内土建工程：包含但不限于构建筑物加固(如需)、屋顶漏水修复(如需)、 逆变器基础、配电柜基础(含汇流箱等) 等。</w:t>
      </w:r>
    </w:p>
    <w:p w14:paraId="1918FBED">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11.28</w:t>
      </w:r>
      <w:r>
        <w:rPr>
          <w:rStyle w:val="222"/>
          <w:rFonts w:hint="eastAsia" w:eastAsia="宋体" w:cs="宋体"/>
          <w:color w:val="auto"/>
          <w:sz w:val="21"/>
          <w:szCs w:val="21"/>
          <w:highlight w:val="none"/>
        </w:rPr>
        <w:t xml:space="preserve"> 本工程内专项验收工作： 包含但不限于通过环境影响评价(登记表)、安全评价 (含预评价、专篇验收)、消防验收(如需)、防雷验收、电气性能检测、档案和职业健康(如 需)等验收。</w:t>
      </w:r>
    </w:p>
    <w:p w14:paraId="3737C512">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11.29</w:t>
      </w:r>
      <w:r>
        <w:rPr>
          <w:rStyle w:val="222"/>
          <w:rFonts w:hint="eastAsia" w:eastAsia="宋体" w:cs="宋体"/>
          <w:color w:val="auto"/>
          <w:sz w:val="21"/>
          <w:szCs w:val="21"/>
          <w:highlight w:val="none"/>
        </w:rPr>
        <w:t>若在安装、调试、运行中发现缺项</w:t>
      </w:r>
      <w:r>
        <w:rPr>
          <w:rStyle w:val="222"/>
          <w:rFonts w:hint="eastAsia" w:ascii="宋体" w:hAnsi="宋体" w:eastAsia="宋体" w:cs="宋体"/>
          <w:color w:val="auto"/>
          <w:sz w:val="21"/>
          <w:szCs w:val="21"/>
          <w:highlight w:val="none"/>
          <w:lang w:eastAsia="zh-CN"/>
        </w:rPr>
        <w:t>错项</w:t>
      </w:r>
      <w:r>
        <w:rPr>
          <w:rStyle w:val="222"/>
          <w:rFonts w:hint="eastAsia" w:eastAsia="宋体" w:cs="宋体"/>
          <w:color w:val="auto"/>
          <w:sz w:val="21"/>
          <w:szCs w:val="21"/>
          <w:highlight w:val="none"/>
        </w:rPr>
        <w:t>，承包人需补充供货。</w:t>
      </w:r>
    </w:p>
    <w:p w14:paraId="08E11AA1">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11.30</w:t>
      </w:r>
      <w:r>
        <w:rPr>
          <w:rStyle w:val="222"/>
          <w:rFonts w:hint="eastAsia" w:eastAsia="宋体" w:cs="宋体"/>
          <w:color w:val="auto"/>
          <w:sz w:val="21"/>
          <w:szCs w:val="21"/>
          <w:highlight w:val="none"/>
        </w:rPr>
        <w:t>光伏电站整组启动，由承包人负责进行并网前后的调试和测试， 对于涉网部分调试， 由承包人负责委托具有资质的单位进行调试。</w:t>
      </w:r>
    </w:p>
    <w:p w14:paraId="594EFEE8">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11.31</w:t>
      </w:r>
      <w:r>
        <w:rPr>
          <w:rStyle w:val="222"/>
          <w:rFonts w:hint="eastAsia" w:eastAsia="宋体" w:cs="宋体"/>
          <w:color w:val="auto"/>
          <w:sz w:val="21"/>
          <w:szCs w:val="21"/>
          <w:highlight w:val="none"/>
        </w:rPr>
        <w:t>户外逆变器防护设施、配电柜(含汇流箱) 围栏、上屋面独立钢梯、屋面检修 通道和防护围栏、电缆标识桩等设计、施工、及验收等。</w:t>
      </w:r>
    </w:p>
    <w:p w14:paraId="5745C8E9">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11.32</w:t>
      </w:r>
      <w:r>
        <w:rPr>
          <w:rStyle w:val="222"/>
          <w:rFonts w:hint="eastAsia" w:eastAsia="宋体" w:cs="宋体"/>
          <w:color w:val="auto"/>
          <w:sz w:val="21"/>
          <w:szCs w:val="21"/>
          <w:highlight w:val="none"/>
        </w:rPr>
        <w:t>负责通过业主及相关部门的项目验收： 含并网验收、竣工验收等按照相关部门 要求完成的验收，办理竣工手续。</w:t>
      </w:r>
    </w:p>
    <w:p w14:paraId="69193EE1">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11.33</w:t>
      </w:r>
      <w:r>
        <w:rPr>
          <w:rStyle w:val="222"/>
          <w:rFonts w:hint="eastAsia" w:eastAsia="宋体" w:cs="宋体"/>
          <w:color w:val="auto"/>
          <w:sz w:val="21"/>
          <w:szCs w:val="21"/>
          <w:highlight w:val="none"/>
        </w:rPr>
        <w:t>按照发包人要求完成安全生产标准化达标。</w:t>
      </w:r>
    </w:p>
    <w:p w14:paraId="08808F19">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11.34</w:t>
      </w:r>
      <w:r>
        <w:rPr>
          <w:rStyle w:val="222"/>
          <w:rFonts w:hint="eastAsia" w:eastAsia="宋体" w:cs="宋体"/>
          <w:color w:val="auto"/>
          <w:sz w:val="21"/>
          <w:szCs w:val="21"/>
          <w:highlight w:val="none"/>
        </w:rPr>
        <w:t>负责施工现场协调工作， 处理开工前和工程持续期与工程有关的各种事宜。</w:t>
      </w:r>
    </w:p>
    <w:p w14:paraId="183EBE95">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11.35</w:t>
      </w:r>
      <w:r>
        <w:rPr>
          <w:rStyle w:val="222"/>
          <w:rFonts w:hint="eastAsia" w:eastAsia="宋体" w:cs="宋体"/>
          <w:color w:val="auto"/>
          <w:sz w:val="21"/>
          <w:szCs w:val="21"/>
          <w:highlight w:val="none"/>
        </w:rPr>
        <w:t>提供光伏电站整套的初步设计方案、施工组织设计、施工图、竣工图、设备说明书、设备盘柜内部元器件布置图和电气接线原理图。</w:t>
      </w:r>
    </w:p>
    <w:p w14:paraId="1616279B">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11.36</w:t>
      </w:r>
      <w:r>
        <w:rPr>
          <w:rStyle w:val="222"/>
          <w:rFonts w:hint="eastAsia" w:eastAsia="宋体" w:cs="宋体"/>
          <w:color w:val="auto"/>
          <w:sz w:val="21"/>
          <w:szCs w:val="21"/>
          <w:highlight w:val="none"/>
        </w:rPr>
        <w:t>负责项目业主与国网公司三方供用电及电费划转手续等合同的签订(按需)。</w:t>
      </w:r>
    </w:p>
    <w:p w14:paraId="68C90D18">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11.37</w:t>
      </w:r>
      <w:r>
        <w:rPr>
          <w:rStyle w:val="222"/>
          <w:rFonts w:hint="eastAsia" w:eastAsia="宋体" w:cs="宋体"/>
          <w:color w:val="auto"/>
          <w:sz w:val="21"/>
          <w:szCs w:val="21"/>
          <w:highlight w:val="none"/>
        </w:rPr>
        <w:t>提供本工程所需的安全工器具和备品备件， 负责质保期内的本工程所有设备质保，以及质保期内的技术支持和售后服务。</w:t>
      </w:r>
    </w:p>
    <w:p w14:paraId="7DFFAD96">
      <w:pPr>
        <w:numPr>
          <w:ilvl w:val="0"/>
          <w:numId w:val="8"/>
        </w:numPr>
        <w:spacing w:line="360" w:lineRule="auto"/>
        <w:ind w:left="-17" w:leftChars="0" w:firstLine="420" w:firstLineChars="200"/>
        <w:rPr>
          <w:rStyle w:val="222"/>
          <w:rFonts w:hint="default" w:eastAsia="宋体" w:cs="宋体"/>
          <w:color w:val="auto"/>
          <w:sz w:val="21"/>
          <w:szCs w:val="21"/>
          <w:highlight w:val="none"/>
          <w:lang w:val="en-US" w:eastAsia="zh-CN"/>
        </w:rPr>
      </w:pPr>
      <w:r>
        <w:rPr>
          <w:rStyle w:val="222"/>
          <w:rFonts w:hint="eastAsia" w:eastAsia="宋体" w:cs="宋体"/>
          <w:color w:val="auto"/>
          <w:sz w:val="21"/>
          <w:szCs w:val="21"/>
          <w:highlight w:val="none"/>
        </w:rPr>
        <w:t>施工、竣工验收、结算与保修项基本原则</w:t>
      </w:r>
    </w:p>
    <w:p w14:paraId="0123B5F4">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12</w:t>
      </w:r>
      <w:r>
        <w:rPr>
          <w:rStyle w:val="222"/>
          <w:rFonts w:hint="eastAsia" w:eastAsia="宋体" w:cs="宋体"/>
          <w:color w:val="auto"/>
          <w:sz w:val="21"/>
          <w:szCs w:val="21"/>
          <w:highlight w:val="none"/>
        </w:rPr>
        <w:t>.1 在施工过程中，发包人可以随时对作业进度、质量进行检查。发包人有权对工程不符合质量要求、承包人违反施工程序、施工操作工艺的施工，或材料不合格的，责令承包人返工，返工费用由承包人承担，承包人在接到发包人或监理发出的质量问题通知单后，应按时整改完毕，工期不因此顺延。发包人可对施工进度、质量、安全进行监督、检查。</w:t>
      </w:r>
    </w:p>
    <w:p w14:paraId="57B7C58A">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12</w:t>
      </w:r>
      <w:r>
        <w:rPr>
          <w:rStyle w:val="222"/>
          <w:rFonts w:hint="eastAsia" w:eastAsia="宋体" w:cs="宋体"/>
          <w:color w:val="auto"/>
          <w:sz w:val="21"/>
          <w:szCs w:val="21"/>
          <w:highlight w:val="none"/>
        </w:rPr>
        <w:t>.2承包人应按合同约定完成对设备的安装与调试，达到合同约定的要求和标准，并保证设备正常运行。发包人在安装与调试过程中应提供必要的协助和配合。在安装调试期间，如果承包人提供的设备、材料有缺陷或由于承包人技术人员的错误或承包人提供的技术资料、图纸、说明书的错误造成发包人设备、材料损坏，承包人应采取必要的补救措施，并赔偿发包人的损失。安装工作完全符合发包人的要求或合同的要求和标准，并且单机试车成功，双方代表可在2个工作日内现场签署安装竣工书。但不免除承包人在安装调试过程中和质量保证期内所应承担的责任。设备整机经联运测试完全符合合同或技术附件约定的技术指标,经双方代表签字确认后，即完成了对全部设备的调试。</w:t>
      </w:r>
    </w:p>
    <w:p w14:paraId="028175DE">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12</w:t>
      </w:r>
      <w:r>
        <w:rPr>
          <w:rStyle w:val="222"/>
          <w:rFonts w:hint="eastAsia" w:eastAsia="宋体" w:cs="宋体"/>
          <w:color w:val="auto"/>
          <w:sz w:val="21"/>
          <w:szCs w:val="21"/>
          <w:highlight w:val="none"/>
        </w:rPr>
        <w:t>.3本合同工程完工并实现满发并网发电后，双方应共同对项目工程开展240小时（30天）试运行。承包人应提前5天将可以进行系统240小时试运行的日期通知发包人。240小时试运行应包括规定的操作试验，以证明工程或分项工程能够在所有可利用的操作条件下安全地操作。240小时试运行，应证明工程运行</w:t>
      </w:r>
      <w:r>
        <w:rPr>
          <w:rStyle w:val="222"/>
          <w:rFonts w:hint="eastAsia" w:ascii="宋体" w:hAnsi="宋体" w:eastAsia="宋体" w:cs="宋体"/>
          <w:color w:val="auto"/>
          <w:sz w:val="21"/>
          <w:szCs w:val="21"/>
          <w:highlight w:val="none"/>
          <w:lang w:eastAsia="zh-CN"/>
        </w:rPr>
        <w:t>稳定</w:t>
      </w:r>
      <w:r>
        <w:rPr>
          <w:rStyle w:val="222"/>
          <w:rFonts w:hint="eastAsia" w:eastAsia="宋体" w:cs="宋体"/>
          <w:color w:val="auto"/>
          <w:sz w:val="21"/>
          <w:szCs w:val="21"/>
          <w:highlight w:val="none"/>
        </w:rPr>
        <w:t>可靠，符合合同要求。</w:t>
      </w:r>
    </w:p>
    <w:p w14:paraId="4CAA7D0E">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如果承包人未经发包人同意、无合理理由地延误240小时试运行，发包人可通知承包人，要求在接到通知后7天内进行240小时试运行，否则，视为承包人违约，按照工期延误处理。</w:t>
      </w:r>
    </w:p>
    <w:p w14:paraId="37BB2380">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如果因承包人原因导致工程未能通过240小时试运行的，承包人应对试运行期间发现的质量问题进行整改，相关整改费用全部由承包人自行承担。待承包人完成全部整改工作后，由承包人向发包人申请再次进行240小时试运行。</w:t>
      </w:r>
    </w:p>
    <w:p w14:paraId="7D1C67DD">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12</w:t>
      </w:r>
      <w:r>
        <w:rPr>
          <w:rStyle w:val="222"/>
          <w:rFonts w:hint="eastAsia" w:eastAsia="宋体" w:cs="宋体"/>
          <w:color w:val="auto"/>
          <w:sz w:val="21"/>
          <w:szCs w:val="21"/>
          <w:highlight w:val="none"/>
        </w:rPr>
        <w:t>.4竣工工程验收以国家、省、市颁发的施工验收规范、质量检验标准及施工图为依据，在进行竣工验收时，承包人应向发包人提供增减工程变更的有关手续和其他洽商记录。工程通过240小时试运行的，承包人按国家工程竣工验收有关规定，向发包人现场代表提供完整竣工资料及竣工验收报告一式三份,发包人接到申请后15日内，确定验收时间并组织验收。竣工验收通过的，发包人签署“工程竣工验收合格证书”发放给承包人。如因承包人原因导致竣工验收未通过的，则由承包人负责对工程存在的质量缺陷进行整改，整改期限为承包人收到发包人的整改通知之日起的30日内完成，相关费用由承包人自行承担。整改完成后，由承包人申请发包人再次组织竣工验收。</w:t>
      </w:r>
    </w:p>
    <w:p w14:paraId="0F7B7F52">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若承包人经过两次整改消缺但仍无法达到竣工验收合格标准的，承包人可申请对本工程项目进行“缺项验收”，即承包人可在以下方案中任选其一，作为本工程项目缺项验收的依据，并在“工程竣工验收合格证书”中予以载明。</w:t>
      </w:r>
    </w:p>
    <w:p w14:paraId="3B8D0FF2">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12</w:t>
      </w:r>
      <w:r>
        <w:rPr>
          <w:rStyle w:val="222"/>
          <w:rFonts w:hint="eastAsia" w:eastAsia="宋体" w:cs="宋体"/>
          <w:color w:val="auto"/>
          <w:sz w:val="21"/>
          <w:szCs w:val="21"/>
          <w:highlight w:val="none"/>
        </w:rPr>
        <w:t>.4.1 双方签署消缺协议，明确约定有条件通过工程竣工验收后，承包人需要继续进行整改消缺的内容以及整改消缺的时间，同时，发包人在整改消缺完成前，不予支付整改消缺部分所对应的合同款项。如承包人在消缺协议中所确定的期限内未完成整改消缺工作的，则发包人有权自行委托第三方进行整改消缺，所产生的费用从暂扣的工程款予以扣除，不足部分由承包人予以承担。</w:t>
      </w:r>
    </w:p>
    <w:p w14:paraId="1B8201D3">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12</w:t>
      </w:r>
      <w:r>
        <w:rPr>
          <w:rStyle w:val="222"/>
          <w:rFonts w:hint="eastAsia" w:eastAsia="宋体" w:cs="宋体"/>
          <w:color w:val="auto"/>
          <w:sz w:val="21"/>
          <w:szCs w:val="21"/>
          <w:highlight w:val="none"/>
        </w:rPr>
        <w:t>.4.2 双方书面确认承包人尚未完成的整改消缺工作，且承包人不再承担整改消缺的工作，整改消缺工作所对应的合同工程款项暂时不予支付。发包人可自行委托第三方进行本工程的整改消缺工作，所产生的费用在发包人暂扣的工程款中扣减，不足部分由承包人承担。</w:t>
      </w:r>
    </w:p>
    <w:p w14:paraId="2A251797">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无论承包人申请采用上述何种方式进行“缺项验收”，均不免除承包人的质量保证责任。</w:t>
      </w:r>
    </w:p>
    <w:p w14:paraId="05A054D9">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双方签署“工程竣工验收合格证书”之日为工程通过竣工验收的日期。</w:t>
      </w:r>
    </w:p>
    <w:p w14:paraId="2930B759">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12</w:t>
      </w:r>
      <w:r>
        <w:rPr>
          <w:rStyle w:val="222"/>
          <w:rFonts w:hint="eastAsia" w:eastAsia="宋体" w:cs="宋体"/>
          <w:color w:val="auto"/>
          <w:sz w:val="21"/>
          <w:szCs w:val="21"/>
          <w:highlight w:val="none"/>
        </w:rPr>
        <w:t>.5本合同项下约定的“质保期”均自工程通过竣工验收之日起算。在质保期内出现任何问题时，</w:t>
      </w:r>
      <w:r>
        <w:rPr>
          <w:rFonts w:hint="eastAsia" w:ascii="Times New Roman" w:hAnsi="Times New Roman" w:eastAsia="宋体" w:cs="Times New Roman"/>
          <w:color w:val="auto"/>
          <w:highlight w:val="none"/>
          <w:lang w:val="en-US" w:eastAsia="zh-CN"/>
        </w:rPr>
        <w:t>承包人</w:t>
      </w:r>
      <w:r>
        <w:rPr>
          <w:rFonts w:hint="eastAsia" w:ascii="Times New Roman" w:hAnsi="Times New Roman" w:eastAsia="宋体" w:cs="Times New Roman"/>
          <w:color w:val="auto"/>
          <w:highlight w:val="none"/>
        </w:rPr>
        <w:t>接到</w:t>
      </w:r>
      <w:r>
        <w:rPr>
          <w:rFonts w:hint="eastAsia" w:ascii="Times New Roman" w:hAnsi="Times New Roman" w:eastAsia="宋体" w:cs="Times New Roman"/>
          <w:color w:val="auto"/>
          <w:highlight w:val="none"/>
          <w:lang w:val="en-US" w:eastAsia="zh-CN"/>
        </w:rPr>
        <w:t>发包人</w:t>
      </w:r>
      <w:r>
        <w:rPr>
          <w:rFonts w:hint="eastAsia" w:ascii="Times New Roman" w:hAnsi="Times New Roman" w:eastAsia="宋体" w:cs="Times New Roman"/>
          <w:color w:val="auto"/>
          <w:highlight w:val="none"/>
        </w:rPr>
        <w:t>通知（书面或电话）1小时内给予答复，</w:t>
      </w:r>
      <w:r>
        <w:rPr>
          <w:rFonts w:hint="eastAsia"/>
          <w:color w:val="auto"/>
          <w:highlight w:val="none"/>
        </w:rPr>
        <w:t>应设立</w:t>
      </w:r>
      <w:r>
        <w:rPr>
          <w:rFonts w:hint="eastAsia"/>
          <w:color w:val="auto"/>
          <w:highlight w:val="none"/>
          <w:lang w:val="en-US" w:eastAsia="zh-CN"/>
        </w:rPr>
        <w:t>服务于本项目的专业</w:t>
      </w:r>
      <w:r>
        <w:rPr>
          <w:rFonts w:hint="eastAsia"/>
          <w:color w:val="auto"/>
          <w:highlight w:val="none"/>
        </w:rPr>
        <w:t>运营维护服务机构</w:t>
      </w:r>
      <w:r>
        <w:rPr>
          <w:rFonts w:hint="eastAsia"/>
          <w:color w:val="auto"/>
          <w:highlight w:val="none"/>
          <w:lang w:eastAsia="zh-CN"/>
        </w:rPr>
        <w:t>，</w:t>
      </w:r>
      <w:r>
        <w:rPr>
          <w:rFonts w:hint="eastAsia"/>
          <w:color w:val="auto"/>
          <w:highlight w:val="none"/>
          <w:lang w:val="en-US" w:eastAsia="zh-CN"/>
        </w:rPr>
        <w:t>并明确服务机构负责人</w:t>
      </w:r>
      <w:r>
        <w:rPr>
          <w:rFonts w:hint="eastAsia" w:ascii="Times New Roman" w:hAnsi="Times New Roman" w:eastAsia="宋体" w:cs="Times New Roman"/>
          <w:color w:val="auto"/>
          <w:highlight w:val="none"/>
        </w:rPr>
        <w:t>，24小时内派专业人员到达</w:t>
      </w:r>
      <w:r>
        <w:rPr>
          <w:rStyle w:val="222"/>
          <w:rFonts w:hint="eastAsia" w:eastAsia="宋体" w:cs="宋体"/>
          <w:color w:val="auto"/>
          <w:sz w:val="21"/>
          <w:szCs w:val="21"/>
          <w:highlight w:val="none"/>
        </w:rPr>
        <w:t>现场处理解决（紧急情况下应立即到达现场）。如承包人在</w:t>
      </w:r>
      <w:r>
        <w:rPr>
          <w:rStyle w:val="222"/>
          <w:rFonts w:hint="eastAsia" w:eastAsia="宋体" w:cs="宋体"/>
          <w:color w:val="auto"/>
          <w:sz w:val="21"/>
          <w:szCs w:val="21"/>
          <w:highlight w:val="none"/>
          <w:lang w:val="en-US" w:eastAsia="zh-CN"/>
        </w:rPr>
        <w:t>48</w:t>
      </w:r>
      <w:r>
        <w:rPr>
          <w:rStyle w:val="222"/>
          <w:rFonts w:hint="eastAsia" w:eastAsia="宋体" w:cs="宋体"/>
          <w:color w:val="auto"/>
          <w:sz w:val="21"/>
          <w:szCs w:val="21"/>
          <w:highlight w:val="none"/>
        </w:rPr>
        <w:t>小时内仍无人员至现场（或紧急情况下未能立即到达现场抢修的），发包人有权另行委托他人进行维修，维修发生的费用由承包人承担，并承担由此造成发包人的全部经济损失（包括发包人光伏电站的电费收入损失、光伏补贴损失等）。质保期内发生的一切维修、抢修费用均由承包人承担。</w:t>
      </w:r>
    </w:p>
    <w:p w14:paraId="570ECA85">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本工程经承包人申请后采取“缺项验收”的，相关整改消缺部分所对应的质保期自整改消缺部分完成且经发包人验收合格之日起算。</w:t>
      </w:r>
    </w:p>
    <w:p w14:paraId="6F682320">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质保期约定：</w:t>
      </w:r>
    </w:p>
    <w:p w14:paraId="7B377406">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建筑物、构筑物（若有）的主体为合理最低使用年限，其屋面防水工程为5年；</w:t>
      </w:r>
    </w:p>
    <w:p w14:paraId="10448D03">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建筑物电气管线、上下水管线等安装工程为2年；</w:t>
      </w:r>
    </w:p>
    <w:p w14:paraId="7651C248">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室外的上下水、道路（若有）等公用工程为2年；</w:t>
      </w:r>
    </w:p>
    <w:p w14:paraId="10CFE9F9">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其余土建（若有）、安装工程质保期为2年。</w:t>
      </w:r>
    </w:p>
    <w:p w14:paraId="010A5B2A">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承包人所提供的设备、材料质保期为5年。</w:t>
      </w:r>
    </w:p>
    <w:p w14:paraId="3EA454B2">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12</w:t>
      </w:r>
      <w:r>
        <w:rPr>
          <w:rStyle w:val="222"/>
          <w:rFonts w:hint="eastAsia" w:eastAsia="宋体" w:cs="宋体"/>
          <w:color w:val="auto"/>
          <w:sz w:val="21"/>
          <w:szCs w:val="21"/>
          <w:highlight w:val="none"/>
        </w:rPr>
        <w:t>.6因承包人施工原因造成的项目所在及周围建筑物、发包人电站内的设备和地下管线损毁的，承包人应根据发包人的要求无偿恢复其原状或进行赔偿，所产生的费用及责任由承包人负责。如因上述问题导致发包人遭受任何损失（包括发包人光伏电站的电费收入损失）或导致发包人向任何第三方（包括项目所在建筑物所有权人）进行赔偿的，发包人有权就该等赔偿向承包人索赔，如发包人索赔时尚有部分合同款项未予支付，则发包人有权从尚未支付的款项中将赔偿金予以扣除。该条约定的效力不因本合同质保期的结束或者本合同的终止而终止。</w:t>
      </w:r>
    </w:p>
    <w:p w14:paraId="34B6A7D7">
      <w:pPr>
        <w:numPr>
          <w:ilvl w:val="0"/>
          <w:numId w:val="8"/>
        </w:numPr>
        <w:spacing w:line="360" w:lineRule="auto"/>
        <w:ind w:left="-17" w:leftChars="0"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暂停施工</w:t>
      </w:r>
    </w:p>
    <w:p w14:paraId="35E583FD">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13.1</w:t>
      </w:r>
      <w:r>
        <w:rPr>
          <w:rStyle w:val="222"/>
          <w:rFonts w:hint="eastAsia" w:eastAsia="宋体" w:cs="宋体"/>
          <w:color w:val="auto"/>
          <w:sz w:val="21"/>
          <w:szCs w:val="21"/>
          <w:highlight w:val="none"/>
        </w:rPr>
        <w:t>发包人代表在确有必要时，可要求承包人暂停施工，并在提出要求后12小时内提出处理意见。承包人应按发包人要求停止施工，并妥善保护已完工工程。承包人实施发包人代表处理意见后，可提出复工要求，发包人代表应在12小时内给予答复。发包人代表未能在规定时间内提出处理意见，或收到承包人复工要求后24小时内未予答复，承包人可自行复工。停工责任在发包人，相应顺延工期；停工责任在承包人的，由承包人承担发生的费用及承担发包人全部损失的赔偿责任(含发包人光伏电站电费收入损失、光伏补贴损失等)。</w:t>
      </w:r>
    </w:p>
    <w:p w14:paraId="692899DA">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13.2</w:t>
      </w:r>
      <w:r>
        <w:rPr>
          <w:rStyle w:val="222"/>
          <w:rFonts w:hint="eastAsia" w:eastAsia="宋体" w:cs="宋体"/>
          <w:color w:val="auto"/>
          <w:sz w:val="21"/>
          <w:szCs w:val="21"/>
          <w:highlight w:val="none"/>
        </w:rPr>
        <w:t>暂停施工期间，由承包人负责对施工现场的设备、材料以及已完成的工程进行保管，由于承包人保管不善导致发包人经济损失的，全部由承包人进行赔偿。</w:t>
      </w:r>
    </w:p>
    <w:p w14:paraId="0D88E438">
      <w:pPr>
        <w:numPr>
          <w:ilvl w:val="0"/>
          <w:numId w:val="8"/>
        </w:numPr>
        <w:spacing w:line="360" w:lineRule="auto"/>
        <w:ind w:left="-17" w:leftChars="0" w:firstLine="420" w:firstLineChars="200"/>
        <w:rPr>
          <w:rStyle w:val="222"/>
          <w:rFonts w:hint="default" w:eastAsia="宋体" w:cs="宋体"/>
          <w:color w:val="auto"/>
          <w:sz w:val="21"/>
          <w:szCs w:val="21"/>
          <w:highlight w:val="none"/>
          <w:lang w:val="en-US" w:eastAsia="zh-CN"/>
        </w:rPr>
      </w:pPr>
      <w:r>
        <w:rPr>
          <w:rStyle w:val="222"/>
          <w:rFonts w:hint="eastAsia" w:eastAsia="宋体" w:cs="宋体"/>
          <w:color w:val="auto"/>
          <w:sz w:val="21"/>
          <w:szCs w:val="21"/>
          <w:highlight w:val="none"/>
        </w:rPr>
        <w:t>施工安全和工伤事故</w:t>
      </w:r>
    </w:p>
    <w:p w14:paraId="18493B91">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1</w:t>
      </w:r>
      <w:r>
        <w:rPr>
          <w:rStyle w:val="222"/>
          <w:rFonts w:hint="eastAsia" w:eastAsia="宋体" w:cs="宋体"/>
          <w:color w:val="auto"/>
          <w:sz w:val="21"/>
          <w:szCs w:val="21"/>
          <w:highlight w:val="none"/>
          <w:lang w:val="en-US" w:eastAsia="zh-CN"/>
        </w:rPr>
        <w:t>4</w:t>
      </w:r>
      <w:r>
        <w:rPr>
          <w:rStyle w:val="222"/>
          <w:rFonts w:hint="eastAsia" w:eastAsia="宋体" w:cs="宋体"/>
          <w:color w:val="auto"/>
          <w:sz w:val="21"/>
          <w:szCs w:val="21"/>
          <w:highlight w:val="none"/>
        </w:rPr>
        <w:t>.1承包人按有关规定，采取严格的安全措施。承担由于自身安全措施不力造成事故的责任和因此发生的费用，非承包人责任造成的伤亡事故、由责任方承担责任和有关费用。发生重大伤亡事故，承包人应按有关规定立即上报有关部门并通知发包人代表。同时按政府有关要求处理。发包人为抢敷提供必要条件。发生的费用由事故责任方承担。承包人在动力设备、高电压线路、地下管道、密封防震车间、易燃易爆地段以及临街交通要道附近施工前，应向发包人代表提出安全保护措施，经发包人代表批准后实施，由承包人承担保护措施费用。在有毒有害环境中施工，承包人应按有关规定提供相应的防护措施，并承担有关的经济支出。</w:t>
      </w:r>
    </w:p>
    <w:p w14:paraId="29BDCE43">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1</w:t>
      </w:r>
      <w:r>
        <w:rPr>
          <w:rStyle w:val="222"/>
          <w:rFonts w:hint="eastAsia" w:eastAsia="宋体" w:cs="宋体"/>
          <w:color w:val="auto"/>
          <w:sz w:val="21"/>
          <w:szCs w:val="21"/>
          <w:highlight w:val="none"/>
          <w:lang w:val="en-US" w:eastAsia="zh-CN"/>
        </w:rPr>
        <w:t>4</w:t>
      </w:r>
      <w:r>
        <w:rPr>
          <w:rStyle w:val="222"/>
          <w:rFonts w:hint="eastAsia" w:eastAsia="宋体" w:cs="宋体"/>
          <w:color w:val="auto"/>
          <w:sz w:val="21"/>
          <w:szCs w:val="21"/>
          <w:highlight w:val="none"/>
        </w:rPr>
        <w:t>.2 施工人员的人身意外伤害保险由承包人办理。承包人应按照本合同第十九条的约定购买相应保险并向发包人提供保单等证明文件。</w:t>
      </w:r>
    </w:p>
    <w:p w14:paraId="0AF07F17">
      <w:pPr>
        <w:spacing w:line="360" w:lineRule="auto"/>
        <w:ind w:firstLine="420" w:firstLineChars="200"/>
        <w:rPr>
          <w:rStyle w:val="222"/>
          <w:rFonts w:hint="eastAsia" w:eastAsia="宋体" w:cs="宋体"/>
          <w:color w:val="auto"/>
          <w:sz w:val="21"/>
          <w:szCs w:val="21"/>
          <w:highlight w:val="none"/>
          <w:lang w:val="en-US" w:eastAsia="zh-CN"/>
        </w:rPr>
      </w:pPr>
      <w:r>
        <w:rPr>
          <w:rStyle w:val="222"/>
          <w:rFonts w:hint="eastAsia" w:eastAsia="宋体" w:cs="宋体"/>
          <w:color w:val="auto"/>
          <w:sz w:val="21"/>
          <w:szCs w:val="21"/>
          <w:highlight w:val="none"/>
          <w:lang w:val="en-US" w:eastAsia="zh-CN"/>
        </w:rPr>
        <w:t>15、其他违约责任</w:t>
      </w:r>
    </w:p>
    <w:p w14:paraId="4EAFAE51">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1</w:t>
      </w:r>
      <w:r>
        <w:rPr>
          <w:rStyle w:val="222"/>
          <w:rFonts w:hint="eastAsia" w:eastAsia="宋体" w:cs="宋体"/>
          <w:color w:val="auto"/>
          <w:sz w:val="21"/>
          <w:szCs w:val="21"/>
          <w:highlight w:val="none"/>
          <w:lang w:val="en-US" w:eastAsia="zh-CN"/>
        </w:rPr>
        <w:t>5</w:t>
      </w:r>
      <w:r>
        <w:rPr>
          <w:rStyle w:val="222"/>
          <w:rFonts w:hint="eastAsia" w:eastAsia="宋体" w:cs="宋体"/>
          <w:color w:val="auto"/>
          <w:sz w:val="21"/>
          <w:szCs w:val="21"/>
          <w:highlight w:val="none"/>
        </w:rPr>
        <w:t>.1 由于承包人责任未按本合同规定的日期竣工的，以实际竣工验收合格日期计算，每延期一天将处以</w:t>
      </w:r>
      <w:r>
        <w:rPr>
          <w:rStyle w:val="222"/>
          <w:rFonts w:hint="eastAsia" w:cs="宋体"/>
          <w:color w:val="auto"/>
          <w:sz w:val="21"/>
          <w:szCs w:val="21"/>
          <w:highlight w:val="none"/>
          <w:lang w:val="en-US" w:eastAsia="zh-CN"/>
        </w:rPr>
        <w:t>10</w:t>
      </w:r>
      <w:r>
        <w:rPr>
          <w:rStyle w:val="222"/>
          <w:rFonts w:hint="eastAsia" w:eastAsia="宋体" w:cs="宋体"/>
          <w:color w:val="auto"/>
          <w:sz w:val="21"/>
          <w:szCs w:val="21"/>
          <w:highlight w:val="none"/>
        </w:rPr>
        <w:t>000元违约金；若工程逾期竣工超过合同约定时间30天(含30天)，视为承包人严重违约，发包人有权解除本合同并要求承包人根据本合同约定承担违约责任（包括发包人光伏电站的电费收入损失以及光伏补贴损失等）。</w:t>
      </w:r>
    </w:p>
    <w:p w14:paraId="78D726B1">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1</w:t>
      </w:r>
      <w:r>
        <w:rPr>
          <w:rStyle w:val="222"/>
          <w:rFonts w:hint="eastAsia" w:eastAsia="宋体" w:cs="宋体"/>
          <w:color w:val="auto"/>
          <w:sz w:val="21"/>
          <w:szCs w:val="21"/>
          <w:highlight w:val="none"/>
          <w:lang w:val="en-US" w:eastAsia="zh-CN"/>
        </w:rPr>
        <w:t>5</w:t>
      </w:r>
      <w:r>
        <w:rPr>
          <w:rStyle w:val="222"/>
          <w:rFonts w:hint="eastAsia" w:eastAsia="宋体" w:cs="宋体"/>
          <w:color w:val="auto"/>
          <w:sz w:val="21"/>
          <w:szCs w:val="21"/>
          <w:highlight w:val="none"/>
        </w:rPr>
        <w:t>.2因承包人原因造成合同无法继续履行，或承包人严重违约，或承包人违反本合同约定经发包人通知后未在规定期限内纠正的，发包人有权立即解除本合同，承包人应向发包人支付本合同总价款10%的违约金，作为向发包人的赔偿，并且承包人应将发包人已经支付的费用及该等费用按照全国银行间同业拆借中心公布的一年期贷款市场报价利率计算的利息退还给发包人，如违约金不足以补偿发包人遭受的损失的，承包人应另行赔偿。</w:t>
      </w:r>
    </w:p>
    <w:p w14:paraId="7DAA7730">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1</w:t>
      </w:r>
      <w:r>
        <w:rPr>
          <w:rStyle w:val="222"/>
          <w:rFonts w:hint="eastAsia" w:eastAsia="宋体" w:cs="宋体"/>
          <w:color w:val="auto"/>
          <w:sz w:val="21"/>
          <w:szCs w:val="21"/>
          <w:highlight w:val="none"/>
          <w:lang w:val="en-US" w:eastAsia="zh-CN"/>
        </w:rPr>
        <w:t>5</w:t>
      </w:r>
      <w:r>
        <w:rPr>
          <w:rStyle w:val="222"/>
          <w:rFonts w:hint="eastAsia" w:eastAsia="宋体" w:cs="宋体"/>
          <w:color w:val="auto"/>
          <w:sz w:val="21"/>
          <w:szCs w:val="21"/>
          <w:highlight w:val="none"/>
        </w:rPr>
        <w:t>.3工程或设备质量不符合约定，承包人应当按照发包人的要求及时进行维修或者整改，由此产生的全部费用均由承包人承担，且由于工程或者承包人采购的设备质量不符合约定导致发包人经济损失（包括发包人光伏电站的电费收入损失、光伏补贴损失等）的，全部由承包人承担。工程或设备质量不符合约定且承包人未按发包人要求采取必要补救措施的，发包人有权解除合同，且要求承包人赔偿发包人损失（包括发包人光伏电站的电费收入损失、光伏补贴损失以及发包人自行补救所花费的全部费用等）。</w:t>
      </w:r>
    </w:p>
    <w:p w14:paraId="1EAB54AE">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1</w:t>
      </w:r>
      <w:r>
        <w:rPr>
          <w:rStyle w:val="222"/>
          <w:rFonts w:hint="eastAsia" w:eastAsia="宋体" w:cs="宋体"/>
          <w:color w:val="auto"/>
          <w:sz w:val="21"/>
          <w:szCs w:val="21"/>
          <w:highlight w:val="none"/>
          <w:lang w:val="en-US" w:eastAsia="zh-CN"/>
        </w:rPr>
        <w:t>5</w:t>
      </w:r>
      <w:r>
        <w:rPr>
          <w:rStyle w:val="222"/>
          <w:rFonts w:hint="eastAsia" w:eastAsia="宋体" w:cs="宋体"/>
          <w:color w:val="auto"/>
          <w:sz w:val="21"/>
          <w:szCs w:val="21"/>
          <w:highlight w:val="none"/>
        </w:rPr>
        <w:t>.</w:t>
      </w:r>
      <w:r>
        <w:rPr>
          <w:rStyle w:val="222"/>
          <w:rFonts w:hint="eastAsia" w:eastAsia="宋体" w:cs="宋体"/>
          <w:color w:val="auto"/>
          <w:sz w:val="21"/>
          <w:szCs w:val="21"/>
          <w:highlight w:val="none"/>
          <w:lang w:val="en-US" w:eastAsia="zh-CN"/>
        </w:rPr>
        <w:t>4</w:t>
      </w:r>
      <w:r>
        <w:rPr>
          <w:rStyle w:val="222"/>
          <w:rFonts w:hint="eastAsia" w:eastAsia="宋体" w:cs="宋体"/>
          <w:color w:val="auto"/>
          <w:sz w:val="21"/>
          <w:szCs w:val="21"/>
          <w:highlight w:val="none"/>
        </w:rPr>
        <w:t xml:space="preserve"> 承包人保证安装施工过程中不侵犯第三方的权利。由施工造成的屋面渗漏、维修、翻修改造或其他损坏，承包人应承担相应的维修及赔偿责任。如承包人未在发包人限定的时间内维修完毕的，发包人有权自行委托第三方进行屋顶修缮，由此产生的维修费用由承包人承担，发包人有权从未付承包人的工程款中扣除相关维修费用，不足部分仍由承包人承担。若承包人未向受损方承担赔偿责任的，发包人有权从后续尚未支付的款项中扣除相应金额代为赔偿给受损方。</w:t>
      </w:r>
    </w:p>
    <w:p w14:paraId="40235A56">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1</w:t>
      </w:r>
      <w:r>
        <w:rPr>
          <w:rStyle w:val="222"/>
          <w:rFonts w:hint="eastAsia" w:eastAsia="宋体" w:cs="宋体"/>
          <w:color w:val="auto"/>
          <w:sz w:val="21"/>
          <w:szCs w:val="21"/>
          <w:highlight w:val="none"/>
          <w:lang w:val="en-US" w:eastAsia="zh-CN"/>
        </w:rPr>
        <w:t>5</w:t>
      </w:r>
      <w:r>
        <w:rPr>
          <w:rStyle w:val="222"/>
          <w:rFonts w:hint="eastAsia" w:eastAsia="宋体" w:cs="宋体"/>
          <w:color w:val="auto"/>
          <w:sz w:val="21"/>
          <w:szCs w:val="21"/>
          <w:highlight w:val="none"/>
        </w:rPr>
        <w:t>.</w:t>
      </w:r>
      <w:r>
        <w:rPr>
          <w:rStyle w:val="222"/>
          <w:rFonts w:hint="eastAsia" w:eastAsia="宋体" w:cs="宋体"/>
          <w:color w:val="auto"/>
          <w:sz w:val="21"/>
          <w:szCs w:val="21"/>
          <w:highlight w:val="none"/>
          <w:lang w:val="en-US" w:eastAsia="zh-CN"/>
        </w:rPr>
        <w:t>5</w:t>
      </w:r>
      <w:r>
        <w:rPr>
          <w:rStyle w:val="222"/>
          <w:rFonts w:hint="eastAsia" w:eastAsia="宋体" w:cs="宋体"/>
          <w:color w:val="auto"/>
          <w:sz w:val="21"/>
          <w:szCs w:val="21"/>
          <w:highlight w:val="none"/>
        </w:rPr>
        <w:t>承包人应当在项目竣工前对项目电站组件清洗一次，如承包人在项目竣工前未清洗组件的，则发包人有权委托第三方清洗组件，由此产生的费用由承包人承担，发包人有权从未付承包人的工程款中直接扣除委托第三方清洗组件的费用。</w:t>
      </w:r>
    </w:p>
    <w:p w14:paraId="01DB9349">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1</w:t>
      </w:r>
      <w:r>
        <w:rPr>
          <w:rStyle w:val="222"/>
          <w:rFonts w:hint="eastAsia" w:eastAsia="宋体" w:cs="宋体"/>
          <w:color w:val="auto"/>
          <w:sz w:val="21"/>
          <w:szCs w:val="21"/>
          <w:highlight w:val="none"/>
          <w:lang w:val="en-US" w:eastAsia="zh-CN"/>
        </w:rPr>
        <w:t>5</w:t>
      </w:r>
      <w:r>
        <w:rPr>
          <w:rStyle w:val="222"/>
          <w:rFonts w:hint="eastAsia" w:eastAsia="宋体" w:cs="宋体"/>
          <w:color w:val="auto"/>
          <w:sz w:val="21"/>
          <w:szCs w:val="21"/>
          <w:highlight w:val="none"/>
        </w:rPr>
        <w:t>.</w:t>
      </w:r>
      <w:r>
        <w:rPr>
          <w:rStyle w:val="222"/>
          <w:rFonts w:hint="eastAsia" w:eastAsia="宋体" w:cs="宋体"/>
          <w:color w:val="auto"/>
          <w:sz w:val="21"/>
          <w:szCs w:val="21"/>
          <w:highlight w:val="none"/>
          <w:lang w:val="en-US" w:eastAsia="zh-CN"/>
        </w:rPr>
        <w:t>6</w:t>
      </w:r>
      <w:r>
        <w:rPr>
          <w:rStyle w:val="222"/>
          <w:rFonts w:hint="eastAsia" w:eastAsia="宋体" w:cs="宋体"/>
          <w:color w:val="auto"/>
          <w:sz w:val="21"/>
          <w:szCs w:val="21"/>
          <w:highlight w:val="none"/>
        </w:rPr>
        <w:t xml:space="preserve"> 承包人未按照约定期限向发包人开具符合要求的履约保函及质量保函，或履约保函及质量保函到期后/失效后/金额不足后，承包人未向发包人提供新的同类银行履约保函或质量保函的，每逾期一天，发包人有权要求承包人支付保函金额3%的违约金，违约金计算至承包人开具合格的银行履约保函、质量保函之日止。</w:t>
      </w:r>
    </w:p>
    <w:p w14:paraId="7A9AC6A5">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16、</w:t>
      </w:r>
      <w:r>
        <w:rPr>
          <w:rStyle w:val="222"/>
          <w:rFonts w:hint="eastAsia" w:eastAsia="宋体" w:cs="宋体"/>
          <w:color w:val="auto"/>
          <w:sz w:val="21"/>
          <w:szCs w:val="21"/>
          <w:highlight w:val="none"/>
        </w:rPr>
        <w:t>本工程竣工后，应将施工现场周围和施工单位生活区周围现场清除干净；无建筑材料、无建筑设备、无临时垃圾、无坑池渠沟、无掩埋的硬化道路和垃圾，场地整洁。</w:t>
      </w:r>
    </w:p>
    <w:p w14:paraId="154CCD56">
      <w:pPr>
        <w:spacing w:line="360" w:lineRule="auto"/>
        <w:ind w:firstLine="420" w:firstLineChars="200"/>
        <w:rPr>
          <w:rStyle w:val="222"/>
          <w:rFonts w:hint="eastAsia" w:eastAsia="宋体" w:cs="宋体"/>
          <w:color w:val="auto"/>
          <w:sz w:val="21"/>
          <w:szCs w:val="21"/>
          <w:highlight w:val="none"/>
        </w:rPr>
      </w:pPr>
      <w:r>
        <w:rPr>
          <w:rStyle w:val="222"/>
          <w:rFonts w:hint="eastAsia" w:eastAsia="宋体" w:cs="宋体"/>
          <w:color w:val="auto"/>
          <w:sz w:val="21"/>
          <w:szCs w:val="21"/>
          <w:highlight w:val="none"/>
          <w:lang w:val="en-US" w:eastAsia="zh-CN"/>
        </w:rPr>
        <w:t>17、</w:t>
      </w:r>
      <w:r>
        <w:rPr>
          <w:rStyle w:val="222"/>
          <w:rFonts w:hint="eastAsia" w:eastAsia="宋体" w:cs="宋体"/>
          <w:color w:val="auto"/>
          <w:sz w:val="21"/>
          <w:szCs w:val="21"/>
          <w:highlight w:val="none"/>
        </w:rPr>
        <w:t>承包人应负责协调好与施工现场周围关系，由此产生费用由承包人承担。</w:t>
      </w:r>
    </w:p>
    <w:p w14:paraId="1C1183E5">
      <w:pPr>
        <w:pStyle w:val="2"/>
        <w:ind w:left="0" w:leftChars="0" w:firstLine="420" w:firstLineChars="200"/>
        <w:rPr>
          <w:rFonts w:hint="default" w:eastAsia="宋体"/>
          <w:color w:val="auto"/>
          <w:highlight w:val="none"/>
          <w:lang w:val="en-US" w:eastAsia="zh-CN"/>
        </w:rPr>
      </w:pPr>
      <w:r>
        <w:rPr>
          <w:rStyle w:val="222"/>
          <w:rFonts w:hint="eastAsia" w:eastAsia="宋体" w:cs="宋体"/>
          <w:color w:val="auto"/>
          <w:sz w:val="21"/>
          <w:szCs w:val="21"/>
          <w:highlight w:val="none"/>
          <w:lang w:val="en-US" w:eastAsia="zh-CN"/>
        </w:rPr>
        <w:t>18、</w:t>
      </w:r>
      <w:r>
        <w:rPr>
          <w:rFonts w:hint="eastAsia"/>
          <w:color w:val="auto"/>
          <w:highlight w:val="none"/>
          <w:lang w:val="en-US" w:eastAsia="zh-CN"/>
        </w:rPr>
        <w:t>设备调试运行期间,所产生的水电气、人员工资、设备、易损件等一切费用由承包人承担</w:t>
      </w:r>
    </w:p>
    <w:p w14:paraId="4462F0F8">
      <w:pPr>
        <w:rPr>
          <w:rFonts w:hint="default"/>
          <w:color w:val="auto"/>
          <w:highlight w:val="none"/>
          <w:lang w:val="en-US" w:eastAsia="zh-CN"/>
        </w:rPr>
      </w:pPr>
      <w:r>
        <w:rPr>
          <w:rFonts w:hint="default"/>
          <w:color w:val="auto"/>
          <w:highlight w:val="none"/>
          <w:lang w:val="en-US" w:eastAsia="zh-CN"/>
        </w:rPr>
        <w:br w:type="page"/>
      </w:r>
    </w:p>
    <w:p w14:paraId="74AC0E92">
      <w:pPr>
        <w:pStyle w:val="7"/>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附件1：</w:t>
      </w:r>
      <w:r>
        <w:rPr>
          <w:rFonts w:hint="eastAsia" w:ascii="宋体" w:hAnsi="宋体" w:eastAsia="宋体" w:cs="宋体"/>
          <w:color w:val="auto"/>
          <w:sz w:val="21"/>
          <w:szCs w:val="21"/>
          <w:highlight w:val="none"/>
        </w:rPr>
        <w:t>施工质量协议</w:t>
      </w:r>
    </w:p>
    <w:p w14:paraId="69C726C3">
      <w:pPr>
        <w:autoSpaceDE w:val="0"/>
        <w:autoSpaceDN w:val="0"/>
        <w:adjustRightInd w:val="0"/>
        <w:spacing w:line="360" w:lineRule="auto"/>
        <w:jc w:val="center"/>
        <w:rPr>
          <w:rFonts w:hint="eastAsia" w:ascii="宋体" w:hAnsi="宋体" w:cs="宋体"/>
          <w:b/>
          <w:color w:val="auto"/>
          <w:szCs w:val="21"/>
          <w:highlight w:val="none"/>
        </w:rPr>
      </w:pPr>
      <w:r>
        <w:rPr>
          <w:rFonts w:hint="eastAsia" w:ascii="宋体" w:hAnsi="宋体" w:cs="宋体"/>
          <w:b/>
          <w:color w:val="auto"/>
          <w:szCs w:val="21"/>
          <w:highlight w:val="none"/>
        </w:rPr>
        <w:t>第一章 总则</w:t>
      </w:r>
    </w:p>
    <w:p w14:paraId="1E4110C7">
      <w:pPr>
        <w:autoSpaceDE w:val="0"/>
        <w:autoSpaceDN w:val="0"/>
        <w:adjustRightInd w:val="0"/>
        <w:spacing w:line="360" w:lineRule="auto"/>
        <w:ind w:firstLine="480"/>
        <w:jc w:val="left"/>
        <w:rPr>
          <w:rFonts w:hint="eastAsia" w:ascii="宋体" w:hAnsi="宋体" w:cs="宋体"/>
          <w:color w:val="auto"/>
          <w:szCs w:val="21"/>
          <w:highlight w:val="none"/>
        </w:rPr>
      </w:pPr>
      <w:r>
        <w:rPr>
          <w:rFonts w:hint="eastAsia" w:ascii="宋体" w:hAnsi="宋体" w:cs="宋体"/>
          <w:color w:val="auto"/>
          <w:szCs w:val="21"/>
          <w:highlight w:val="none"/>
        </w:rPr>
        <w:t>为了加强对</w:t>
      </w:r>
      <w:r>
        <w:rPr>
          <w:rFonts w:hint="eastAsia" w:ascii="宋体" w:hAnsi="宋体" w:cs="宋体"/>
          <w:color w:val="auto"/>
          <w:szCs w:val="21"/>
          <w:highlight w:val="none"/>
          <w:lang w:val="en-US" w:eastAsia="zh-CN"/>
        </w:rPr>
        <w:t>本项目</w:t>
      </w:r>
      <w:r>
        <w:rPr>
          <w:rFonts w:hint="eastAsia" w:ascii="宋体" w:hAnsi="宋体" w:cs="宋体"/>
          <w:color w:val="auto"/>
          <w:szCs w:val="21"/>
          <w:highlight w:val="none"/>
        </w:rPr>
        <w:t>建设工程质量的管理，保证建设工程质量，履行</w:t>
      </w:r>
      <w:r>
        <w:rPr>
          <w:rFonts w:hint="eastAsia" w:ascii="宋体" w:hAnsi="宋体" w:cs="宋体"/>
          <w:color w:val="auto"/>
          <w:szCs w:val="21"/>
          <w:highlight w:val="none"/>
          <w:lang w:val="en-US" w:eastAsia="zh-CN"/>
        </w:rPr>
        <w:t>本项目</w:t>
      </w:r>
      <w:r>
        <w:rPr>
          <w:rFonts w:hint="eastAsia" w:ascii="宋体" w:hAnsi="宋体" w:cs="宋体"/>
          <w:color w:val="auto"/>
          <w:szCs w:val="21"/>
          <w:highlight w:val="none"/>
        </w:rPr>
        <w:t>合同内容，根据《中华人民共和国建筑法》，制定本条例。</w:t>
      </w:r>
    </w:p>
    <w:p w14:paraId="06C90EB5">
      <w:pPr>
        <w:autoSpaceDE w:val="0"/>
        <w:autoSpaceDN w:val="0"/>
        <w:adjustRightInd w:val="0"/>
        <w:spacing w:line="360" w:lineRule="auto"/>
        <w:ind w:firstLine="480"/>
        <w:jc w:val="left"/>
        <w:rPr>
          <w:rFonts w:hint="eastAsia"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u w:val="single"/>
          <w:lang w:val="en-US" w:eastAsia="zh-CN"/>
        </w:rPr>
        <w:t xml:space="preserve">              </w:t>
      </w:r>
      <w:r>
        <w:rPr>
          <w:rFonts w:hint="eastAsia" w:ascii="宋体" w:hAnsi="宋体" w:eastAsia="宋体" w:cs="宋体"/>
          <w:color w:val="auto"/>
          <w:szCs w:val="21"/>
          <w:highlight w:val="none"/>
        </w:rPr>
        <w:t>总承包</w:t>
      </w:r>
      <w:r>
        <w:rPr>
          <w:rFonts w:hint="eastAsia" w:ascii="宋体" w:hAnsi="宋体" w:cs="宋体"/>
          <w:color w:val="auto"/>
          <w:szCs w:val="21"/>
          <w:highlight w:val="none"/>
        </w:rPr>
        <w:t>合同》承包范围内的所有工作内容，必须遵守本条例。</w:t>
      </w:r>
    </w:p>
    <w:p w14:paraId="748D55C4">
      <w:pPr>
        <w:autoSpaceDE w:val="0"/>
        <w:autoSpaceDN w:val="0"/>
        <w:adjustRightInd w:val="0"/>
        <w:spacing w:line="360" w:lineRule="auto"/>
        <w:ind w:firstLine="480"/>
        <w:jc w:val="left"/>
        <w:rPr>
          <w:rFonts w:hint="eastAsia" w:ascii="宋体" w:hAnsi="宋体" w:cs="宋体"/>
          <w:color w:val="auto"/>
          <w:szCs w:val="21"/>
          <w:highlight w:val="none"/>
        </w:rPr>
      </w:pPr>
      <w:r>
        <w:rPr>
          <w:rFonts w:hint="eastAsia" w:ascii="宋体" w:hAnsi="宋体" w:cs="宋体"/>
          <w:color w:val="auto"/>
          <w:szCs w:val="21"/>
          <w:highlight w:val="none"/>
        </w:rPr>
        <w:t>本条例所称建设工程，是指《</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总承包合同》承包范围内的所有工作内容，包括但不限于土木工程、建筑工程、线路管道和设备安装工程及装修工程、调试工程等。</w:t>
      </w:r>
    </w:p>
    <w:p w14:paraId="43740299">
      <w:pPr>
        <w:autoSpaceDE w:val="0"/>
        <w:autoSpaceDN w:val="0"/>
        <w:adjustRightInd w:val="0"/>
        <w:spacing w:line="360" w:lineRule="auto"/>
        <w:ind w:firstLine="480"/>
        <w:jc w:val="left"/>
        <w:rPr>
          <w:rFonts w:hint="eastAsia" w:ascii="宋体" w:hAnsi="宋体" w:cs="宋体"/>
          <w:color w:val="auto"/>
          <w:szCs w:val="21"/>
          <w:highlight w:val="none"/>
        </w:rPr>
      </w:pPr>
      <w:r>
        <w:rPr>
          <w:rFonts w:hint="eastAsia" w:ascii="宋体" w:hAnsi="宋体" w:cs="宋体"/>
          <w:color w:val="auto"/>
          <w:szCs w:val="21"/>
          <w:highlight w:val="none"/>
        </w:rPr>
        <w:t>本项目工程建设，必须严格按照设计图纸要求、相关法律法规和国家及行业标准建设。</w:t>
      </w:r>
    </w:p>
    <w:p w14:paraId="00095FDB">
      <w:pPr>
        <w:autoSpaceDE w:val="0"/>
        <w:autoSpaceDN w:val="0"/>
        <w:adjustRightInd w:val="0"/>
        <w:spacing w:line="360" w:lineRule="auto"/>
        <w:ind w:firstLine="480"/>
        <w:jc w:val="left"/>
        <w:rPr>
          <w:rFonts w:hint="eastAsia" w:ascii="宋体" w:hAnsi="宋体" w:cs="宋体"/>
          <w:color w:val="auto"/>
          <w:szCs w:val="21"/>
          <w:highlight w:val="none"/>
        </w:rPr>
      </w:pPr>
      <w:r>
        <w:rPr>
          <w:rFonts w:hint="eastAsia" w:ascii="宋体" w:hAnsi="宋体" w:cs="宋体"/>
          <w:color w:val="auto"/>
          <w:szCs w:val="21"/>
          <w:highlight w:val="none"/>
        </w:rPr>
        <w:t>发包人鼓励采用先进的科学技术和管理方法，提高建设工程质量。</w:t>
      </w:r>
    </w:p>
    <w:p w14:paraId="18033C08">
      <w:pPr>
        <w:autoSpaceDE w:val="0"/>
        <w:autoSpaceDN w:val="0"/>
        <w:adjustRightInd w:val="0"/>
        <w:spacing w:line="360" w:lineRule="auto"/>
        <w:ind w:firstLine="480"/>
        <w:jc w:val="left"/>
        <w:rPr>
          <w:rFonts w:hint="eastAsia" w:ascii="宋体" w:hAnsi="宋体" w:cs="宋体"/>
          <w:color w:val="auto"/>
          <w:szCs w:val="21"/>
          <w:highlight w:val="none"/>
        </w:rPr>
      </w:pPr>
      <w:r>
        <w:rPr>
          <w:rFonts w:hint="eastAsia" w:ascii="宋体" w:hAnsi="宋体" w:cs="宋体"/>
          <w:color w:val="auto"/>
          <w:szCs w:val="21"/>
          <w:highlight w:val="none"/>
        </w:rPr>
        <w:t>本责任书与合同正文具有同等法律效力，与合同同时生效。</w:t>
      </w:r>
    </w:p>
    <w:p w14:paraId="5106B8A2">
      <w:pPr>
        <w:autoSpaceDE w:val="0"/>
        <w:autoSpaceDN w:val="0"/>
        <w:adjustRightInd w:val="0"/>
        <w:spacing w:line="360" w:lineRule="auto"/>
        <w:jc w:val="center"/>
        <w:rPr>
          <w:rFonts w:hint="eastAsia" w:ascii="宋体" w:hAnsi="宋体" w:cs="宋体"/>
          <w:b/>
          <w:color w:val="auto"/>
          <w:szCs w:val="21"/>
          <w:highlight w:val="none"/>
        </w:rPr>
      </w:pPr>
      <w:r>
        <w:rPr>
          <w:rFonts w:hint="eastAsia" w:ascii="宋体" w:hAnsi="宋体" w:cs="宋体"/>
          <w:b/>
          <w:color w:val="auto"/>
          <w:szCs w:val="21"/>
          <w:highlight w:val="none"/>
        </w:rPr>
        <w:t>第二章 承包人的质量责任和义务</w:t>
      </w:r>
    </w:p>
    <w:p w14:paraId="1995CD12">
      <w:pPr>
        <w:pStyle w:val="68"/>
        <w:numPr>
          <w:ilvl w:val="0"/>
          <w:numId w:val="9"/>
        </w:numPr>
        <w:autoSpaceDE w:val="0"/>
        <w:autoSpaceDN w:val="0"/>
        <w:adjustRightInd w:val="0"/>
        <w:spacing w:line="360" w:lineRule="auto"/>
        <w:ind w:firstLineChars="0"/>
        <w:jc w:val="left"/>
        <w:rPr>
          <w:rFonts w:hint="eastAsia" w:ascii="宋体" w:hAnsi="宋体" w:cs="宋体"/>
          <w:color w:val="auto"/>
          <w:szCs w:val="21"/>
          <w:highlight w:val="none"/>
        </w:rPr>
      </w:pPr>
      <w:r>
        <w:rPr>
          <w:rFonts w:hint="eastAsia" w:ascii="宋体" w:hAnsi="宋体" w:cs="宋体"/>
          <w:color w:val="auto"/>
          <w:szCs w:val="21"/>
          <w:highlight w:val="none"/>
        </w:rPr>
        <w:t>本工程如有必须专业分包的项目，承包人应当将工程分包给具有相应资质等级的单位。承包人不得将建设工程肢解发包。</w:t>
      </w:r>
    </w:p>
    <w:p w14:paraId="3F1B399C">
      <w:pPr>
        <w:pStyle w:val="68"/>
        <w:numPr>
          <w:ilvl w:val="0"/>
          <w:numId w:val="9"/>
        </w:numPr>
        <w:autoSpaceDE w:val="0"/>
        <w:autoSpaceDN w:val="0"/>
        <w:adjustRightInd w:val="0"/>
        <w:spacing w:line="360" w:lineRule="auto"/>
        <w:ind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应当对工程建设项目的专业分包施工、以及与工程建设有关的重要设备、材料等的采购进行招标。发包人有权参与评标及定标过程，如中标单位或设备、材料的采购结果对项目建设有重大影响，发包人对最终结果有权提出异议，并要求承包人重新招标。</w:t>
      </w:r>
    </w:p>
    <w:p w14:paraId="24901F3E">
      <w:pPr>
        <w:pStyle w:val="68"/>
        <w:numPr>
          <w:ilvl w:val="0"/>
          <w:numId w:val="9"/>
        </w:numPr>
        <w:autoSpaceDE w:val="0"/>
        <w:autoSpaceDN w:val="0"/>
        <w:adjustRightInd w:val="0"/>
        <w:spacing w:line="360" w:lineRule="auto"/>
        <w:ind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承包人应向发包人提供针对本项目的物资和设备的采购合同的原件和复印件（各一份），并作为竣工验收款支付的前提条件。</w:t>
      </w:r>
    </w:p>
    <w:p w14:paraId="3FE8D1AD">
      <w:pPr>
        <w:pStyle w:val="68"/>
        <w:numPr>
          <w:ilvl w:val="0"/>
          <w:numId w:val="9"/>
        </w:numPr>
        <w:autoSpaceDE w:val="0"/>
        <w:autoSpaceDN w:val="0"/>
        <w:adjustRightInd w:val="0"/>
        <w:spacing w:line="360" w:lineRule="auto"/>
        <w:ind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承包人必须向有关的施工、工程监理等单位提供与建设工程有关的原始资料。原始资料必须真实、准确、齐全。</w:t>
      </w:r>
    </w:p>
    <w:p w14:paraId="6E02928B">
      <w:pPr>
        <w:pStyle w:val="68"/>
        <w:numPr>
          <w:ilvl w:val="0"/>
          <w:numId w:val="9"/>
        </w:numPr>
        <w:autoSpaceDE w:val="0"/>
        <w:autoSpaceDN w:val="0"/>
        <w:adjustRightInd w:val="0"/>
        <w:spacing w:line="360" w:lineRule="auto"/>
        <w:ind w:firstLineChars="0"/>
        <w:jc w:val="left"/>
        <w:rPr>
          <w:rFonts w:hint="eastAsia" w:ascii="宋体" w:hAnsi="宋体" w:cs="宋体"/>
          <w:color w:val="auto"/>
          <w:szCs w:val="21"/>
          <w:highlight w:val="none"/>
        </w:rPr>
      </w:pPr>
      <w:r>
        <w:rPr>
          <w:rFonts w:hint="eastAsia" w:ascii="宋体" w:hAnsi="宋体" w:cs="宋体"/>
          <w:color w:val="auto"/>
          <w:szCs w:val="21"/>
          <w:highlight w:val="none"/>
        </w:rPr>
        <w:t>施工图纸必须由</w:t>
      </w:r>
      <w:r>
        <w:rPr>
          <w:rFonts w:hint="eastAsia" w:ascii="宋体" w:hAnsi="宋体" w:cs="宋体"/>
          <w:strike w:val="0"/>
          <w:dstrike w:val="0"/>
          <w:color w:val="auto"/>
          <w:szCs w:val="21"/>
          <w:highlight w:val="none"/>
          <w:lang w:val="en-US" w:eastAsia="zh-CN"/>
        </w:rPr>
        <w:t>发包人</w:t>
      </w:r>
      <w:r>
        <w:rPr>
          <w:rFonts w:hint="eastAsia" w:ascii="宋体" w:hAnsi="宋体" w:cs="宋体"/>
          <w:color w:val="auto"/>
          <w:szCs w:val="21"/>
          <w:highlight w:val="none"/>
        </w:rPr>
        <w:t>组织进行图纸会审，施工图设计文件未经审查批准的，不得使用。</w:t>
      </w:r>
    </w:p>
    <w:p w14:paraId="411E4FC2">
      <w:pPr>
        <w:pStyle w:val="68"/>
        <w:numPr>
          <w:ilvl w:val="0"/>
          <w:numId w:val="9"/>
        </w:numPr>
        <w:autoSpaceDE w:val="0"/>
        <w:autoSpaceDN w:val="0"/>
        <w:adjustRightInd w:val="0"/>
        <w:spacing w:line="360" w:lineRule="auto"/>
        <w:ind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承包人承包范围内包括工程设计时，图纸必须经过发包人书面确认同意后方可按图施工。</w:t>
      </w:r>
    </w:p>
    <w:p w14:paraId="15719E6D">
      <w:pPr>
        <w:pStyle w:val="68"/>
        <w:numPr>
          <w:ilvl w:val="0"/>
          <w:numId w:val="9"/>
        </w:numPr>
        <w:autoSpaceDE w:val="0"/>
        <w:autoSpaceDN w:val="0"/>
        <w:adjustRightInd w:val="0"/>
        <w:spacing w:line="360" w:lineRule="auto"/>
        <w:ind w:firstLineChars="0"/>
        <w:jc w:val="left"/>
        <w:rPr>
          <w:rFonts w:hint="eastAsia" w:ascii="宋体" w:hAnsi="宋体" w:cs="宋体"/>
          <w:color w:val="auto"/>
          <w:szCs w:val="21"/>
          <w:highlight w:val="none"/>
        </w:rPr>
      </w:pPr>
      <w:r>
        <w:rPr>
          <w:rFonts w:hint="eastAsia" w:ascii="宋体" w:hAnsi="宋体" w:cs="宋体"/>
          <w:color w:val="auto"/>
          <w:szCs w:val="21"/>
          <w:highlight w:val="none"/>
        </w:rPr>
        <w:t>涉及建筑主体和承重结构变动的装修工程，承包人应当在施工前委托原设计单位或者具有相应资质等级的设计单位提出设计方案；没有设计方案的，不得施工。房屋建筑使用者在装修过程中，不得擅自变动房屋建筑主体和承重结构。</w:t>
      </w:r>
    </w:p>
    <w:p w14:paraId="3D3A3D9F">
      <w:pPr>
        <w:pStyle w:val="68"/>
        <w:numPr>
          <w:ilvl w:val="0"/>
          <w:numId w:val="9"/>
        </w:numPr>
        <w:autoSpaceDE w:val="0"/>
        <w:autoSpaceDN w:val="0"/>
        <w:adjustRightInd w:val="0"/>
        <w:spacing w:line="360" w:lineRule="auto"/>
        <w:ind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应当建立质量责任制，确定工程项目的项目经理、技术负责人和施工管理负责人。建设工程实行总承包的，总承包单位应当对全部建设工程质量负责；建设工程施工、设备采购的一项或者多项实行总承包的，总承包单位应当对其承包的建设工程或者采购的设备的质量负责。</w:t>
      </w:r>
    </w:p>
    <w:p w14:paraId="19CE8A7D">
      <w:pPr>
        <w:pStyle w:val="68"/>
        <w:numPr>
          <w:ilvl w:val="0"/>
          <w:numId w:val="9"/>
        </w:numPr>
        <w:autoSpaceDE w:val="0"/>
        <w:autoSpaceDN w:val="0"/>
        <w:adjustRightInd w:val="0"/>
        <w:spacing w:line="360" w:lineRule="auto"/>
        <w:ind w:firstLineChars="0"/>
        <w:jc w:val="left"/>
        <w:rPr>
          <w:rFonts w:hint="eastAsia" w:ascii="宋体" w:hAnsi="宋体" w:cs="宋体"/>
          <w:color w:val="auto"/>
          <w:szCs w:val="21"/>
          <w:highlight w:val="none"/>
        </w:rPr>
      </w:pPr>
      <w:r>
        <w:rPr>
          <w:rFonts w:hint="eastAsia" w:ascii="宋体" w:hAnsi="宋体" w:cs="宋体"/>
          <w:color w:val="auto"/>
          <w:szCs w:val="21"/>
          <w:highlight w:val="none"/>
        </w:rPr>
        <w:t>总承包单位依法将建设工程分包给其他单位的，分包单位应当按照分包合同的约定对其分包工程的质量向总承包单位负责，总承包单位与分包单位对分包工程的质量承担连带责任。</w:t>
      </w:r>
    </w:p>
    <w:p w14:paraId="122D51F3">
      <w:pPr>
        <w:pStyle w:val="68"/>
        <w:numPr>
          <w:ilvl w:val="0"/>
          <w:numId w:val="9"/>
        </w:numPr>
        <w:autoSpaceDE w:val="0"/>
        <w:autoSpaceDN w:val="0"/>
        <w:adjustRightInd w:val="0"/>
        <w:spacing w:line="360" w:lineRule="auto"/>
        <w:ind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承包人必须按照工程设计图纸和施工技术标准施工，不得擅自修改工程设计，不得偷工减料。承包人在施工过程中发现设计文件和图纸有差错的，应当及时提出意见和建议。</w:t>
      </w:r>
    </w:p>
    <w:p w14:paraId="207F15D7">
      <w:pPr>
        <w:pStyle w:val="68"/>
        <w:numPr>
          <w:ilvl w:val="0"/>
          <w:numId w:val="9"/>
        </w:numPr>
        <w:autoSpaceDE w:val="0"/>
        <w:autoSpaceDN w:val="0"/>
        <w:adjustRightInd w:val="0"/>
        <w:spacing w:line="360" w:lineRule="auto"/>
        <w:ind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承包人必须按照工程设计要求、施工技术标准和合同约定，对建筑材料、建筑构配件、设备和商品混凝土进行检验，检验应当有书面记录和专人签字；未经检验或者检验不合格的，不得使用。</w:t>
      </w:r>
    </w:p>
    <w:p w14:paraId="6EAD6002">
      <w:pPr>
        <w:pStyle w:val="68"/>
        <w:numPr>
          <w:ilvl w:val="0"/>
          <w:numId w:val="9"/>
        </w:numPr>
        <w:autoSpaceDE w:val="0"/>
        <w:autoSpaceDN w:val="0"/>
        <w:adjustRightInd w:val="0"/>
        <w:spacing w:line="360" w:lineRule="auto"/>
        <w:ind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承包人使用的电缆套管等必须符合设计要求且为阻燃材料，承包人使用非阻燃材料的，发包人有权对工程不予验收并要求承包人限期更换且赔偿因更换电缆套管导致的发电量损失。</w:t>
      </w:r>
    </w:p>
    <w:p w14:paraId="3CA38201">
      <w:pPr>
        <w:pStyle w:val="68"/>
        <w:numPr>
          <w:ilvl w:val="0"/>
          <w:numId w:val="9"/>
        </w:numPr>
        <w:autoSpaceDE w:val="0"/>
        <w:autoSpaceDN w:val="0"/>
        <w:adjustRightInd w:val="0"/>
        <w:spacing w:line="360" w:lineRule="auto"/>
        <w:ind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应按规范施工，严禁把电缆接头（包括光伏线插头）敷设于套管中，发包人检查时一经发现，承包人应在接到通知48小时内开始整改，整改期间造成的发电量损失由承包人承担。造成火灾事故的，由承包人承担相关损失。</w:t>
      </w:r>
    </w:p>
    <w:p w14:paraId="1E8A18E5">
      <w:pPr>
        <w:pStyle w:val="68"/>
        <w:numPr>
          <w:ilvl w:val="0"/>
          <w:numId w:val="9"/>
        </w:numPr>
        <w:autoSpaceDE w:val="0"/>
        <w:autoSpaceDN w:val="0"/>
        <w:adjustRightInd w:val="0"/>
        <w:spacing w:line="360" w:lineRule="auto"/>
        <w:ind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施工前应对屋面的防水情况进行确认，存在问题的，应及时反馈发包人，承包人未向发包人反馈屋面防水问题或承包人已开始在屋面施工的，即视作屋面防水情况良好，后续在施工期间至竣工验收合格后的一个雨季内发生的屋面漏水问题，承包人应予以免费维修并承担漏水造成的相关损失。</w:t>
      </w:r>
    </w:p>
    <w:p w14:paraId="49A86029">
      <w:pPr>
        <w:pStyle w:val="68"/>
        <w:numPr>
          <w:ilvl w:val="0"/>
          <w:numId w:val="9"/>
        </w:numPr>
        <w:autoSpaceDE w:val="0"/>
        <w:autoSpaceDN w:val="0"/>
        <w:adjustRightInd w:val="0"/>
        <w:spacing w:line="360" w:lineRule="auto"/>
        <w:ind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对涉及结构安全的试块、试件以及有关材料，应当在发包人或者工程监理单位监督下现场取样，并送具有相应资质等级的质量检测单位进行检测。对于施工过程中发现承包人使用不合格的建筑材料、建筑构配件和设备的，视情节轻重及对项目工程质量影响的处以1万至100万元不等的罚款。</w:t>
      </w:r>
    </w:p>
    <w:p w14:paraId="588667F3">
      <w:pPr>
        <w:pStyle w:val="68"/>
        <w:numPr>
          <w:ilvl w:val="0"/>
          <w:numId w:val="9"/>
        </w:numPr>
        <w:autoSpaceDE w:val="0"/>
        <w:autoSpaceDN w:val="0"/>
        <w:adjustRightInd w:val="0"/>
        <w:spacing w:line="360" w:lineRule="auto"/>
        <w:ind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承包人对施工中出现质量问题的建设工程或者竣工验收不合格的建设工程，应当负责返修，工期不予顺延。如因此造成发包人电价损失及发电量的损失，承包人要承担全部赔偿责任。</w:t>
      </w:r>
    </w:p>
    <w:p w14:paraId="70C1DED9">
      <w:pPr>
        <w:pStyle w:val="68"/>
        <w:numPr>
          <w:ilvl w:val="0"/>
          <w:numId w:val="9"/>
        </w:numPr>
        <w:autoSpaceDE w:val="0"/>
        <w:autoSpaceDN w:val="0"/>
        <w:adjustRightInd w:val="0"/>
        <w:spacing w:line="360" w:lineRule="auto"/>
        <w:ind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承包人必须建立、健全施工质量的检验制度，严格工序管理，作好隐蔽工程的质量检查和记录。隐蔽工程在隐蔽前，承包人应当向发包人和监理单位报验</w:t>
      </w:r>
      <w:r>
        <w:rPr>
          <w:rStyle w:val="222"/>
          <w:rFonts w:hint="eastAsia" w:eastAsia="宋体" w:cs="宋体"/>
          <w:color w:val="auto"/>
          <w:sz w:val="21"/>
          <w:szCs w:val="21"/>
          <w:highlight w:val="none"/>
        </w:rPr>
        <w:t>，承包人未报验的，发包人有权按3000元/次对承包人进行考核。发包人在验收时发现隐蔽工程不符合图纸和规范要求的，发包人有权视问题的严重程度要求承包人返工、整改或对承包人进行扣款，扣款金额由双方协商确定。</w:t>
      </w:r>
    </w:p>
    <w:p w14:paraId="40B3E81B">
      <w:pPr>
        <w:pStyle w:val="68"/>
        <w:numPr>
          <w:ilvl w:val="0"/>
          <w:numId w:val="9"/>
        </w:numPr>
        <w:autoSpaceDE w:val="0"/>
        <w:autoSpaceDN w:val="0"/>
        <w:adjustRightInd w:val="0"/>
        <w:spacing w:line="360" w:lineRule="auto"/>
        <w:ind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应当建立、健全教育培训制度，加强对职工的教育培训；未经教育培训或者考核不合格的人员，不得上岗作业。如发包人发现承包人项目经理及专业管理人员资质情况与真实情况不符，每发现一人，发包人扣除承包人10000元违约金。</w:t>
      </w:r>
    </w:p>
    <w:p w14:paraId="49EC75ED">
      <w:pPr>
        <w:pStyle w:val="68"/>
        <w:numPr>
          <w:ilvl w:val="0"/>
          <w:numId w:val="9"/>
        </w:numPr>
        <w:autoSpaceDE w:val="0"/>
        <w:autoSpaceDN w:val="0"/>
        <w:adjustRightInd w:val="0"/>
        <w:spacing w:line="360" w:lineRule="auto"/>
        <w:ind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应安排足够的现场管理人员负责项目建设，管理人员及配置必须满足投标文件及项目所在地政府主管部门要求进行平行配置，发包人书面（含电子邮件）提出承包人现场管理人员不足后，承包人应在5个自然日内安排足够人员进场；未按规定在岗履责的，对项目经理和技术负责人处罚</w:t>
      </w:r>
      <w:r>
        <w:rPr>
          <w:rFonts w:hint="eastAsia" w:ascii="宋体" w:hAnsi="宋体" w:eastAsia="宋体" w:cs="宋体"/>
          <w:color w:val="auto"/>
          <w:szCs w:val="21"/>
          <w:highlight w:val="none"/>
          <w:lang w:val="en-US" w:eastAsia="zh-CN"/>
        </w:rPr>
        <w:t>10000</w:t>
      </w:r>
      <w:r>
        <w:rPr>
          <w:rFonts w:hint="eastAsia" w:ascii="宋体" w:hAnsi="宋体" w:eastAsia="宋体" w:cs="宋体"/>
          <w:color w:val="auto"/>
          <w:szCs w:val="21"/>
          <w:highlight w:val="none"/>
        </w:rPr>
        <w:t>元/人·天的违约金，对施工现场其他管理人员处罚</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000元/人·天的违约金。项目部关键岗位人员离岗必须向发包人项目组长履行请假手续，若被我单位和相关部门日常检查和随机抽查中发现不在岗的，又未履行请假手续的，处罚</w:t>
      </w:r>
      <w:r>
        <w:rPr>
          <w:rFonts w:hint="eastAsia" w:ascii="宋体" w:hAnsi="宋体" w:eastAsia="宋体" w:cs="宋体"/>
          <w:color w:val="auto"/>
          <w:szCs w:val="21"/>
          <w:highlight w:val="none"/>
          <w:lang w:val="en-US" w:eastAsia="zh-CN"/>
        </w:rPr>
        <w:t>10000</w:t>
      </w:r>
      <w:r>
        <w:rPr>
          <w:rFonts w:hint="eastAsia" w:ascii="宋体" w:hAnsi="宋体" w:eastAsia="宋体" w:cs="宋体"/>
          <w:color w:val="auto"/>
          <w:szCs w:val="21"/>
          <w:highlight w:val="none"/>
        </w:rPr>
        <w:t>元/人·次的违约金 。</w:t>
      </w:r>
    </w:p>
    <w:p w14:paraId="45EDE681">
      <w:pPr>
        <w:pStyle w:val="68"/>
        <w:numPr>
          <w:ilvl w:val="0"/>
          <w:numId w:val="9"/>
        </w:numPr>
        <w:autoSpaceDE w:val="0"/>
        <w:autoSpaceDN w:val="0"/>
        <w:adjustRightInd w:val="0"/>
        <w:spacing w:line="360" w:lineRule="auto"/>
        <w:ind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承包人须承诺按推荐品牌（</w:t>
      </w:r>
      <w:r>
        <w:rPr>
          <w:rFonts w:hint="eastAsia" w:cs="宋体"/>
          <w:color w:val="auto"/>
          <w:szCs w:val="21"/>
          <w:highlight w:val="none"/>
          <w:lang w:eastAsia="zh-CN"/>
        </w:rPr>
        <w:t>承包人</w:t>
      </w:r>
      <w:r>
        <w:rPr>
          <w:rFonts w:hint="eastAsia" w:ascii="宋体" w:hAnsi="宋体" w:cs="宋体"/>
          <w:color w:val="auto"/>
          <w:szCs w:val="21"/>
          <w:highlight w:val="none"/>
        </w:rPr>
        <w:t>自选品牌被评标委员会判定合格的除外）中规定的品牌进行采购，未经发包人书面同意不得采购其他品牌，否则发包人有权禁止该设备材料用于本工程，并要求承包人限期更换，由此造成项目工程工期延误的，承包人还应就发包人的经济损失承担赔偿责任（包括但不限于项目业主就项目电站延期竣工少发电量的电费收入损失以及项目电站的光伏政府补贴损失等），与此同时发包人有权向承包人收取签约合同价1%以上5%以下的违约金。</w:t>
      </w:r>
    </w:p>
    <w:p w14:paraId="3134B2C4">
      <w:pPr>
        <w:pStyle w:val="68"/>
        <w:numPr>
          <w:ilvl w:val="0"/>
          <w:numId w:val="9"/>
        </w:numPr>
        <w:autoSpaceDE w:val="0"/>
        <w:autoSpaceDN w:val="0"/>
        <w:adjustRightInd w:val="0"/>
        <w:spacing w:line="360" w:lineRule="auto"/>
        <w:ind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在物资采购和施工中偷工减料的，使用不合格的建筑材料、建筑构配件和设备的，或者有不按照工程设计图纸或者施工技术标准施工的其他行为的，责令改正，处工程合同价款百分之二以上百分之四以下的罚款；造成建设工程质量不符合规定的质量标准的，负责返工、修理，并赔偿因此造成的损失；情节严重的，发包人有权解除合同，并对因承包人造成的损失提出赔偿。</w:t>
      </w:r>
    </w:p>
    <w:p w14:paraId="28D93D55">
      <w:pPr>
        <w:pStyle w:val="68"/>
        <w:numPr>
          <w:ilvl w:val="0"/>
          <w:numId w:val="9"/>
        </w:numPr>
        <w:spacing w:line="360" w:lineRule="auto"/>
        <w:ind w:firstLineChars="0"/>
        <w:rPr>
          <w:rStyle w:val="222"/>
          <w:rFonts w:hint="eastAsia" w:eastAsia="宋体" w:cs="宋体"/>
          <w:color w:val="auto"/>
          <w:sz w:val="21"/>
          <w:szCs w:val="21"/>
          <w:highlight w:val="none"/>
        </w:rPr>
      </w:pPr>
      <w:r>
        <w:rPr>
          <w:rFonts w:hint="eastAsia" w:ascii="宋体" w:hAnsi="宋体" w:cs="宋体"/>
          <w:color w:val="auto"/>
          <w:szCs w:val="21"/>
          <w:highlight w:val="none"/>
        </w:rPr>
        <w:t>由承包人采购</w:t>
      </w:r>
      <w:r>
        <w:rPr>
          <w:rStyle w:val="222"/>
          <w:rFonts w:hint="eastAsia" w:eastAsia="宋体" w:cs="宋体"/>
          <w:color w:val="auto"/>
          <w:sz w:val="21"/>
          <w:szCs w:val="21"/>
          <w:highlight w:val="none"/>
        </w:rPr>
        <w:t>的物资，其规格、型号、性能参数等应符合设计和合同要求</w:t>
      </w:r>
      <w:r>
        <w:rPr>
          <w:rFonts w:hint="eastAsia" w:ascii="宋体" w:hAnsi="宋体" w:cs="宋体"/>
          <w:color w:val="auto"/>
          <w:szCs w:val="21"/>
          <w:highlight w:val="none"/>
        </w:rPr>
        <w:t>，</w:t>
      </w:r>
      <w:r>
        <w:rPr>
          <w:rStyle w:val="222"/>
          <w:rFonts w:hint="eastAsia" w:eastAsia="宋体" w:cs="宋体"/>
          <w:color w:val="auto"/>
          <w:sz w:val="21"/>
          <w:szCs w:val="21"/>
          <w:highlight w:val="none"/>
        </w:rPr>
        <w:t>承包人采购的物资不符合设计图纸要求，导致部分功能、指标下降或丧失的，发包人有权禁止该物资用于项目，且发包人有权要求承包人限期予以更换，由此产生的费用和工期延误责任（包括且不限于延迟发电导致的电费和补贴损失）全部由承包人承担，同时发包人有权向承包人收取200000元/次的违约金；当发包人书面同意让步接受承包人所采购的不符合原设计要求的物资时，发包人有权在支付给承包人的工程款中核减部分款项，具体金额由双方协商确定，在此情况下发包人有权向承包人收取200000元/次的违约金；同时承包人在施工过程中应保证工程上所使用的各类设备物资的外观完好、部件齐全、质量性能等各项指标合格，如因施工造成各类设备、物资损失的应照价赔偿（包括但不限于更换受损设备、物资所产生的一切费用），同时承包人须赔偿发包人造成发电量损失或延期并网的损失。</w:t>
      </w:r>
    </w:p>
    <w:p w14:paraId="7930A946">
      <w:pPr>
        <w:pStyle w:val="68"/>
        <w:numPr>
          <w:ilvl w:val="0"/>
          <w:numId w:val="9"/>
        </w:numPr>
        <w:autoSpaceDE w:val="0"/>
        <w:autoSpaceDN w:val="0"/>
        <w:adjustRightInd w:val="0"/>
        <w:spacing w:line="360" w:lineRule="auto"/>
        <w:ind w:firstLineChars="0"/>
        <w:jc w:val="left"/>
        <w:rPr>
          <w:rStyle w:val="222"/>
          <w:rFonts w:hint="eastAsia" w:eastAsia="宋体" w:cs="宋体"/>
          <w:color w:val="auto"/>
          <w:sz w:val="21"/>
          <w:szCs w:val="21"/>
          <w:highlight w:val="none"/>
        </w:rPr>
      </w:pPr>
      <w:r>
        <w:rPr>
          <w:rStyle w:val="222"/>
          <w:rFonts w:hint="eastAsia" w:eastAsia="宋体" w:cs="宋体"/>
          <w:color w:val="auto"/>
          <w:sz w:val="21"/>
          <w:szCs w:val="21"/>
          <w:highlight w:val="none"/>
        </w:rPr>
        <w:t>承包人未对建筑材料、建筑构配件、设备和商品混凝土进行检验，或者未对涉及结构安全的试块、试件以及有关材料、设备取样检测的，责令改正；发包人有权要求承包人对未进行检测、检验部分工程返工，并由承包人承担全部费用，工期不予延期。</w:t>
      </w:r>
    </w:p>
    <w:p w14:paraId="6C15E690">
      <w:pPr>
        <w:pStyle w:val="68"/>
        <w:numPr>
          <w:ilvl w:val="0"/>
          <w:numId w:val="9"/>
        </w:numPr>
        <w:spacing w:line="360" w:lineRule="auto"/>
        <w:ind w:firstLineChars="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对于发包人采购的</w:t>
      </w:r>
      <w:r>
        <w:rPr>
          <w:rStyle w:val="222"/>
          <w:rFonts w:hint="eastAsia" w:eastAsia="宋体" w:cs="宋体"/>
          <w:color w:val="auto"/>
          <w:sz w:val="21"/>
          <w:szCs w:val="21"/>
          <w:highlight w:val="none"/>
          <w:lang w:eastAsia="zh-CN"/>
        </w:rPr>
        <w:t>产品</w:t>
      </w:r>
      <w:r>
        <w:rPr>
          <w:rStyle w:val="222"/>
          <w:rFonts w:hint="eastAsia" w:eastAsia="宋体" w:cs="宋体"/>
          <w:color w:val="auto"/>
          <w:sz w:val="21"/>
          <w:szCs w:val="21"/>
          <w:highlight w:val="none"/>
        </w:rPr>
        <w:t>，承包人在收货时应对</w:t>
      </w:r>
      <w:r>
        <w:rPr>
          <w:rStyle w:val="222"/>
          <w:rFonts w:hint="eastAsia" w:eastAsia="宋体" w:cs="宋体"/>
          <w:color w:val="auto"/>
          <w:sz w:val="21"/>
          <w:szCs w:val="21"/>
          <w:highlight w:val="none"/>
          <w:lang w:eastAsia="zh-CN"/>
        </w:rPr>
        <w:t>产品</w:t>
      </w:r>
      <w:r>
        <w:rPr>
          <w:rStyle w:val="222"/>
          <w:rFonts w:hint="eastAsia" w:eastAsia="宋体" w:cs="宋体"/>
          <w:color w:val="auto"/>
          <w:sz w:val="21"/>
          <w:szCs w:val="21"/>
          <w:highlight w:val="none"/>
        </w:rPr>
        <w:t>外包装进行检查，拆箱时应进行检验，如发现有质量问题，应及时向发包人反馈，承包人在开箱24小时后或安装前未向发包人反馈有问题，则视为承包人收到的为合格品。</w:t>
      </w:r>
    </w:p>
    <w:p w14:paraId="041DE797">
      <w:pPr>
        <w:pStyle w:val="68"/>
        <w:numPr>
          <w:ilvl w:val="0"/>
          <w:numId w:val="9"/>
        </w:numPr>
        <w:spacing w:line="360" w:lineRule="auto"/>
        <w:ind w:firstLineChars="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发包人在项目建设过程中发现承包人存在导致或可能导致光伏组件受损的行为时，在发包人书面通知后承包人仍未改正的，发包人有权对承包人处以5000元/次的扣款。</w:t>
      </w:r>
    </w:p>
    <w:p w14:paraId="57AA7643">
      <w:pPr>
        <w:spacing w:line="360" w:lineRule="auto"/>
        <w:ind w:left="42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超出允收标准的，承包人需对发包人进行赔偿，赔偿金额的计算方式如下：</w:t>
      </w:r>
    </w:p>
    <w:p w14:paraId="3F368977">
      <w:pPr>
        <w:spacing w:line="360" w:lineRule="auto"/>
        <w:ind w:left="42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赔偿金额=项目总容量（MW）*不良率*500000（元）</w:t>
      </w:r>
    </w:p>
    <w:p w14:paraId="56162BAD">
      <w:pPr>
        <w:pStyle w:val="68"/>
        <w:numPr>
          <w:ilvl w:val="0"/>
          <w:numId w:val="9"/>
        </w:numPr>
        <w:spacing w:line="360" w:lineRule="auto"/>
        <w:ind w:firstLineChars="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承包人应按图纸要求对具备承载或拉拔性能要求的部位聘请有相应资质的第三方检测机构进行相应试验检测，出具检测报告，并保留试验过程的照片或视频资料，试验的数量及范围应符合图纸及规范的要求；若承包人未按图纸要求进行试验，发包人有权要求承包人拆除支架、组件后按图纸要求进行试验，所有返工费用均由承包人承担。</w:t>
      </w:r>
    </w:p>
    <w:p w14:paraId="5520EF78">
      <w:pPr>
        <w:pStyle w:val="68"/>
        <w:numPr>
          <w:ilvl w:val="0"/>
          <w:numId w:val="9"/>
        </w:numPr>
        <w:spacing w:line="360" w:lineRule="auto"/>
        <w:ind w:firstLineChars="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发包人和监理人发现的属于承包人责任的问题，应以书面形式（含电子邮件）通知承包人整改，承包人拒绝整改或未整改而导致问题再次发生的，发包人有权对承包人处以1000元/次扣款，同一问题反复发生的，第N次发生时，发包人按【1000+（N-2）*500】元的金额对承包人进行扣款。</w:t>
      </w:r>
    </w:p>
    <w:p w14:paraId="5030AE69">
      <w:pPr>
        <w:pStyle w:val="68"/>
        <w:numPr>
          <w:ilvl w:val="0"/>
          <w:numId w:val="9"/>
        </w:numPr>
        <w:spacing w:line="360" w:lineRule="auto"/>
        <w:ind w:firstLineChars="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承包人应保证从事特种作业的人员按照国家有关规定经培训并考核合格取得特种作业操作资格证书后持证上岗作业，对于无证上岗或人证不符的从事特种作业行为，发包人有权对承包人处以1000元/次处罚，由承包人承担全部责任。</w:t>
      </w:r>
    </w:p>
    <w:p w14:paraId="0B95A78A">
      <w:pPr>
        <w:pStyle w:val="68"/>
        <w:numPr>
          <w:ilvl w:val="0"/>
          <w:numId w:val="9"/>
        </w:numPr>
        <w:spacing w:line="360" w:lineRule="auto"/>
        <w:ind w:firstLineChars="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承包人在组件搬运和安装、电缆放线和敷设、设备吊装等各施工环节中，应按设计要求及相关规范进行施工，不允许存在暴力搬运、野蛮施工等不良行为，对于上述不良行为，发包人有权对承包人处以5000元/次处罚，造成的全部损失均由承包人承担。</w:t>
      </w:r>
    </w:p>
    <w:p w14:paraId="7609AE13">
      <w:pPr>
        <w:pStyle w:val="68"/>
        <w:numPr>
          <w:ilvl w:val="0"/>
          <w:numId w:val="9"/>
        </w:numPr>
        <w:spacing w:line="360" w:lineRule="auto"/>
        <w:ind w:firstLineChars="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承包人在电缆敷设施工时应按规范要求在首末端及转弯处预留足够余量，对于未预留余量或未按规范预留足够余量，发包人有权对承包人处以1000元/处罚，由此给发包人造成损失或导致运行存在隐患、后期维护困难的，由承包人承担全部损失和责任。</w:t>
      </w:r>
    </w:p>
    <w:p w14:paraId="5C1A69E6">
      <w:pPr>
        <w:pStyle w:val="68"/>
        <w:numPr>
          <w:ilvl w:val="0"/>
          <w:numId w:val="9"/>
        </w:numPr>
        <w:spacing w:line="360" w:lineRule="auto"/>
        <w:ind w:firstLineChars="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承包人在电缆敷设、电缆首/末端和分支处施工过程中，应按图纸和规范要求，沿电缆敷设路径设置电缆标志桩（含警示标识、电压等级、路径标识等信息）、在电缆首/末端和分支处设标志牌（含电缆电气系统编号、电缆的起点及终点、电缆规格及长度等信息）和制作人员信息挂牌（含制作人姓名、相应资质证书编号、制作时间等信息），对于未设置电缆标志桩、电缆首/末端标志牌及制作人员信息挂牌或未按要求设置的，发包人有权对承包人处以500元/处罚，由承包人承担全部责任。</w:t>
      </w:r>
    </w:p>
    <w:p w14:paraId="5416D66E">
      <w:pPr>
        <w:pStyle w:val="68"/>
        <w:numPr>
          <w:ilvl w:val="0"/>
          <w:numId w:val="9"/>
        </w:numPr>
        <w:spacing w:line="360" w:lineRule="auto"/>
        <w:ind w:firstLineChars="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承包人应严格按设计要求进行道路、围栏、排水系统等施工，对于未按设计要求进行施工的工程，发包人有权要求承包人拆除重建，由承包人承担全部责任。</w:t>
      </w:r>
    </w:p>
    <w:p w14:paraId="69FF7A5E">
      <w:pPr>
        <w:pStyle w:val="68"/>
        <w:numPr>
          <w:ilvl w:val="0"/>
          <w:numId w:val="9"/>
        </w:numPr>
        <w:spacing w:line="360" w:lineRule="auto"/>
        <w:ind w:firstLineChars="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发包人指定的本项目的监理单位，在承包人违反本合同约定、法律法规要求、设计和规范要求时，监理单位有权代表发包人对承包人做出处罚决定，承包人应予以配合，承包人有任何异议，应在收到监理通知单的3个工作日内以书面形式向发包人提出，否则视为接受监理单位的处罚。</w:t>
      </w:r>
    </w:p>
    <w:p w14:paraId="21380AE0">
      <w:pPr>
        <w:pStyle w:val="68"/>
        <w:numPr>
          <w:ilvl w:val="0"/>
          <w:numId w:val="9"/>
        </w:numPr>
        <w:spacing w:line="360" w:lineRule="auto"/>
        <w:ind w:firstLineChars="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承包人在工程完工后、竣工验收前，应对承包范围内的光伏场区进行除草，对积尘或残留异物的光伏组件进行清理和清洗，保留除草和组件清洗过程的影像资料并以发包方书面签字意见为准。</w:t>
      </w:r>
    </w:p>
    <w:p w14:paraId="6D6C7C39">
      <w:pPr>
        <w:pStyle w:val="68"/>
        <w:numPr>
          <w:ilvl w:val="0"/>
          <w:numId w:val="9"/>
        </w:numPr>
        <w:autoSpaceDE w:val="0"/>
        <w:autoSpaceDN w:val="0"/>
        <w:adjustRightInd w:val="0"/>
        <w:spacing w:line="360" w:lineRule="auto"/>
        <w:ind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承包人发生重大工程质量事故隐瞒不报、谎报或者拖延报告期限的，发包人有权对承包人扣除质量违约金伍拾万元，并限期进行整改，如因此给发包人造成损失的，承包人承担全部责任。</w:t>
      </w:r>
    </w:p>
    <w:p w14:paraId="4D870C85">
      <w:pPr>
        <w:pStyle w:val="68"/>
        <w:numPr>
          <w:ilvl w:val="0"/>
          <w:numId w:val="9"/>
        </w:numPr>
        <w:autoSpaceDE w:val="0"/>
        <w:autoSpaceDN w:val="0"/>
        <w:adjustRightInd w:val="0"/>
        <w:spacing w:line="360" w:lineRule="auto"/>
        <w:ind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承包人单位违反国家及合同规定，降低工程质量标准，造成重大安全事故，构成犯罪的，对直接责任人员依法追究刑事责任。</w:t>
      </w:r>
    </w:p>
    <w:p w14:paraId="3B6EBC36">
      <w:pPr>
        <w:pStyle w:val="68"/>
        <w:numPr>
          <w:ilvl w:val="0"/>
          <w:numId w:val="9"/>
        </w:numPr>
        <w:autoSpaceDE w:val="0"/>
        <w:autoSpaceDN w:val="0"/>
        <w:adjustRightInd w:val="0"/>
        <w:spacing w:line="360" w:lineRule="auto"/>
        <w:ind w:firstLineChars="0"/>
        <w:jc w:val="left"/>
        <w:rPr>
          <w:rFonts w:hint="eastAsia" w:ascii="宋体" w:hAnsi="宋体" w:cs="宋体"/>
          <w:color w:val="auto"/>
          <w:szCs w:val="21"/>
          <w:highlight w:val="none"/>
        </w:rPr>
      </w:pPr>
      <w:r>
        <w:rPr>
          <w:rFonts w:hint="eastAsia" w:ascii="宋体" w:hAnsi="宋体" w:cs="宋体"/>
          <w:color w:val="auto"/>
          <w:szCs w:val="21"/>
          <w:highlight w:val="none"/>
        </w:rPr>
        <w:t>承包人的工作人员因调动工作、退休等原因离开该单位后，被发现在该单位工作期间违反国家有关建设工程质量管理规定，造成重大工程质量事故的，仍应当依法追究法律责任。</w:t>
      </w:r>
    </w:p>
    <w:p w14:paraId="29201321">
      <w:pPr>
        <w:pStyle w:val="68"/>
        <w:numPr>
          <w:ilvl w:val="0"/>
          <w:numId w:val="9"/>
        </w:numPr>
        <w:spacing w:line="360" w:lineRule="auto"/>
        <w:ind w:firstLineChars="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质保期内发生的因承包人原因造成的质量问题，承包人应在接到发包人通知后24小时内赴现场处理，无法在24小时内到达现场的，承包人应事前与发包人协商一致后，在约定时间内到达。承包人不履行保修义务或者拖延履行保修义务的，发包人有权委托其他承包单位修复，产生的费用直接从本合同质保金中扣除，质保金不足以抵扣的，发包人有权向承包人发出索赔。</w:t>
      </w:r>
    </w:p>
    <w:p w14:paraId="41790156">
      <w:pPr>
        <w:pStyle w:val="68"/>
        <w:numPr>
          <w:ilvl w:val="0"/>
          <w:numId w:val="9"/>
        </w:numPr>
        <w:spacing w:line="360" w:lineRule="auto"/>
        <w:ind w:firstLineChars="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在本合同正文及其附件中未详尽约定的质量标准及质量要求将在项目的施工过程中以双方签字确认的质量交底为准，双方将按质量交底上约定的要求履行双方各自的职责及义务。</w:t>
      </w:r>
    </w:p>
    <w:p w14:paraId="7C891276">
      <w:pPr>
        <w:pStyle w:val="68"/>
        <w:numPr>
          <w:ilvl w:val="0"/>
          <w:numId w:val="9"/>
        </w:numPr>
        <w:spacing w:line="360" w:lineRule="auto"/>
        <w:ind w:firstLineChars="0"/>
        <w:rPr>
          <w:rFonts w:hint="eastAsia" w:ascii="宋体" w:hAnsi="宋体" w:cs="宋体"/>
          <w:color w:val="auto"/>
          <w:szCs w:val="21"/>
          <w:highlight w:val="none"/>
        </w:rPr>
      </w:pPr>
      <w:r>
        <w:rPr>
          <w:rStyle w:val="222"/>
          <w:rFonts w:hint="eastAsia" w:eastAsia="宋体" w:cs="宋体"/>
          <w:color w:val="auto"/>
          <w:sz w:val="21"/>
          <w:szCs w:val="21"/>
          <w:highlight w:val="none"/>
        </w:rPr>
        <w:t>发包人发送给承包人的联系单、通知单等书面文件（含电子邮件），承包人应在收件后的3个工作日内给予回复，逾期未回复的视作认同文件中的内容。</w:t>
      </w:r>
    </w:p>
    <w:p w14:paraId="4FA4716E">
      <w:pPr>
        <w:autoSpaceDE w:val="0"/>
        <w:autoSpaceDN w:val="0"/>
        <w:adjustRightInd w:val="0"/>
        <w:spacing w:line="360" w:lineRule="auto"/>
        <w:ind w:firstLine="562"/>
        <w:jc w:val="center"/>
        <w:rPr>
          <w:rFonts w:hint="eastAsia" w:ascii="宋体" w:hAnsi="宋体" w:cs="宋体"/>
          <w:b/>
          <w:color w:val="auto"/>
          <w:szCs w:val="21"/>
          <w:highlight w:val="none"/>
        </w:rPr>
      </w:pPr>
    </w:p>
    <w:p w14:paraId="4ED7F8FB">
      <w:pPr>
        <w:pStyle w:val="28"/>
        <w:ind w:firstLine="527"/>
        <w:rPr>
          <w:rFonts w:hint="eastAsia" w:ascii="宋体" w:hAnsi="宋体" w:cs="宋体"/>
          <w:b/>
          <w:color w:val="auto"/>
          <w:sz w:val="21"/>
          <w:szCs w:val="21"/>
          <w:highlight w:val="none"/>
        </w:rPr>
      </w:pPr>
    </w:p>
    <w:p w14:paraId="5683C7DC">
      <w:pPr>
        <w:spacing w:line="360" w:lineRule="auto"/>
        <w:ind w:firstLine="560"/>
        <w:rPr>
          <w:rStyle w:val="222"/>
          <w:rFonts w:hint="eastAsia" w:eastAsia="宋体" w:cs="宋体"/>
          <w:color w:val="auto"/>
          <w:sz w:val="21"/>
          <w:szCs w:val="21"/>
          <w:highlight w:val="none"/>
        </w:rPr>
      </w:pPr>
      <w:r>
        <w:rPr>
          <w:rStyle w:val="222"/>
          <w:rFonts w:hint="eastAsia" w:eastAsia="宋体" w:cs="宋体"/>
          <w:color w:val="auto"/>
          <w:sz w:val="21"/>
          <w:szCs w:val="21"/>
          <w:highlight w:val="none"/>
        </w:rPr>
        <w:t>承包人Email：【                          】</w:t>
      </w:r>
    </w:p>
    <w:p w14:paraId="0E13F1F4">
      <w:pPr>
        <w:autoSpaceDE w:val="0"/>
        <w:autoSpaceDN w:val="0"/>
        <w:adjustRightInd w:val="0"/>
        <w:spacing w:line="360" w:lineRule="auto"/>
        <w:ind w:firstLine="480"/>
        <w:jc w:val="left"/>
        <w:rPr>
          <w:rFonts w:hint="eastAsia" w:ascii="宋体" w:hAnsi="宋体" w:cs="宋体"/>
          <w:color w:val="auto"/>
          <w:szCs w:val="21"/>
          <w:highlight w:val="none"/>
        </w:rPr>
      </w:pPr>
    </w:p>
    <w:p w14:paraId="195C3989">
      <w:pPr>
        <w:autoSpaceDE w:val="0"/>
        <w:autoSpaceDN w:val="0"/>
        <w:adjustRightInd w:val="0"/>
        <w:spacing w:line="360" w:lineRule="auto"/>
        <w:ind w:firstLine="480"/>
        <w:jc w:val="left"/>
        <w:rPr>
          <w:rFonts w:hint="eastAsia" w:ascii="宋体" w:hAnsi="宋体" w:cs="宋体"/>
          <w:color w:val="auto"/>
          <w:szCs w:val="21"/>
          <w:highlight w:val="none"/>
        </w:rPr>
      </w:pPr>
    </w:p>
    <w:p w14:paraId="7EF552CE">
      <w:pPr>
        <w:tabs>
          <w:tab w:val="left" w:pos="1080"/>
        </w:tabs>
        <w:spacing w:line="360" w:lineRule="auto"/>
        <w:ind w:left="5909" w:leftChars="14" w:hanging="5880" w:hangingChars="2800"/>
        <w:rPr>
          <w:rFonts w:hint="eastAsia" w:ascii="宋体" w:hAnsi="宋体" w:cs="宋体"/>
          <w:color w:val="auto"/>
          <w:szCs w:val="21"/>
          <w:highlight w:val="none"/>
        </w:rPr>
      </w:pPr>
      <w:r>
        <w:rPr>
          <w:rFonts w:hint="eastAsia" w:ascii="宋体" w:hAnsi="宋体" w:cs="宋体"/>
          <w:color w:val="auto"/>
          <w:szCs w:val="21"/>
          <w:highlight w:val="none"/>
        </w:rPr>
        <w:t>发包人：（盖章）                      承包人：（盖章）</w:t>
      </w:r>
    </w:p>
    <w:p w14:paraId="69E7BE15">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法定代表人（或授权代表）签字：        法定代表人（或授权代表）签字：</w:t>
      </w:r>
    </w:p>
    <w:p w14:paraId="107B0226">
      <w:pPr>
        <w:spacing w:line="360" w:lineRule="auto"/>
        <w:rPr>
          <w:rFonts w:hint="eastAsia" w:ascii="宋体" w:hAnsi="宋体" w:cs="宋体"/>
          <w:color w:val="auto"/>
          <w:szCs w:val="21"/>
          <w:highlight w:val="none"/>
        </w:rPr>
      </w:pPr>
    </w:p>
    <w:p w14:paraId="691A3EB2">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日期：    年  月  日                   日期：    年  月  日</w:t>
      </w:r>
    </w:p>
    <w:p w14:paraId="0304BAAC">
      <w:pPr>
        <w:pStyle w:val="28"/>
        <w:ind w:left="0" w:leftChars="0" w:firstLine="0" w:firstLineChars="0"/>
        <w:rPr>
          <w:rStyle w:val="222"/>
          <w:rFonts w:hint="eastAsia" w:eastAsia="宋体" w:cs="宋体"/>
          <w:b/>
          <w:color w:val="auto"/>
          <w:sz w:val="21"/>
          <w:szCs w:val="21"/>
          <w:highlight w:val="none"/>
        </w:rPr>
      </w:pPr>
    </w:p>
    <w:p w14:paraId="132C5AB1">
      <w:pPr>
        <w:spacing w:line="360" w:lineRule="auto"/>
        <w:jc w:val="both"/>
        <w:rPr>
          <w:rFonts w:hint="eastAsia" w:ascii="宋体" w:hAnsi="宋体" w:cs="宋体"/>
          <w:color w:val="auto"/>
          <w:szCs w:val="21"/>
          <w:highlight w:val="none"/>
          <w:lang w:val="en-US" w:eastAsia="zh-CN"/>
        </w:rPr>
      </w:pPr>
    </w:p>
    <w:p w14:paraId="06C21820">
      <w:pPr>
        <w:spacing w:line="360" w:lineRule="auto"/>
        <w:jc w:val="both"/>
        <w:rPr>
          <w:rFonts w:hint="eastAsia" w:ascii="宋体" w:hAnsi="宋体" w:cs="宋体"/>
          <w:color w:val="auto"/>
          <w:szCs w:val="21"/>
          <w:highlight w:val="none"/>
          <w:lang w:val="en-US" w:eastAsia="zh-CN"/>
        </w:rPr>
      </w:pPr>
    </w:p>
    <w:p w14:paraId="3AA3C5E5">
      <w:pPr>
        <w:spacing w:line="240" w:lineRule="auto"/>
        <w:jc w:val="left"/>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br w:type="page"/>
      </w:r>
    </w:p>
    <w:p w14:paraId="321EB2B5">
      <w:pPr>
        <w:spacing w:line="360" w:lineRule="auto"/>
        <w:jc w:val="both"/>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附件2：</w:t>
      </w:r>
    </w:p>
    <w:p w14:paraId="48B8F7F1">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rPr>
        <w:t>施工安全文明生产协议书</w:t>
      </w:r>
    </w:p>
    <w:p w14:paraId="04594C06">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发包人：_______________________</w:t>
      </w:r>
    </w:p>
    <w:p w14:paraId="054C01C3">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承包人：_______________________</w:t>
      </w:r>
    </w:p>
    <w:p w14:paraId="33549031">
      <w:pPr>
        <w:spacing w:line="360" w:lineRule="auto"/>
        <w:ind w:firstLine="480"/>
        <w:rPr>
          <w:rFonts w:hint="eastAsia" w:ascii="宋体" w:hAnsi="宋体" w:cs="宋体"/>
          <w:color w:val="auto"/>
          <w:szCs w:val="21"/>
          <w:highlight w:val="none"/>
        </w:rPr>
      </w:pPr>
      <w:r>
        <w:rPr>
          <w:rFonts w:hint="eastAsia" w:ascii="宋体" w:hAnsi="宋体" w:eastAsia="宋体" w:cs="宋体"/>
          <w:color w:val="auto"/>
          <w:szCs w:val="21"/>
          <w:highlight w:val="none"/>
        </w:rPr>
        <w:t>为了贯彻“安全第一，预防为主”的安全生产方针，确保_</w:t>
      </w:r>
      <w:r>
        <w:rPr>
          <w:rFonts w:hint="eastAsia" w:ascii="宋体" w:hAnsi="宋体" w:cs="宋体"/>
          <w:color w:val="auto"/>
          <w:szCs w:val="21"/>
          <w:highlight w:val="none"/>
          <w:u w:val="single"/>
          <w:lang w:val="en-US" w:eastAsia="zh-CN"/>
        </w:rPr>
        <w:t xml:space="preserve">                   </w:t>
      </w:r>
      <w:r>
        <w:rPr>
          <w:rFonts w:hint="eastAsia" w:ascii="宋体" w:hAnsi="宋体" w:eastAsia="宋体" w:cs="宋体"/>
          <w:color w:val="auto"/>
          <w:szCs w:val="21"/>
          <w:highlight w:val="none"/>
        </w:rPr>
        <w:t>工程安全、优质、高效地按期完工，根据届时有效的《中华人民共和国安全生产法》、《中华人民共和国建筑法》、国务院《建设工程安全生产管理条例》、应急管理部门、电力监管部门发布的安全生产有关的规定和发包人关于工程建设承包人管理程序的有关规定，结合本工程施工的具体情况，经协商，合同协议双方达成如下安全生产协</w:t>
      </w:r>
      <w:r>
        <w:rPr>
          <w:rFonts w:hint="eastAsia" w:ascii="宋体" w:hAnsi="宋体" w:cs="宋体"/>
          <w:color w:val="auto"/>
          <w:szCs w:val="21"/>
          <w:highlight w:val="none"/>
        </w:rPr>
        <w:t>议并严格执行：</w:t>
      </w:r>
    </w:p>
    <w:p w14:paraId="5A5AF982">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一、本协议作为</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总承包合同(以下称“主合同”)的附件，与主合同具有同等法律效力。</w:t>
      </w:r>
    </w:p>
    <w:p w14:paraId="3227992A">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二、安全文明施工管理目标(按全口径统计)</w:t>
      </w:r>
    </w:p>
    <w:p w14:paraId="51C463F7">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2.1 安全目标：</w:t>
      </w:r>
    </w:p>
    <w:p w14:paraId="2B979D0D">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人身死亡事故为零；</w:t>
      </w:r>
    </w:p>
    <w:p w14:paraId="227E572B">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重大机械设备事故为零；</w:t>
      </w:r>
    </w:p>
    <w:p w14:paraId="72755C5A">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重大火灾事故为零；</w:t>
      </w:r>
    </w:p>
    <w:p w14:paraId="6AD3EFDC">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主要设备的损坏事故为零；</w:t>
      </w:r>
    </w:p>
    <w:p w14:paraId="533C901E">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负主要责任的重大交通事故为零；</w:t>
      </w:r>
    </w:p>
    <w:p w14:paraId="55E675BE">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重大环境污染事故为零；</w:t>
      </w:r>
    </w:p>
    <w:p w14:paraId="391FD3EE">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重大垮(坍)塌事故为零；</w:t>
      </w:r>
    </w:p>
    <w:p w14:paraId="19FDAE95">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负同等责任的一般安全事故直接经济损失＜5万元；</w:t>
      </w:r>
    </w:p>
    <w:p w14:paraId="368E560A">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人身轻伤事故负伤率＜0.1伤；</w:t>
      </w:r>
    </w:p>
    <w:p w14:paraId="7D3381E6">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施工责任引起的电网事故为零。</w:t>
      </w:r>
    </w:p>
    <w:p w14:paraId="0D9186D7">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2.2职业健康目标：</w:t>
      </w:r>
    </w:p>
    <w:p w14:paraId="639BEDFA">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不发生违反《劳动法》有关规定的事件；</w:t>
      </w:r>
    </w:p>
    <w:p w14:paraId="6BDBBDB4">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不发生员工3人及以上集体中毒事件；</w:t>
      </w:r>
    </w:p>
    <w:p w14:paraId="2CE58EFD">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不发生大面积传染病；</w:t>
      </w:r>
    </w:p>
    <w:p w14:paraId="4496BE57">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作业场所环境符合国家有关职业卫生标准。</w:t>
      </w:r>
    </w:p>
    <w:p w14:paraId="1A944B09">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2.3 环保目标：</w:t>
      </w:r>
    </w:p>
    <w:p w14:paraId="145A53BD">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实现施工期间工业“三废”达标排放；</w:t>
      </w:r>
    </w:p>
    <w:p w14:paraId="23A90215">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厂界噪声符合国家标准；</w:t>
      </w:r>
    </w:p>
    <w:p w14:paraId="60A16842">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不发生重大环境污染事故；</w:t>
      </w:r>
    </w:p>
    <w:p w14:paraId="77F3BE66">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固体废弃物分类处置符合国家标准；</w:t>
      </w:r>
    </w:p>
    <w:p w14:paraId="4395D979">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水土保持工作符合批准的水土保持方案和审查意见的要求。</w:t>
      </w:r>
    </w:p>
    <w:p w14:paraId="3A7462F4">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2.4文明施工管理目标：</w:t>
      </w:r>
    </w:p>
    <w:p w14:paraId="26A19E18">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现场施工管理达到“省级安全文明施工工地”的有关标准。</w:t>
      </w:r>
    </w:p>
    <w:p w14:paraId="67FCE9BA">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安全文明施工措施费的足额投入。</w:t>
      </w:r>
    </w:p>
    <w:p w14:paraId="1AEF08E4">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三、发包人的权利和义务：</w:t>
      </w:r>
    </w:p>
    <w:p w14:paraId="09C45C45">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3.1 发包人将按《中华人民共和国安全生产法》、《建设工程安全生产管理条例》(国务院第393号令)及《电力建设工程施工安全监督管理办法》(国家发展和改革委员会令第28号)的要求承担本工程安全生产的监督职责；</w:t>
      </w:r>
    </w:p>
    <w:p w14:paraId="31683C2D">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3.2 发包人有权按照本约定对承包人及其分包商进行考核和奖罚；</w:t>
      </w:r>
    </w:p>
    <w:p w14:paraId="1EEB9B1D">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3.3 发包人有监督承包人履行安全、健康、环保及文明施工的义务。</w:t>
      </w:r>
    </w:p>
    <w:p w14:paraId="04C7D342">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四、承包人的责任和义务：</w:t>
      </w:r>
    </w:p>
    <w:p w14:paraId="3B13A524">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4.1承包人按《建设工程安全生产管理条例》(国务院第393号令)及《电力建设工程施工安全监督管理办法》(国家发展和改革委员会令第28号)的要求承担所承包工程的安全管理责任。</w:t>
      </w:r>
    </w:p>
    <w:p w14:paraId="4B0D7FF2">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4.2 承包人代表是本合同工程安全、健康、环保与文明施工管理的第一责任人。负责组织、协调、检查、督促承包人及其分包商认真贯彻落实有关安全、健康、环保与文明施工管理方面的规程、规范、规定。</w:t>
      </w:r>
    </w:p>
    <w:p w14:paraId="050D8A0A">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4.3 承包人应建立安全管理体系，明确在施工现场负责安全生产的领导。安全员应经专门培训考试合格，并持有相应上岗证或资质证书。</w:t>
      </w:r>
    </w:p>
    <w:p w14:paraId="29994408">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4.4　承包人及其分包商必须建立安全管理制度，各级安全生产岗位责任制和定期安全检查、安全教育制度，包括各工种的安全操作规程、特种作业人员的考核制度等。</w:t>
      </w:r>
    </w:p>
    <w:p w14:paraId="0FBDB980">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4.5　承包人及其分包商在项目施工开始前要根据本工程施工组织设计或《安全施工方案(措施)》向施工人员进行安全技术交底。</w:t>
      </w:r>
    </w:p>
    <w:p w14:paraId="1C0C39CD">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4.6承包人及其分包商必须严格按照施工组织设计和有关安全要求规定组织施工。对有可能发生火灾、爆炸、触电、溺水、高空坠落、中毒、窒息、机械伤害、烧烫伤等危险或会引起严重设备事故的作业，承包人及其分包商应制定专项施工安全技术措施，承包人对可能发生的事故应提前进行事故应急预案演练。</w:t>
      </w:r>
    </w:p>
    <w:p w14:paraId="7A24B6D4">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4.7承包人及其分包商有关部门必须对施工人员进行安全生产制度及安全技术知识教育，增强职工法制观念，提高职工安全意识和自我保护能力，督促职工自觉遵守安全生产纪律、制度和法规。</w:t>
      </w:r>
    </w:p>
    <w:p w14:paraId="7EE28D6D">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4.8承包人及其分包商必须对本单位人员进行三级安全教育和安全考试，受教育人员的名单和考试成绩必须报发包人项目部备案。更换工种，必须及时进行安全教育和考试，考试成绩报发包人项目部备案。未接受安全教育和安全考试不合格者不得进入现场施工。</w:t>
      </w:r>
    </w:p>
    <w:p w14:paraId="04D859F8">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4.9 承包人及其分包商施工人员应经安规考试合格后上岗。新增施工人员必须向发包人提出申报，经考试合格后才能上岗。</w:t>
      </w:r>
    </w:p>
    <w:p w14:paraId="27F572CF">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4.10 对发包人违反安全生产规定、制度的指令，承包人有权拒绝执行、有权要求发包人改进。</w:t>
      </w:r>
    </w:p>
    <w:p w14:paraId="4EDDA4AD">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4.11承包人及其分包商施工人员应对所在的施工区域、作业环境、操作设施设备、工器具等进行认真检查，发现隐患立即处理，落实整改措施，并向发包人项目部报告。</w:t>
      </w:r>
    </w:p>
    <w:p w14:paraId="5E14FB85">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4.12 承包人及其分包商在施工期间由于施工机械、工器具原因或使用操作不当而造成伤亡事故，由承包人及其分包商负责。</w:t>
      </w:r>
    </w:p>
    <w:p w14:paraId="6E15745F">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4.13 承包人及其分包商对施工现场安全设施(如脚手架等)每天开工前必须检查，发现隐患及时整改。</w:t>
      </w:r>
    </w:p>
    <w:p w14:paraId="6E0C9F0C">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4.14各类安全防护设施、安全标志牌、警告牌和接地线等不得擅自拆除、更动。如确实需要拆除、更动的、必须经施工负责人和发包人、承包人及其分包商指派的安全管理人员的同意，办理手续，并采取必要、可靠的安全措施后方能拆除、更动；任何一方人员擅自拆除、更动所造成的后果，均由该方负责。</w:t>
      </w:r>
    </w:p>
    <w:p w14:paraId="3188CEF6">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4.15 特种作业必须执行国家《特种作业人员安全技术培训考核管理规定》，特种作业人员须经省、市、地区的特种作业安全技术考核站培训考核后持证上岗，并按规定定期审证，中、小型机械的作业人员必须按规定做到“定机定人”和有证操作；起重吊装作业人员严禁无证操作；严禁不懂电器、机械设备的人，擅自操作使用电器、机械设备。</w:t>
      </w:r>
    </w:p>
    <w:p w14:paraId="7263A29E">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4.16承包人及其分包商必须实施安全健康和环境风险预控管理，并依据工程项目风险的大小，编制作业过程的危险源、环境因素分析清单和控制措施。</w:t>
      </w:r>
    </w:p>
    <w:p w14:paraId="4B8B7451">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4.17承包人及其分包商必须严格执行电业系统动火规定，正确使用动火工作票。工地严禁使用电炉，冬季施工如必须采用明火加热的防冻措施时，应取得防火主管人员同意，落实防火、防爆、防中毒措施，并指派专人值班。</w:t>
      </w:r>
    </w:p>
    <w:p w14:paraId="1988A8F7">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4.18施工中应与带电设备保持足够的安全距离或采取可靠的安全措施。必要时应验电、放电、加挂接地线，并增设专门监护人员。</w:t>
      </w:r>
    </w:p>
    <w:p w14:paraId="7A19135F">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4.19承包人及其分包商在施工中，应注意地下管线、光缆及高压架空线的保护。承包人及其分包商应向发包人了解地下管线和障碍物详细情况，会同发包人明确施工方法。如遇有特殊情况，应及时向发包人和有关部门联系，采取保护措施后施工，严禁冒险作业、野蛮作业。</w:t>
      </w:r>
    </w:p>
    <w:p w14:paraId="76E129C3">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4.20 承包人及其分包商必须按规定为作业人员配备应有的劳动保护用品、用具，承包人及其分包商所属人员的身体健康状况必须能满足所从事工作的要求。</w:t>
      </w:r>
    </w:p>
    <w:p w14:paraId="27D90418">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4.21承包人及其分包商要制定现场成品保护办法，确保一切材料、设备、成品、半成品的完好；</w:t>
      </w:r>
    </w:p>
    <w:p w14:paraId="678841B6">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4.22承包人及其分包商要制定施工现场交通安全管理办法，确保施工生产运输任务的顺利进行。</w:t>
      </w:r>
    </w:p>
    <w:p w14:paraId="1AA7FC46">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4.23承包人及其分包商有义务协助发包人及其上级主管单位，对本合同工程现场的安全、健康、环保及文明施工管理情况进行监督、检查和考核。</w:t>
      </w:r>
    </w:p>
    <w:p w14:paraId="755EDA93">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4.24 承包人及其分包商必须坚持文明施工，严格按照施工总平面布置图进行施工平面管理，明确责任区负责人，物品堆放做到定点管理，作业面施工做到工完料尽场地清，现场工业垃圾应及时清理。承包人要在施工现场的生活区设置冲水式厕所，专人负责维护和清洁。</w:t>
      </w:r>
    </w:p>
    <w:p w14:paraId="004C3CFA">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4.25承包人在工程正式开工前2天向发包人项目部提交项目负责人、安监人员、施工人员、特殊作业人员、安全考试和大型施工机械台帐等资料，并要随着工程的进展情况实行动态管理。</w:t>
      </w:r>
    </w:p>
    <w:p w14:paraId="15850D91">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4.26 承包人按月(年)向发包人报送《电力建设企业职工伤亡事故月(年)报表》。</w:t>
      </w:r>
    </w:p>
    <w:p w14:paraId="076F6D81">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4.27承包人对发包人及其上级单位组织的安全环境大检查、安全工作会议等应及时派员参加并认真贯彻落实。</w:t>
      </w:r>
    </w:p>
    <w:p w14:paraId="1CD0F5E4">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4.28 承包人应在本协议期限内投保并维持安全生产责任保险。</w:t>
      </w:r>
    </w:p>
    <w:p w14:paraId="4DC676B3">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五、安全生产费用使用要求</w:t>
      </w:r>
    </w:p>
    <w:p w14:paraId="5345A423">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5.1本项目安全生产费用为按照国家有关规定和建筑施工安全标准专款专用于购置施工安全防护用具、落实安全施工措施、改善安全生产条件、加强安全生产管理等所需的费用。本合同安全生产费用为合同建安施工部分总价的2%，全部安全生产费用已包含在合同预付款中一次性向承包人支付，发包人不再单独另行支付。</w:t>
      </w:r>
    </w:p>
    <w:p w14:paraId="238CBA1E">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5.2 承包人对安全生产费用应专款专用，承包人应在财务账目中单独列项备查，不得挪作他用，否则发包人有权责令其限期改正；逾期未改正的，可以责令其暂停施工，由此增加的费用和（或）工期的延误由承包人承担。安全生产费用应专项用于以下范围：</w:t>
      </w:r>
    </w:p>
    <w:p w14:paraId="0C909CB4">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1）完善、改造和维护安全防护设施设备支出，包括施工现场临时用电系统、洞口、临边、机械设备、高处作业防护、交叉作业防护、防火、防爆、防尘、防毒、防雷、防台风、防地质灾害、地下工程有害气体监测、通风、临时安全防护等设施设备支出；</w:t>
      </w:r>
    </w:p>
    <w:p w14:paraId="3BC51E1E">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（2）配备、维护、保养应急救援器材、设备支出和应急演练支出；</w:t>
      </w:r>
    </w:p>
    <w:p w14:paraId="5BBA054A">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（3）开展重大危险源和事故隐患评估、监控和整改支出；</w:t>
      </w:r>
    </w:p>
    <w:p w14:paraId="1B9EBF87">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（4）安全生产检查、评价、咨询和标准化建设支出；</w:t>
      </w:r>
    </w:p>
    <w:p w14:paraId="557C41DD">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（5）配备和更新现场作业人员安全防护用品支出；</w:t>
      </w:r>
    </w:p>
    <w:p w14:paraId="698C3BDC">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（6）安全生产宣传、教育、培训支出；</w:t>
      </w:r>
    </w:p>
    <w:p w14:paraId="10EADFA5">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（7）安全生产适用的新技术、新标准、新工艺、新装备的推广应用支出；</w:t>
      </w:r>
    </w:p>
    <w:p w14:paraId="6B71395D">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（8）安全设施及特种设备检测检验支出；</w:t>
      </w:r>
    </w:p>
    <w:p w14:paraId="64E1E1C7">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（9）其他与安全生产直接相关的支出。</w:t>
      </w:r>
    </w:p>
    <w:p w14:paraId="34648FDC">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5.3承包人应在工程开工前编制安全生产费用的使用计划，经发包人批准后实施。</w:t>
      </w:r>
    </w:p>
    <w:p w14:paraId="0A28C0E4">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5.4 承包人应建立安全用品采购台账，并将购物发票复印件、合格证或质保书、检验资料等证明材料粘附在安全用品采购验收资料附件中存档。承包人应每月将所发生的安全生产费用进行汇总，并报发包人审核。</w:t>
      </w:r>
    </w:p>
    <w:p w14:paraId="311DE7B8">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5.5发包人有权要求承包人按照批准的安全生产费用使用计划及时投入费用，且有权监督、核查承包人的费用使用情况，承包人挪用安全生产费用、不投入安全生产费用、不足额投入安全生产费用或投入不能满足现场需要的，承包人应及时整改，拒不整改或整改不到位的，发包人有权在工程进度款支付时扣除未投入的费用额度。</w:t>
      </w:r>
    </w:p>
    <w:p w14:paraId="4A0002FF">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5.6承包人向发包人申请支付进度款时，应提交经过发包人审核批准的安全生产费用明细清单，发包人按批准的金额进行支付，对于未足额使用安全生产费用的，发包人在付款时有权扣除未投入使用的金额。</w:t>
      </w:r>
    </w:p>
    <w:p w14:paraId="2D6A90C8">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 xml:space="preserve">5.7承包人安全文明施工措施落实不到位、经发包人或监理单位指出后不能及时整改或拒不整改的，发包人有权另行组织人员进行整改，发生费用从承包人的安全生产费用中扣除。 </w:t>
      </w:r>
    </w:p>
    <w:p w14:paraId="421C85BB">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5.8 承包人分包部分工程的，应当将安全生产费用按比例直接支付分包单位并监督分包单位按照本协议要求使用安全生产费用。</w:t>
      </w:r>
    </w:p>
    <w:p w14:paraId="3239FF91">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六、承包人EHS规范要求</w:t>
      </w:r>
    </w:p>
    <w:p w14:paraId="5A5849B4">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6.1承包人必须将本协议内容要求传达给本合同涉及范围内工作的其他人员。</w:t>
      </w:r>
    </w:p>
    <w:p w14:paraId="1EDB7416">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6.2承包人应采取合理的防范措施以防止污染事故发生，保护现场工作人员的安全健康。</w:t>
      </w:r>
    </w:p>
    <w:p w14:paraId="75DD03B2">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6.3承包人应承担其雇员未遵守环境安全规定所引起的损失和赔偿。</w:t>
      </w:r>
    </w:p>
    <w:p w14:paraId="3848581D">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6.4承包人应按国家规定的《工伤保险条例》为其雇员缴纳工伤保险费。员工发生工伤时，承包人应采取措施使工伤职工得到及时救治。</w:t>
      </w:r>
    </w:p>
    <w:p w14:paraId="08E2AEDE">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6.5承包人应严格遵照并执行本合同涉及范围内的安全许可管理制度及所要求的安全防护措施。有任何违背合同协议中规定的行为，根据影响的严重程度予以处罚扣款，并停止工作直到纠正措施采取。如损及公司之设备或财产时，依实际损失金额扣款。</w:t>
      </w:r>
    </w:p>
    <w:p w14:paraId="2D9682F7">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6.6承包人的员工进入本合同涉及的项目部施工区域必须遵守这些规定，作为需要进行现场施工的承包人员工，必须在开始工作前接受本合同涉及项目的EHS培训方可开始施工。</w:t>
      </w:r>
    </w:p>
    <w:p w14:paraId="5F2F2476">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6.7承包人必须遵守国家、地方环境安全规定及其他未覆盖的相关法律法规规定。</w:t>
      </w:r>
    </w:p>
    <w:p w14:paraId="6AA46099">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七、安全管理违规、违约</w:t>
      </w:r>
    </w:p>
    <w:p w14:paraId="2701660A">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承包人在项目建设过程中存在违反安全管理规定的行为或本合同约定的行为，发包人有权向承包人收取违约金和违规罚金，具体规定如下表。</w:t>
      </w:r>
    </w:p>
    <w:tbl>
      <w:tblPr>
        <w:tblStyle w:val="4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851"/>
        <w:gridCol w:w="4394"/>
        <w:gridCol w:w="1593"/>
        <w:gridCol w:w="1660"/>
      </w:tblGrid>
      <w:tr w14:paraId="140CA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blHeader/>
        </w:trPr>
        <w:tc>
          <w:tcPr>
            <w:tcW w:w="817" w:type="dxa"/>
            <w:noWrap w:val="0"/>
            <w:vAlign w:val="center"/>
          </w:tcPr>
          <w:p w14:paraId="6F85D3C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序号</w:t>
            </w:r>
          </w:p>
        </w:tc>
        <w:tc>
          <w:tcPr>
            <w:tcW w:w="851" w:type="dxa"/>
            <w:noWrap w:val="0"/>
            <w:vAlign w:val="center"/>
          </w:tcPr>
          <w:p w14:paraId="7248BB6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条数</w:t>
            </w:r>
          </w:p>
        </w:tc>
        <w:tc>
          <w:tcPr>
            <w:tcW w:w="4394" w:type="dxa"/>
            <w:noWrap w:val="0"/>
            <w:vAlign w:val="center"/>
          </w:tcPr>
          <w:p w14:paraId="0884916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违约事项</w:t>
            </w:r>
          </w:p>
        </w:tc>
        <w:tc>
          <w:tcPr>
            <w:tcW w:w="1593" w:type="dxa"/>
            <w:noWrap w:val="0"/>
            <w:vAlign w:val="center"/>
          </w:tcPr>
          <w:p w14:paraId="4B443AA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处罚金额</w:t>
            </w:r>
          </w:p>
        </w:tc>
        <w:tc>
          <w:tcPr>
            <w:tcW w:w="1660" w:type="dxa"/>
            <w:noWrap w:val="0"/>
            <w:vAlign w:val="center"/>
          </w:tcPr>
          <w:p w14:paraId="64FC4A7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备注</w:t>
            </w:r>
          </w:p>
        </w:tc>
      </w:tr>
      <w:tr w14:paraId="568D9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315" w:type="dxa"/>
            <w:gridSpan w:val="5"/>
            <w:noWrap w:val="0"/>
            <w:vAlign w:val="center"/>
          </w:tcPr>
          <w:p w14:paraId="6C3373A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一、安全管理</w:t>
            </w:r>
          </w:p>
        </w:tc>
      </w:tr>
      <w:tr w14:paraId="3ADDC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817" w:type="dxa"/>
            <w:noWrap w:val="0"/>
            <w:vAlign w:val="center"/>
          </w:tcPr>
          <w:p w14:paraId="5BADEB1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w:t>
            </w:r>
          </w:p>
        </w:tc>
        <w:tc>
          <w:tcPr>
            <w:tcW w:w="851" w:type="dxa"/>
            <w:noWrap w:val="0"/>
            <w:vAlign w:val="center"/>
          </w:tcPr>
          <w:p w14:paraId="54151D5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w:t>
            </w:r>
          </w:p>
        </w:tc>
        <w:tc>
          <w:tcPr>
            <w:tcW w:w="4394" w:type="dxa"/>
            <w:noWrap w:val="0"/>
            <w:vAlign w:val="center"/>
          </w:tcPr>
          <w:p w14:paraId="715DD2B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分包单位未经资质审核进场施工作业</w:t>
            </w:r>
          </w:p>
        </w:tc>
        <w:tc>
          <w:tcPr>
            <w:tcW w:w="1593" w:type="dxa"/>
            <w:noWrap w:val="0"/>
            <w:vAlign w:val="center"/>
          </w:tcPr>
          <w:p w14:paraId="505474F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1000元</w:t>
            </w:r>
          </w:p>
        </w:tc>
        <w:tc>
          <w:tcPr>
            <w:tcW w:w="1660" w:type="dxa"/>
            <w:noWrap w:val="0"/>
            <w:vAlign w:val="center"/>
          </w:tcPr>
          <w:p w14:paraId="662FE14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审核不合格责令退场</w:t>
            </w:r>
          </w:p>
        </w:tc>
      </w:tr>
      <w:tr w14:paraId="7E6E3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817" w:type="dxa"/>
            <w:noWrap w:val="0"/>
            <w:vAlign w:val="center"/>
          </w:tcPr>
          <w:p w14:paraId="5EEFF02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w:t>
            </w:r>
          </w:p>
        </w:tc>
        <w:tc>
          <w:tcPr>
            <w:tcW w:w="851" w:type="dxa"/>
            <w:noWrap w:val="0"/>
            <w:vAlign w:val="center"/>
          </w:tcPr>
          <w:p w14:paraId="7D2CC77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w:t>
            </w:r>
          </w:p>
        </w:tc>
        <w:tc>
          <w:tcPr>
            <w:tcW w:w="4394" w:type="dxa"/>
            <w:noWrap w:val="0"/>
            <w:vAlign w:val="center"/>
          </w:tcPr>
          <w:p w14:paraId="5C62D3F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未建立安全生产管理体系、组织机构</w:t>
            </w:r>
          </w:p>
        </w:tc>
        <w:tc>
          <w:tcPr>
            <w:tcW w:w="1593" w:type="dxa"/>
            <w:noWrap w:val="0"/>
            <w:vAlign w:val="center"/>
          </w:tcPr>
          <w:p w14:paraId="5CC9F24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5000元/天</w:t>
            </w:r>
          </w:p>
        </w:tc>
        <w:tc>
          <w:tcPr>
            <w:tcW w:w="1660" w:type="dxa"/>
            <w:noWrap w:val="0"/>
            <w:vAlign w:val="center"/>
          </w:tcPr>
          <w:p w14:paraId="069607F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规定日期未完成</w:t>
            </w:r>
          </w:p>
          <w:p w14:paraId="69C5FA5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后开始计算</w:t>
            </w:r>
          </w:p>
        </w:tc>
      </w:tr>
      <w:tr w14:paraId="47999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817" w:type="dxa"/>
            <w:noWrap w:val="0"/>
            <w:vAlign w:val="center"/>
          </w:tcPr>
          <w:p w14:paraId="1C7CC8B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w:t>
            </w:r>
          </w:p>
        </w:tc>
        <w:tc>
          <w:tcPr>
            <w:tcW w:w="851" w:type="dxa"/>
            <w:noWrap w:val="0"/>
            <w:vAlign w:val="center"/>
          </w:tcPr>
          <w:p w14:paraId="07773D4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w:t>
            </w:r>
          </w:p>
        </w:tc>
        <w:tc>
          <w:tcPr>
            <w:tcW w:w="4394" w:type="dxa"/>
            <w:noWrap w:val="0"/>
            <w:vAlign w:val="center"/>
          </w:tcPr>
          <w:p w14:paraId="6AE333B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未按要求配备专（兼）职安全管理人员</w:t>
            </w:r>
          </w:p>
        </w:tc>
        <w:tc>
          <w:tcPr>
            <w:tcW w:w="1593" w:type="dxa"/>
            <w:noWrap w:val="0"/>
            <w:vAlign w:val="center"/>
          </w:tcPr>
          <w:p w14:paraId="4352B6D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5000元/天</w:t>
            </w:r>
          </w:p>
        </w:tc>
        <w:tc>
          <w:tcPr>
            <w:tcW w:w="1660" w:type="dxa"/>
            <w:noWrap w:val="0"/>
            <w:vAlign w:val="center"/>
          </w:tcPr>
          <w:p w14:paraId="1020C05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规定日期未完成</w:t>
            </w:r>
          </w:p>
          <w:p w14:paraId="1A3EF3E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后开始计算</w:t>
            </w:r>
          </w:p>
        </w:tc>
      </w:tr>
      <w:tr w14:paraId="10C1E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817" w:type="dxa"/>
            <w:noWrap w:val="0"/>
            <w:vAlign w:val="center"/>
          </w:tcPr>
          <w:p w14:paraId="286E10B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4</w:t>
            </w:r>
          </w:p>
        </w:tc>
        <w:tc>
          <w:tcPr>
            <w:tcW w:w="851" w:type="dxa"/>
            <w:noWrap w:val="0"/>
            <w:vAlign w:val="center"/>
          </w:tcPr>
          <w:p w14:paraId="5CE9D0A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4</w:t>
            </w:r>
          </w:p>
        </w:tc>
        <w:tc>
          <w:tcPr>
            <w:tcW w:w="4394" w:type="dxa"/>
            <w:noWrap w:val="0"/>
            <w:vAlign w:val="center"/>
          </w:tcPr>
          <w:p w14:paraId="38DDFCB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未进行安全生产责任制交底</w:t>
            </w:r>
          </w:p>
        </w:tc>
        <w:tc>
          <w:tcPr>
            <w:tcW w:w="1593" w:type="dxa"/>
            <w:noWrap w:val="0"/>
            <w:vAlign w:val="center"/>
          </w:tcPr>
          <w:p w14:paraId="5DC5FF9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500元/天</w:t>
            </w:r>
          </w:p>
        </w:tc>
        <w:tc>
          <w:tcPr>
            <w:tcW w:w="1660" w:type="dxa"/>
            <w:noWrap w:val="0"/>
            <w:vAlign w:val="center"/>
          </w:tcPr>
          <w:p w14:paraId="7E5EE75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规定日期未完成</w:t>
            </w:r>
          </w:p>
          <w:p w14:paraId="4F38F57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后开始计算</w:t>
            </w:r>
          </w:p>
        </w:tc>
      </w:tr>
      <w:tr w14:paraId="755B5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817" w:type="dxa"/>
            <w:noWrap w:val="0"/>
            <w:vAlign w:val="center"/>
          </w:tcPr>
          <w:p w14:paraId="25EA3D5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w:t>
            </w:r>
          </w:p>
        </w:tc>
        <w:tc>
          <w:tcPr>
            <w:tcW w:w="851" w:type="dxa"/>
            <w:noWrap w:val="0"/>
            <w:vAlign w:val="center"/>
          </w:tcPr>
          <w:p w14:paraId="1D96FD4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w:t>
            </w:r>
          </w:p>
        </w:tc>
        <w:tc>
          <w:tcPr>
            <w:tcW w:w="4394" w:type="dxa"/>
            <w:noWrap w:val="0"/>
            <w:vAlign w:val="center"/>
          </w:tcPr>
          <w:p w14:paraId="14463C9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未组织编制安全生产规章制度、安全技术操作规程</w:t>
            </w:r>
          </w:p>
        </w:tc>
        <w:tc>
          <w:tcPr>
            <w:tcW w:w="1593" w:type="dxa"/>
            <w:noWrap w:val="0"/>
            <w:vAlign w:val="center"/>
          </w:tcPr>
          <w:p w14:paraId="2FDB926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500元/天</w:t>
            </w:r>
          </w:p>
        </w:tc>
        <w:tc>
          <w:tcPr>
            <w:tcW w:w="1660" w:type="dxa"/>
            <w:noWrap w:val="0"/>
            <w:vAlign w:val="center"/>
          </w:tcPr>
          <w:p w14:paraId="008E265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规定日期未完成</w:t>
            </w:r>
          </w:p>
          <w:p w14:paraId="0CC2C62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后开始计算</w:t>
            </w:r>
          </w:p>
        </w:tc>
      </w:tr>
      <w:tr w14:paraId="35445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040D2B7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6</w:t>
            </w:r>
          </w:p>
        </w:tc>
        <w:tc>
          <w:tcPr>
            <w:tcW w:w="851" w:type="dxa"/>
            <w:noWrap w:val="0"/>
            <w:vAlign w:val="center"/>
          </w:tcPr>
          <w:p w14:paraId="68FA294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6</w:t>
            </w:r>
          </w:p>
        </w:tc>
        <w:tc>
          <w:tcPr>
            <w:tcW w:w="4394" w:type="dxa"/>
            <w:noWrap w:val="0"/>
            <w:vAlign w:val="center"/>
          </w:tcPr>
          <w:p w14:paraId="105C919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未进行安全教育和交底，或无记录/记录不全</w:t>
            </w:r>
          </w:p>
        </w:tc>
        <w:tc>
          <w:tcPr>
            <w:tcW w:w="1593" w:type="dxa"/>
            <w:noWrap w:val="0"/>
            <w:vAlign w:val="center"/>
          </w:tcPr>
          <w:p w14:paraId="4C56436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200元/人次</w:t>
            </w:r>
          </w:p>
        </w:tc>
        <w:tc>
          <w:tcPr>
            <w:tcW w:w="1660" w:type="dxa"/>
            <w:noWrap w:val="0"/>
            <w:vAlign w:val="center"/>
          </w:tcPr>
          <w:p w14:paraId="02D56E5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0D3DF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817" w:type="dxa"/>
            <w:noWrap w:val="0"/>
            <w:vAlign w:val="center"/>
          </w:tcPr>
          <w:p w14:paraId="6826882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7</w:t>
            </w:r>
          </w:p>
        </w:tc>
        <w:tc>
          <w:tcPr>
            <w:tcW w:w="851" w:type="dxa"/>
            <w:noWrap w:val="0"/>
            <w:vAlign w:val="center"/>
          </w:tcPr>
          <w:p w14:paraId="6E1BE62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7</w:t>
            </w:r>
          </w:p>
        </w:tc>
        <w:tc>
          <w:tcPr>
            <w:tcW w:w="4394" w:type="dxa"/>
            <w:noWrap w:val="0"/>
            <w:vAlign w:val="center"/>
          </w:tcPr>
          <w:p w14:paraId="4BCEEED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未按要求建档安全资料、档案或不健全</w:t>
            </w:r>
          </w:p>
        </w:tc>
        <w:tc>
          <w:tcPr>
            <w:tcW w:w="1593" w:type="dxa"/>
            <w:noWrap w:val="0"/>
            <w:vAlign w:val="center"/>
          </w:tcPr>
          <w:p w14:paraId="24584D5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500元/天</w:t>
            </w:r>
          </w:p>
        </w:tc>
        <w:tc>
          <w:tcPr>
            <w:tcW w:w="1660" w:type="dxa"/>
            <w:noWrap w:val="0"/>
            <w:vAlign w:val="center"/>
          </w:tcPr>
          <w:p w14:paraId="4270D04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规定日期未完成</w:t>
            </w:r>
          </w:p>
          <w:p w14:paraId="3CEAFF3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后开始计算</w:t>
            </w:r>
          </w:p>
        </w:tc>
      </w:tr>
      <w:tr w14:paraId="16D5D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817" w:type="dxa"/>
            <w:noWrap w:val="0"/>
            <w:vAlign w:val="center"/>
          </w:tcPr>
          <w:p w14:paraId="51AED48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8</w:t>
            </w:r>
          </w:p>
        </w:tc>
        <w:tc>
          <w:tcPr>
            <w:tcW w:w="851" w:type="dxa"/>
            <w:noWrap w:val="0"/>
            <w:vAlign w:val="center"/>
          </w:tcPr>
          <w:p w14:paraId="395F68E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8</w:t>
            </w:r>
          </w:p>
        </w:tc>
        <w:tc>
          <w:tcPr>
            <w:tcW w:w="4394" w:type="dxa"/>
            <w:noWrap w:val="0"/>
            <w:vAlign w:val="center"/>
          </w:tcPr>
          <w:p w14:paraId="40B1000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未编制施工组织设计、事故应急救援预案、安全技术交底、施工、调试、并网方案，或未按方案实施</w:t>
            </w:r>
          </w:p>
        </w:tc>
        <w:tc>
          <w:tcPr>
            <w:tcW w:w="1593" w:type="dxa"/>
            <w:noWrap w:val="0"/>
            <w:vAlign w:val="center"/>
          </w:tcPr>
          <w:p w14:paraId="6772281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1000元/次</w:t>
            </w:r>
          </w:p>
        </w:tc>
        <w:tc>
          <w:tcPr>
            <w:tcW w:w="1660" w:type="dxa"/>
            <w:noWrap w:val="0"/>
            <w:vAlign w:val="center"/>
          </w:tcPr>
          <w:p w14:paraId="2A565D7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47E58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2949647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9</w:t>
            </w:r>
          </w:p>
        </w:tc>
        <w:tc>
          <w:tcPr>
            <w:tcW w:w="851" w:type="dxa"/>
            <w:noWrap w:val="0"/>
            <w:vAlign w:val="center"/>
          </w:tcPr>
          <w:p w14:paraId="1167C37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9</w:t>
            </w:r>
          </w:p>
        </w:tc>
        <w:tc>
          <w:tcPr>
            <w:tcW w:w="4394" w:type="dxa"/>
            <w:noWrap w:val="0"/>
            <w:vAlign w:val="center"/>
          </w:tcPr>
          <w:p w14:paraId="1BEB305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未按照要求编制危险性较大工程安全施工方案或措施并进行交底</w:t>
            </w:r>
          </w:p>
        </w:tc>
        <w:tc>
          <w:tcPr>
            <w:tcW w:w="1593" w:type="dxa"/>
            <w:noWrap w:val="0"/>
            <w:vAlign w:val="center"/>
          </w:tcPr>
          <w:p w14:paraId="0F45974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5000元/次</w:t>
            </w:r>
          </w:p>
        </w:tc>
        <w:tc>
          <w:tcPr>
            <w:tcW w:w="1660" w:type="dxa"/>
            <w:noWrap w:val="0"/>
            <w:vAlign w:val="center"/>
          </w:tcPr>
          <w:p w14:paraId="081CE3F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责令停工</w:t>
            </w:r>
          </w:p>
        </w:tc>
      </w:tr>
      <w:tr w14:paraId="50A9F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17" w:type="dxa"/>
            <w:noWrap w:val="0"/>
            <w:vAlign w:val="center"/>
          </w:tcPr>
          <w:p w14:paraId="3758D6B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w:t>
            </w:r>
          </w:p>
        </w:tc>
        <w:tc>
          <w:tcPr>
            <w:tcW w:w="851" w:type="dxa"/>
            <w:noWrap w:val="0"/>
            <w:vAlign w:val="center"/>
          </w:tcPr>
          <w:p w14:paraId="5BE27F0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w:t>
            </w:r>
          </w:p>
        </w:tc>
        <w:tc>
          <w:tcPr>
            <w:tcW w:w="4394" w:type="dxa"/>
            <w:noWrap w:val="0"/>
            <w:vAlign w:val="center"/>
          </w:tcPr>
          <w:p w14:paraId="16A228B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未组织开展班前交底活动</w:t>
            </w:r>
          </w:p>
        </w:tc>
        <w:tc>
          <w:tcPr>
            <w:tcW w:w="1593" w:type="dxa"/>
            <w:noWrap w:val="0"/>
            <w:vAlign w:val="center"/>
          </w:tcPr>
          <w:p w14:paraId="2951540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200元/次</w:t>
            </w:r>
          </w:p>
        </w:tc>
        <w:tc>
          <w:tcPr>
            <w:tcW w:w="1660" w:type="dxa"/>
            <w:noWrap w:val="0"/>
            <w:vAlign w:val="center"/>
          </w:tcPr>
          <w:p w14:paraId="7CA526C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3A927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168D17D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11</w:t>
            </w:r>
          </w:p>
        </w:tc>
        <w:tc>
          <w:tcPr>
            <w:tcW w:w="851" w:type="dxa"/>
            <w:noWrap w:val="0"/>
            <w:vAlign w:val="center"/>
          </w:tcPr>
          <w:p w14:paraId="40B99A6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11</w:t>
            </w:r>
          </w:p>
        </w:tc>
        <w:tc>
          <w:tcPr>
            <w:tcW w:w="4394" w:type="dxa"/>
            <w:noWrap w:val="0"/>
            <w:vAlign w:val="center"/>
          </w:tcPr>
          <w:p w14:paraId="6BD95D9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作业前未进行工作危险性分析并交底</w:t>
            </w:r>
          </w:p>
        </w:tc>
        <w:tc>
          <w:tcPr>
            <w:tcW w:w="1593" w:type="dxa"/>
            <w:noWrap w:val="0"/>
            <w:vAlign w:val="center"/>
          </w:tcPr>
          <w:p w14:paraId="27DD7AF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w:t>
            </w:r>
          </w:p>
        </w:tc>
        <w:tc>
          <w:tcPr>
            <w:tcW w:w="1660" w:type="dxa"/>
            <w:noWrap w:val="0"/>
            <w:vAlign w:val="center"/>
          </w:tcPr>
          <w:p w14:paraId="65DF9CB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68533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3E38238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12</w:t>
            </w:r>
          </w:p>
        </w:tc>
        <w:tc>
          <w:tcPr>
            <w:tcW w:w="851" w:type="dxa"/>
            <w:noWrap w:val="0"/>
            <w:vAlign w:val="center"/>
          </w:tcPr>
          <w:p w14:paraId="028D316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12</w:t>
            </w:r>
          </w:p>
        </w:tc>
        <w:tc>
          <w:tcPr>
            <w:tcW w:w="4394" w:type="dxa"/>
            <w:noWrap w:val="0"/>
            <w:vAlign w:val="center"/>
          </w:tcPr>
          <w:p w14:paraId="2641217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安全检查制度的建立与实施不符合要求</w:t>
            </w:r>
          </w:p>
        </w:tc>
        <w:tc>
          <w:tcPr>
            <w:tcW w:w="1593" w:type="dxa"/>
            <w:noWrap w:val="0"/>
            <w:vAlign w:val="center"/>
          </w:tcPr>
          <w:p w14:paraId="40FA2E2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w:t>
            </w:r>
          </w:p>
        </w:tc>
        <w:tc>
          <w:tcPr>
            <w:tcW w:w="1660" w:type="dxa"/>
            <w:noWrap w:val="0"/>
            <w:vAlign w:val="center"/>
          </w:tcPr>
          <w:p w14:paraId="151F2FC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4F532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52B5241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13</w:t>
            </w:r>
          </w:p>
        </w:tc>
        <w:tc>
          <w:tcPr>
            <w:tcW w:w="851" w:type="dxa"/>
            <w:noWrap w:val="0"/>
            <w:vAlign w:val="center"/>
          </w:tcPr>
          <w:p w14:paraId="0ED23F4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13</w:t>
            </w:r>
          </w:p>
        </w:tc>
        <w:tc>
          <w:tcPr>
            <w:tcW w:w="4394" w:type="dxa"/>
            <w:noWrap w:val="0"/>
            <w:vAlign w:val="center"/>
          </w:tcPr>
          <w:p w14:paraId="2BC9B12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未组织项目进行各类安全检查</w:t>
            </w:r>
          </w:p>
        </w:tc>
        <w:tc>
          <w:tcPr>
            <w:tcW w:w="1593" w:type="dxa"/>
            <w:noWrap w:val="0"/>
            <w:vAlign w:val="center"/>
          </w:tcPr>
          <w:p w14:paraId="2CB17A3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w:t>
            </w:r>
          </w:p>
        </w:tc>
        <w:tc>
          <w:tcPr>
            <w:tcW w:w="1660" w:type="dxa"/>
            <w:noWrap w:val="0"/>
            <w:vAlign w:val="center"/>
          </w:tcPr>
          <w:p w14:paraId="7FD71CB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6DA2B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3768ACD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14</w:t>
            </w:r>
          </w:p>
        </w:tc>
        <w:tc>
          <w:tcPr>
            <w:tcW w:w="851" w:type="dxa"/>
            <w:noWrap w:val="0"/>
            <w:vAlign w:val="center"/>
          </w:tcPr>
          <w:p w14:paraId="0E12E1A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14</w:t>
            </w:r>
          </w:p>
        </w:tc>
        <w:tc>
          <w:tcPr>
            <w:tcW w:w="4394" w:type="dxa"/>
            <w:noWrap w:val="0"/>
            <w:vAlign w:val="center"/>
          </w:tcPr>
          <w:p w14:paraId="7796B25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安全隐患未按期进行整改或整改不到位</w:t>
            </w:r>
          </w:p>
        </w:tc>
        <w:tc>
          <w:tcPr>
            <w:tcW w:w="1593" w:type="dxa"/>
            <w:noWrap w:val="0"/>
            <w:vAlign w:val="center"/>
          </w:tcPr>
          <w:p w14:paraId="5316C4B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500元/天</w:t>
            </w:r>
          </w:p>
        </w:tc>
        <w:tc>
          <w:tcPr>
            <w:tcW w:w="1660" w:type="dxa"/>
            <w:noWrap w:val="0"/>
            <w:vAlign w:val="center"/>
          </w:tcPr>
          <w:p w14:paraId="3E8CCB3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停工整改</w:t>
            </w:r>
          </w:p>
        </w:tc>
      </w:tr>
      <w:tr w14:paraId="7B937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4451F8A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15</w:t>
            </w:r>
          </w:p>
        </w:tc>
        <w:tc>
          <w:tcPr>
            <w:tcW w:w="851" w:type="dxa"/>
            <w:noWrap w:val="0"/>
            <w:vAlign w:val="center"/>
          </w:tcPr>
          <w:p w14:paraId="0E4B0EE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15</w:t>
            </w:r>
          </w:p>
        </w:tc>
        <w:tc>
          <w:tcPr>
            <w:tcW w:w="4394" w:type="dxa"/>
            <w:noWrap w:val="0"/>
            <w:vAlign w:val="center"/>
          </w:tcPr>
          <w:p w14:paraId="7EFE857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安全管理人员工作时间脱岗，未在现场进行安全监督检查</w:t>
            </w:r>
          </w:p>
        </w:tc>
        <w:tc>
          <w:tcPr>
            <w:tcW w:w="1593" w:type="dxa"/>
            <w:noWrap w:val="0"/>
            <w:vAlign w:val="center"/>
          </w:tcPr>
          <w:p w14:paraId="4D68B79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w:t>
            </w:r>
          </w:p>
        </w:tc>
        <w:tc>
          <w:tcPr>
            <w:tcW w:w="1660" w:type="dxa"/>
            <w:noWrap w:val="0"/>
            <w:vAlign w:val="center"/>
          </w:tcPr>
          <w:p w14:paraId="332FCF6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6C747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00FAFA9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16</w:t>
            </w:r>
          </w:p>
        </w:tc>
        <w:tc>
          <w:tcPr>
            <w:tcW w:w="851" w:type="dxa"/>
            <w:noWrap w:val="0"/>
            <w:vAlign w:val="center"/>
          </w:tcPr>
          <w:p w14:paraId="5E5879C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16</w:t>
            </w:r>
          </w:p>
        </w:tc>
        <w:tc>
          <w:tcPr>
            <w:tcW w:w="4394" w:type="dxa"/>
            <w:noWrap w:val="0"/>
            <w:vAlign w:val="center"/>
          </w:tcPr>
          <w:p w14:paraId="0B3D6A7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未及时纠正现场“三违”行为</w:t>
            </w:r>
          </w:p>
        </w:tc>
        <w:tc>
          <w:tcPr>
            <w:tcW w:w="1593" w:type="dxa"/>
            <w:noWrap w:val="0"/>
            <w:vAlign w:val="center"/>
          </w:tcPr>
          <w:p w14:paraId="0014A9F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w:t>
            </w:r>
          </w:p>
        </w:tc>
        <w:tc>
          <w:tcPr>
            <w:tcW w:w="1660" w:type="dxa"/>
            <w:noWrap w:val="0"/>
            <w:vAlign w:val="center"/>
          </w:tcPr>
          <w:p w14:paraId="2358145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3B1D6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817" w:type="dxa"/>
            <w:noWrap w:val="0"/>
            <w:vAlign w:val="center"/>
          </w:tcPr>
          <w:p w14:paraId="18DB783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17</w:t>
            </w:r>
          </w:p>
        </w:tc>
        <w:tc>
          <w:tcPr>
            <w:tcW w:w="851" w:type="dxa"/>
            <w:noWrap w:val="0"/>
            <w:vAlign w:val="center"/>
          </w:tcPr>
          <w:p w14:paraId="105A9D2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17</w:t>
            </w:r>
          </w:p>
        </w:tc>
        <w:tc>
          <w:tcPr>
            <w:tcW w:w="4394" w:type="dxa"/>
            <w:noWrap w:val="0"/>
            <w:vAlign w:val="center"/>
          </w:tcPr>
          <w:p w14:paraId="6E4A484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危险性较大的分部分项工程，施工单位施工管理人员、安全管理人员对施工现场检查、监督不到位</w:t>
            </w:r>
          </w:p>
        </w:tc>
        <w:tc>
          <w:tcPr>
            <w:tcW w:w="1593" w:type="dxa"/>
            <w:noWrap w:val="0"/>
            <w:vAlign w:val="center"/>
          </w:tcPr>
          <w:p w14:paraId="70274EB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500元/次·人</w:t>
            </w:r>
          </w:p>
        </w:tc>
        <w:tc>
          <w:tcPr>
            <w:tcW w:w="1660" w:type="dxa"/>
            <w:noWrap w:val="0"/>
            <w:vAlign w:val="center"/>
          </w:tcPr>
          <w:p w14:paraId="16A4FFF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3B4B0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1323C05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18</w:t>
            </w:r>
          </w:p>
        </w:tc>
        <w:tc>
          <w:tcPr>
            <w:tcW w:w="851" w:type="dxa"/>
            <w:noWrap w:val="0"/>
            <w:vAlign w:val="center"/>
          </w:tcPr>
          <w:p w14:paraId="4F23BCB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18</w:t>
            </w:r>
          </w:p>
        </w:tc>
        <w:tc>
          <w:tcPr>
            <w:tcW w:w="4394" w:type="dxa"/>
            <w:noWrap w:val="0"/>
            <w:vAlign w:val="center"/>
          </w:tcPr>
          <w:p w14:paraId="68279B4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危险性较大分部分项工程未进行安全先决条件检查合格，便组织施工作业</w:t>
            </w:r>
          </w:p>
        </w:tc>
        <w:tc>
          <w:tcPr>
            <w:tcW w:w="1593" w:type="dxa"/>
            <w:noWrap w:val="0"/>
            <w:vAlign w:val="center"/>
          </w:tcPr>
          <w:p w14:paraId="7329EA5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2000元/次</w:t>
            </w:r>
          </w:p>
        </w:tc>
        <w:tc>
          <w:tcPr>
            <w:tcW w:w="1660" w:type="dxa"/>
            <w:noWrap w:val="0"/>
            <w:vAlign w:val="center"/>
          </w:tcPr>
          <w:p w14:paraId="2BF899F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000E6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trPr>
        <w:tc>
          <w:tcPr>
            <w:tcW w:w="817" w:type="dxa"/>
            <w:noWrap w:val="0"/>
            <w:vAlign w:val="center"/>
          </w:tcPr>
          <w:p w14:paraId="0FEF8D3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19</w:t>
            </w:r>
          </w:p>
        </w:tc>
        <w:tc>
          <w:tcPr>
            <w:tcW w:w="851" w:type="dxa"/>
            <w:noWrap w:val="0"/>
            <w:vAlign w:val="center"/>
          </w:tcPr>
          <w:p w14:paraId="433D010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19</w:t>
            </w:r>
          </w:p>
        </w:tc>
        <w:tc>
          <w:tcPr>
            <w:tcW w:w="4394" w:type="dxa"/>
            <w:noWrap w:val="0"/>
            <w:vAlign w:val="center"/>
          </w:tcPr>
          <w:p w14:paraId="280CDEC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施工现场发生的安全事故/事件汇报、分析不彻底，未找出根本原因，或责任人没有处理，或应受教育者未进行培训教育，或未采取防范措施，或没按规定上报</w:t>
            </w:r>
          </w:p>
        </w:tc>
        <w:tc>
          <w:tcPr>
            <w:tcW w:w="1593" w:type="dxa"/>
            <w:noWrap w:val="0"/>
            <w:vAlign w:val="center"/>
          </w:tcPr>
          <w:p w14:paraId="0E38986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w:t>
            </w:r>
          </w:p>
        </w:tc>
        <w:tc>
          <w:tcPr>
            <w:tcW w:w="1660" w:type="dxa"/>
            <w:noWrap w:val="0"/>
            <w:vAlign w:val="center"/>
          </w:tcPr>
          <w:p w14:paraId="4D9E223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4029D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817" w:type="dxa"/>
            <w:noWrap w:val="0"/>
            <w:vAlign w:val="center"/>
          </w:tcPr>
          <w:p w14:paraId="407415C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w:t>
            </w:r>
          </w:p>
        </w:tc>
        <w:tc>
          <w:tcPr>
            <w:tcW w:w="851" w:type="dxa"/>
            <w:noWrap w:val="0"/>
            <w:vAlign w:val="center"/>
          </w:tcPr>
          <w:p w14:paraId="1E1830E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w:t>
            </w:r>
          </w:p>
        </w:tc>
        <w:tc>
          <w:tcPr>
            <w:tcW w:w="4394" w:type="dxa"/>
            <w:noWrap w:val="0"/>
            <w:vAlign w:val="center"/>
          </w:tcPr>
          <w:p w14:paraId="0867FEF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特种作业人员未报审进场作业或未随身携带《特种作业人员卡》等有效证件或有效证件过期在场作业</w:t>
            </w:r>
          </w:p>
        </w:tc>
        <w:tc>
          <w:tcPr>
            <w:tcW w:w="1593" w:type="dxa"/>
            <w:noWrap w:val="0"/>
            <w:vAlign w:val="center"/>
          </w:tcPr>
          <w:p w14:paraId="57AC498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300元/人·次</w:t>
            </w:r>
          </w:p>
        </w:tc>
        <w:tc>
          <w:tcPr>
            <w:tcW w:w="1660" w:type="dxa"/>
            <w:noWrap w:val="0"/>
            <w:vAlign w:val="center"/>
          </w:tcPr>
          <w:p w14:paraId="1AD87E3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4E73E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817" w:type="dxa"/>
            <w:noWrap w:val="0"/>
            <w:vAlign w:val="center"/>
          </w:tcPr>
          <w:p w14:paraId="3F66DC2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21</w:t>
            </w:r>
          </w:p>
        </w:tc>
        <w:tc>
          <w:tcPr>
            <w:tcW w:w="851" w:type="dxa"/>
            <w:noWrap w:val="0"/>
            <w:vAlign w:val="center"/>
          </w:tcPr>
          <w:p w14:paraId="12A1F31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21</w:t>
            </w:r>
          </w:p>
        </w:tc>
        <w:tc>
          <w:tcPr>
            <w:tcW w:w="4394" w:type="dxa"/>
            <w:noWrap w:val="0"/>
            <w:vAlign w:val="center"/>
          </w:tcPr>
          <w:p w14:paraId="3A2F972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特种设备及大型施工机械设备未报审进场作业或未按规定粘贴设备标签或超期在场作业</w:t>
            </w:r>
          </w:p>
        </w:tc>
        <w:tc>
          <w:tcPr>
            <w:tcW w:w="1593" w:type="dxa"/>
            <w:noWrap w:val="0"/>
            <w:vAlign w:val="center"/>
          </w:tcPr>
          <w:p w14:paraId="7DBD40E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300元/台·次</w:t>
            </w:r>
          </w:p>
        </w:tc>
        <w:tc>
          <w:tcPr>
            <w:tcW w:w="1660" w:type="dxa"/>
            <w:noWrap w:val="0"/>
            <w:vAlign w:val="center"/>
          </w:tcPr>
          <w:p w14:paraId="58A5FD2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05E20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817" w:type="dxa"/>
            <w:noWrap w:val="0"/>
            <w:vAlign w:val="center"/>
          </w:tcPr>
          <w:p w14:paraId="1CA28A0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22</w:t>
            </w:r>
          </w:p>
        </w:tc>
        <w:tc>
          <w:tcPr>
            <w:tcW w:w="851" w:type="dxa"/>
            <w:noWrap w:val="0"/>
            <w:vAlign w:val="center"/>
          </w:tcPr>
          <w:p w14:paraId="20D069C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22</w:t>
            </w:r>
          </w:p>
        </w:tc>
        <w:tc>
          <w:tcPr>
            <w:tcW w:w="4394" w:type="dxa"/>
            <w:noWrap w:val="0"/>
            <w:vAlign w:val="center"/>
          </w:tcPr>
          <w:p w14:paraId="0A3C2A1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未探明地下管线、电缆等设施组织施工，造成设施损坏（除修复外，视施工组织情况及设施损坏情况）</w:t>
            </w:r>
          </w:p>
        </w:tc>
        <w:tc>
          <w:tcPr>
            <w:tcW w:w="1593" w:type="dxa"/>
            <w:noWrap w:val="0"/>
            <w:vAlign w:val="center"/>
          </w:tcPr>
          <w:p w14:paraId="31E8D52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500-5000元/次</w:t>
            </w:r>
          </w:p>
        </w:tc>
        <w:tc>
          <w:tcPr>
            <w:tcW w:w="1660" w:type="dxa"/>
            <w:noWrap w:val="0"/>
            <w:vAlign w:val="center"/>
          </w:tcPr>
          <w:p w14:paraId="3577681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7388E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0198456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23</w:t>
            </w:r>
          </w:p>
        </w:tc>
        <w:tc>
          <w:tcPr>
            <w:tcW w:w="851" w:type="dxa"/>
            <w:noWrap w:val="0"/>
            <w:vAlign w:val="center"/>
          </w:tcPr>
          <w:p w14:paraId="46DB31F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23</w:t>
            </w:r>
          </w:p>
        </w:tc>
        <w:tc>
          <w:tcPr>
            <w:tcW w:w="4394" w:type="dxa"/>
            <w:noWrap w:val="0"/>
            <w:vAlign w:val="center"/>
          </w:tcPr>
          <w:p w14:paraId="1D293BE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普通施工人员从事特种作业</w:t>
            </w:r>
          </w:p>
        </w:tc>
        <w:tc>
          <w:tcPr>
            <w:tcW w:w="1593" w:type="dxa"/>
            <w:noWrap w:val="0"/>
            <w:vAlign w:val="center"/>
          </w:tcPr>
          <w:p w14:paraId="26B6FE3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500元/人·次</w:t>
            </w:r>
          </w:p>
        </w:tc>
        <w:tc>
          <w:tcPr>
            <w:tcW w:w="1660" w:type="dxa"/>
            <w:noWrap w:val="0"/>
            <w:vAlign w:val="center"/>
          </w:tcPr>
          <w:p w14:paraId="1580CF5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7503F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817" w:type="dxa"/>
            <w:noWrap w:val="0"/>
            <w:vAlign w:val="center"/>
          </w:tcPr>
          <w:p w14:paraId="0D8ABD6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24</w:t>
            </w:r>
          </w:p>
        </w:tc>
        <w:tc>
          <w:tcPr>
            <w:tcW w:w="851" w:type="dxa"/>
            <w:noWrap w:val="0"/>
            <w:vAlign w:val="center"/>
          </w:tcPr>
          <w:p w14:paraId="211167C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24</w:t>
            </w:r>
          </w:p>
        </w:tc>
        <w:tc>
          <w:tcPr>
            <w:tcW w:w="4394" w:type="dxa"/>
            <w:noWrap w:val="0"/>
            <w:vAlign w:val="center"/>
          </w:tcPr>
          <w:p w14:paraId="03A2885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安全措施不到位导致施工现场存在安全隐患或违章现象，相关人员未及时发现并组织整改</w:t>
            </w:r>
          </w:p>
        </w:tc>
        <w:tc>
          <w:tcPr>
            <w:tcW w:w="1593" w:type="dxa"/>
            <w:noWrap w:val="0"/>
            <w:vAlign w:val="center"/>
          </w:tcPr>
          <w:p w14:paraId="1582236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w:t>
            </w:r>
          </w:p>
        </w:tc>
        <w:tc>
          <w:tcPr>
            <w:tcW w:w="1660" w:type="dxa"/>
            <w:noWrap w:val="0"/>
            <w:vAlign w:val="center"/>
          </w:tcPr>
          <w:p w14:paraId="16F7DCC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4D38C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2F6A49B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25</w:t>
            </w:r>
          </w:p>
        </w:tc>
        <w:tc>
          <w:tcPr>
            <w:tcW w:w="851" w:type="dxa"/>
            <w:noWrap w:val="0"/>
            <w:vAlign w:val="center"/>
          </w:tcPr>
          <w:p w14:paraId="725F15A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25</w:t>
            </w:r>
          </w:p>
        </w:tc>
        <w:tc>
          <w:tcPr>
            <w:tcW w:w="4394" w:type="dxa"/>
            <w:noWrap w:val="0"/>
            <w:vAlign w:val="center"/>
          </w:tcPr>
          <w:p w14:paraId="48AC80C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阻挠、干扰、影响安全管理人员进行安全监督检查</w:t>
            </w:r>
          </w:p>
        </w:tc>
        <w:tc>
          <w:tcPr>
            <w:tcW w:w="1593" w:type="dxa"/>
            <w:noWrap w:val="0"/>
            <w:vAlign w:val="center"/>
          </w:tcPr>
          <w:p w14:paraId="0F95AB8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5000元/次</w:t>
            </w:r>
          </w:p>
        </w:tc>
        <w:tc>
          <w:tcPr>
            <w:tcW w:w="1660" w:type="dxa"/>
            <w:noWrap w:val="0"/>
            <w:vAlign w:val="center"/>
          </w:tcPr>
          <w:p w14:paraId="3BC6417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619B0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08DBFAD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26</w:t>
            </w:r>
          </w:p>
        </w:tc>
        <w:tc>
          <w:tcPr>
            <w:tcW w:w="851" w:type="dxa"/>
            <w:noWrap w:val="0"/>
            <w:vAlign w:val="center"/>
          </w:tcPr>
          <w:p w14:paraId="55465B0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26</w:t>
            </w:r>
          </w:p>
        </w:tc>
        <w:tc>
          <w:tcPr>
            <w:tcW w:w="4394" w:type="dxa"/>
            <w:noWrap w:val="0"/>
            <w:vAlign w:val="center"/>
          </w:tcPr>
          <w:p w14:paraId="6AFB7FB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施工承包商安全管理资料报告不及时或资料质量不符合要求</w:t>
            </w:r>
          </w:p>
        </w:tc>
        <w:tc>
          <w:tcPr>
            <w:tcW w:w="1593" w:type="dxa"/>
            <w:noWrap w:val="0"/>
            <w:vAlign w:val="center"/>
          </w:tcPr>
          <w:p w14:paraId="486693E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w:t>
            </w:r>
          </w:p>
        </w:tc>
        <w:tc>
          <w:tcPr>
            <w:tcW w:w="1660" w:type="dxa"/>
            <w:noWrap w:val="0"/>
            <w:vAlign w:val="center"/>
          </w:tcPr>
          <w:p w14:paraId="7753DFD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45D24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1B08D68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27</w:t>
            </w:r>
          </w:p>
        </w:tc>
        <w:tc>
          <w:tcPr>
            <w:tcW w:w="851" w:type="dxa"/>
            <w:noWrap w:val="0"/>
            <w:vAlign w:val="center"/>
          </w:tcPr>
          <w:p w14:paraId="1D31C6F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27</w:t>
            </w:r>
          </w:p>
        </w:tc>
        <w:tc>
          <w:tcPr>
            <w:tcW w:w="4394" w:type="dxa"/>
            <w:noWrap w:val="0"/>
            <w:vAlign w:val="center"/>
          </w:tcPr>
          <w:p w14:paraId="0EF3AF5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施工承包商安全管理人员不服从总包安全管理人员实施的正常管理</w:t>
            </w:r>
          </w:p>
        </w:tc>
        <w:tc>
          <w:tcPr>
            <w:tcW w:w="1593" w:type="dxa"/>
            <w:noWrap w:val="0"/>
            <w:vAlign w:val="center"/>
          </w:tcPr>
          <w:p w14:paraId="3D5FDC1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500-2000元/次</w:t>
            </w:r>
          </w:p>
        </w:tc>
        <w:tc>
          <w:tcPr>
            <w:tcW w:w="1660" w:type="dxa"/>
            <w:noWrap w:val="0"/>
            <w:vAlign w:val="center"/>
          </w:tcPr>
          <w:p w14:paraId="2FE5129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73F2A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0B95777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28</w:t>
            </w:r>
          </w:p>
        </w:tc>
        <w:tc>
          <w:tcPr>
            <w:tcW w:w="851" w:type="dxa"/>
            <w:noWrap w:val="0"/>
            <w:vAlign w:val="center"/>
          </w:tcPr>
          <w:p w14:paraId="707E056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28</w:t>
            </w:r>
          </w:p>
        </w:tc>
        <w:tc>
          <w:tcPr>
            <w:tcW w:w="4394" w:type="dxa"/>
            <w:noWrap w:val="0"/>
            <w:vAlign w:val="center"/>
          </w:tcPr>
          <w:p w14:paraId="203BE58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施工承包商更换安全管理人员未经总包书面认可</w:t>
            </w:r>
          </w:p>
        </w:tc>
        <w:tc>
          <w:tcPr>
            <w:tcW w:w="1593" w:type="dxa"/>
            <w:noWrap w:val="0"/>
            <w:vAlign w:val="center"/>
          </w:tcPr>
          <w:p w14:paraId="61414A5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500元/天</w:t>
            </w:r>
          </w:p>
        </w:tc>
        <w:tc>
          <w:tcPr>
            <w:tcW w:w="1660" w:type="dxa"/>
            <w:noWrap w:val="0"/>
            <w:vAlign w:val="center"/>
          </w:tcPr>
          <w:p w14:paraId="4404E37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74E34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817" w:type="dxa"/>
            <w:noWrap w:val="0"/>
            <w:vAlign w:val="center"/>
          </w:tcPr>
          <w:p w14:paraId="1B06704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29</w:t>
            </w:r>
          </w:p>
        </w:tc>
        <w:tc>
          <w:tcPr>
            <w:tcW w:w="851" w:type="dxa"/>
            <w:noWrap w:val="0"/>
            <w:vAlign w:val="center"/>
          </w:tcPr>
          <w:p w14:paraId="3BC3D38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29</w:t>
            </w:r>
          </w:p>
        </w:tc>
        <w:tc>
          <w:tcPr>
            <w:tcW w:w="4394" w:type="dxa"/>
            <w:noWrap w:val="0"/>
            <w:vAlign w:val="center"/>
          </w:tcPr>
          <w:p w14:paraId="7BF3965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对总包提出整改要求施工承包商整改不到位</w:t>
            </w:r>
          </w:p>
        </w:tc>
        <w:tc>
          <w:tcPr>
            <w:tcW w:w="1593" w:type="dxa"/>
            <w:noWrap w:val="0"/>
            <w:vAlign w:val="center"/>
          </w:tcPr>
          <w:p w14:paraId="0B4C397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500-1000元/次</w:t>
            </w:r>
          </w:p>
        </w:tc>
        <w:tc>
          <w:tcPr>
            <w:tcW w:w="1660" w:type="dxa"/>
            <w:noWrap w:val="0"/>
            <w:vAlign w:val="center"/>
          </w:tcPr>
          <w:p w14:paraId="2E520FD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0E814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56F4999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30</w:t>
            </w:r>
          </w:p>
        </w:tc>
        <w:tc>
          <w:tcPr>
            <w:tcW w:w="851" w:type="dxa"/>
            <w:noWrap w:val="0"/>
            <w:vAlign w:val="center"/>
          </w:tcPr>
          <w:p w14:paraId="594ED52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30</w:t>
            </w:r>
          </w:p>
        </w:tc>
        <w:tc>
          <w:tcPr>
            <w:tcW w:w="4394" w:type="dxa"/>
            <w:noWrap w:val="0"/>
            <w:vAlign w:val="center"/>
          </w:tcPr>
          <w:p w14:paraId="2EE14AA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对总包提出整改要求施工承包商无理由拒绝整改</w:t>
            </w:r>
          </w:p>
        </w:tc>
        <w:tc>
          <w:tcPr>
            <w:tcW w:w="1593" w:type="dxa"/>
            <w:noWrap w:val="0"/>
            <w:vAlign w:val="center"/>
          </w:tcPr>
          <w:p w14:paraId="03C4AAF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500-2000元/次</w:t>
            </w:r>
          </w:p>
        </w:tc>
        <w:tc>
          <w:tcPr>
            <w:tcW w:w="1660" w:type="dxa"/>
            <w:noWrap w:val="0"/>
            <w:vAlign w:val="center"/>
          </w:tcPr>
          <w:p w14:paraId="4FD0BF2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3E856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00B788C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31</w:t>
            </w:r>
          </w:p>
        </w:tc>
        <w:tc>
          <w:tcPr>
            <w:tcW w:w="851" w:type="dxa"/>
            <w:noWrap w:val="0"/>
            <w:vAlign w:val="center"/>
          </w:tcPr>
          <w:p w14:paraId="5537031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31</w:t>
            </w:r>
          </w:p>
        </w:tc>
        <w:tc>
          <w:tcPr>
            <w:tcW w:w="4394" w:type="dxa"/>
            <w:noWrap w:val="0"/>
            <w:vAlign w:val="center"/>
          </w:tcPr>
          <w:p w14:paraId="1E69B4D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未按总包要求开展相关安全管理活动并及时反馈安全活动信息</w:t>
            </w:r>
          </w:p>
        </w:tc>
        <w:tc>
          <w:tcPr>
            <w:tcW w:w="1593" w:type="dxa"/>
            <w:noWrap w:val="0"/>
            <w:vAlign w:val="center"/>
          </w:tcPr>
          <w:p w14:paraId="16E7EDB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w:t>
            </w:r>
          </w:p>
        </w:tc>
        <w:tc>
          <w:tcPr>
            <w:tcW w:w="1660" w:type="dxa"/>
            <w:noWrap w:val="0"/>
            <w:vAlign w:val="center"/>
          </w:tcPr>
          <w:p w14:paraId="114486B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4AB57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817" w:type="dxa"/>
            <w:noWrap w:val="0"/>
            <w:vAlign w:val="center"/>
          </w:tcPr>
          <w:p w14:paraId="66C60A1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32</w:t>
            </w:r>
          </w:p>
        </w:tc>
        <w:tc>
          <w:tcPr>
            <w:tcW w:w="851" w:type="dxa"/>
            <w:noWrap w:val="0"/>
            <w:vAlign w:val="center"/>
          </w:tcPr>
          <w:p w14:paraId="0F36B80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32</w:t>
            </w:r>
          </w:p>
        </w:tc>
        <w:tc>
          <w:tcPr>
            <w:tcW w:w="4394" w:type="dxa"/>
            <w:noWrap w:val="0"/>
            <w:vAlign w:val="center"/>
          </w:tcPr>
          <w:p w14:paraId="10A5741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安排的值班人员没到现场巡视检查或值班期间未履行值班职责造成现场安全状况较差</w:t>
            </w:r>
          </w:p>
        </w:tc>
        <w:tc>
          <w:tcPr>
            <w:tcW w:w="1593" w:type="dxa"/>
            <w:noWrap w:val="0"/>
            <w:vAlign w:val="center"/>
          </w:tcPr>
          <w:p w14:paraId="5B0CBA0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200-500元/次</w:t>
            </w:r>
          </w:p>
        </w:tc>
        <w:tc>
          <w:tcPr>
            <w:tcW w:w="1660" w:type="dxa"/>
            <w:noWrap w:val="0"/>
            <w:vAlign w:val="center"/>
          </w:tcPr>
          <w:p w14:paraId="2D82B3C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03379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817" w:type="dxa"/>
            <w:noWrap w:val="0"/>
            <w:vAlign w:val="center"/>
          </w:tcPr>
          <w:p w14:paraId="0DE7D6C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33</w:t>
            </w:r>
          </w:p>
        </w:tc>
        <w:tc>
          <w:tcPr>
            <w:tcW w:w="851" w:type="dxa"/>
            <w:noWrap w:val="0"/>
            <w:vAlign w:val="center"/>
          </w:tcPr>
          <w:p w14:paraId="50E2235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33</w:t>
            </w:r>
          </w:p>
        </w:tc>
        <w:tc>
          <w:tcPr>
            <w:tcW w:w="4394" w:type="dxa"/>
            <w:noWrap w:val="0"/>
            <w:vAlign w:val="center"/>
          </w:tcPr>
          <w:p w14:paraId="4DA7CB2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各类安全检查及安全专题会议要求实施内容，没在规定时间内完成、整改不到位或没有落实实施</w:t>
            </w:r>
          </w:p>
        </w:tc>
        <w:tc>
          <w:tcPr>
            <w:tcW w:w="1593" w:type="dxa"/>
            <w:noWrap w:val="0"/>
            <w:vAlign w:val="center"/>
          </w:tcPr>
          <w:p w14:paraId="45DBA44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200-500元/次</w:t>
            </w:r>
          </w:p>
        </w:tc>
        <w:tc>
          <w:tcPr>
            <w:tcW w:w="1660" w:type="dxa"/>
            <w:noWrap w:val="0"/>
            <w:vAlign w:val="center"/>
          </w:tcPr>
          <w:p w14:paraId="5E8EC7D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3260D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35C7024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34</w:t>
            </w:r>
          </w:p>
        </w:tc>
        <w:tc>
          <w:tcPr>
            <w:tcW w:w="851" w:type="dxa"/>
            <w:noWrap w:val="0"/>
            <w:vAlign w:val="center"/>
          </w:tcPr>
          <w:p w14:paraId="34B6AB7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34</w:t>
            </w:r>
          </w:p>
        </w:tc>
        <w:tc>
          <w:tcPr>
            <w:tcW w:w="4394" w:type="dxa"/>
            <w:noWrap w:val="0"/>
            <w:vAlign w:val="center"/>
          </w:tcPr>
          <w:p w14:paraId="4248AD5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每日未能按时上报安全日志、安全周报、安全月报</w:t>
            </w:r>
          </w:p>
        </w:tc>
        <w:tc>
          <w:tcPr>
            <w:tcW w:w="1593" w:type="dxa"/>
            <w:noWrap w:val="0"/>
            <w:vAlign w:val="center"/>
          </w:tcPr>
          <w:p w14:paraId="50340C8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100元/次</w:t>
            </w:r>
          </w:p>
        </w:tc>
        <w:tc>
          <w:tcPr>
            <w:tcW w:w="1660" w:type="dxa"/>
            <w:noWrap w:val="0"/>
            <w:vAlign w:val="center"/>
          </w:tcPr>
          <w:p w14:paraId="3FD08FB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49C21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4F1EEDA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35</w:t>
            </w:r>
          </w:p>
        </w:tc>
        <w:tc>
          <w:tcPr>
            <w:tcW w:w="851" w:type="dxa"/>
            <w:noWrap w:val="0"/>
            <w:vAlign w:val="center"/>
          </w:tcPr>
          <w:p w14:paraId="711396B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35</w:t>
            </w:r>
          </w:p>
        </w:tc>
        <w:tc>
          <w:tcPr>
            <w:tcW w:w="4394" w:type="dxa"/>
            <w:noWrap w:val="0"/>
            <w:vAlign w:val="center"/>
          </w:tcPr>
          <w:p w14:paraId="126A230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防灾中未能按照要求进行预防工作，并未积极配合</w:t>
            </w:r>
          </w:p>
        </w:tc>
        <w:tc>
          <w:tcPr>
            <w:tcW w:w="1593" w:type="dxa"/>
            <w:noWrap w:val="0"/>
            <w:vAlign w:val="center"/>
          </w:tcPr>
          <w:p w14:paraId="0F7F796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500-1000元/次</w:t>
            </w:r>
          </w:p>
        </w:tc>
        <w:tc>
          <w:tcPr>
            <w:tcW w:w="1660" w:type="dxa"/>
            <w:noWrap w:val="0"/>
            <w:vAlign w:val="center"/>
          </w:tcPr>
          <w:p w14:paraId="396C1EE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视情节严重程度</w:t>
            </w:r>
          </w:p>
        </w:tc>
      </w:tr>
      <w:tr w14:paraId="273E3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817" w:type="dxa"/>
            <w:noWrap w:val="0"/>
            <w:vAlign w:val="center"/>
          </w:tcPr>
          <w:p w14:paraId="7C37E0E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36</w:t>
            </w:r>
          </w:p>
        </w:tc>
        <w:tc>
          <w:tcPr>
            <w:tcW w:w="851" w:type="dxa"/>
            <w:noWrap w:val="0"/>
            <w:vAlign w:val="center"/>
          </w:tcPr>
          <w:p w14:paraId="3E5412C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36</w:t>
            </w:r>
          </w:p>
        </w:tc>
        <w:tc>
          <w:tcPr>
            <w:tcW w:w="4394" w:type="dxa"/>
            <w:noWrap w:val="0"/>
            <w:vAlign w:val="center"/>
          </w:tcPr>
          <w:p w14:paraId="3C7A2CE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因施工不慎或违章作业引发火灾</w:t>
            </w:r>
          </w:p>
        </w:tc>
        <w:tc>
          <w:tcPr>
            <w:tcW w:w="1593" w:type="dxa"/>
            <w:noWrap w:val="0"/>
            <w:vAlign w:val="center"/>
          </w:tcPr>
          <w:p w14:paraId="689715C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50000元/次·处</w:t>
            </w:r>
          </w:p>
        </w:tc>
        <w:tc>
          <w:tcPr>
            <w:tcW w:w="1660" w:type="dxa"/>
            <w:noWrap w:val="0"/>
            <w:vAlign w:val="center"/>
          </w:tcPr>
          <w:p w14:paraId="30B62DA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造成事故者依法</w:t>
            </w:r>
          </w:p>
          <w:p w14:paraId="342086B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追究法律责任</w:t>
            </w:r>
          </w:p>
        </w:tc>
      </w:tr>
      <w:tr w14:paraId="083A5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62A119C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37</w:t>
            </w:r>
          </w:p>
        </w:tc>
        <w:tc>
          <w:tcPr>
            <w:tcW w:w="851" w:type="dxa"/>
            <w:noWrap w:val="0"/>
            <w:vAlign w:val="center"/>
          </w:tcPr>
          <w:p w14:paraId="78AF8C0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37</w:t>
            </w:r>
          </w:p>
        </w:tc>
        <w:tc>
          <w:tcPr>
            <w:tcW w:w="4394" w:type="dxa"/>
            <w:noWrap w:val="0"/>
            <w:vAlign w:val="center"/>
          </w:tcPr>
          <w:p w14:paraId="25A5EB2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发生其它违反国家安全生产法律、法规及相关安全规程规定的</w:t>
            </w:r>
          </w:p>
        </w:tc>
        <w:tc>
          <w:tcPr>
            <w:tcW w:w="1593" w:type="dxa"/>
            <w:noWrap w:val="0"/>
            <w:vAlign w:val="center"/>
          </w:tcPr>
          <w:p w14:paraId="38AF897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w:t>
            </w:r>
          </w:p>
        </w:tc>
        <w:tc>
          <w:tcPr>
            <w:tcW w:w="1660" w:type="dxa"/>
            <w:noWrap w:val="0"/>
            <w:vAlign w:val="center"/>
          </w:tcPr>
          <w:p w14:paraId="78D4B0A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04A3B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315" w:type="dxa"/>
            <w:gridSpan w:val="5"/>
            <w:noWrap w:val="0"/>
            <w:vAlign w:val="center"/>
          </w:tcPr>
          <w:p w14:paraId="4071D3A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二、安全文明施工</w:t>
            </w:r>
          </w:p>
        </w:tc>
      </w:tr>
      <w:tr w14:paraId="53772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25DA1C9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38</w:t>
            </w:r>
          </w:p>
        </w:tc>
        <w:tc>
          <w:tcPr>
            <w:tcW w:w="851" w:type="dxa"/>
            <w:noWrap w:val="0"/>
            <w:vAlign w:val="center"/>
          </w:tcPr>
          <w:p w14:paraId="1E59D8B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w:t>
            </w:r>
          </w:p>
        </w:tc>
        <w:tc>
          <w:tcPr>
            <w:tcW w:w="4394" w:type="dxa"/>
            <w:noWrap w:val="0"/>
            <w:vAlign w:val="center"/>
          </w:tcPr>
          <w:p w14:paraId="6E52E13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施工单位未按要求实施现场标准化管理</w:t>
            </w:r>
          </w:p>
        </w:tc>
        <w:tc>
          <w:tcPr>
            <w:tcW w:w="1593" w:type="dxa"/>
            <w:noWrap w:val="0"/>
            <w:vAlign w:val="center"/>
          </w:tcPr>
          <w:p w14:paraId="68B945E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1000元/次</w:t>
            </w:r>
          </w:p>
        </w:tc>
        <w:tc>
          <w:tcPr>
            <w:tcW w:w="1660" w:type="dxa"/>
            <w:noWrap w:val="0"/>
            <w:vAlign w:val="center"/>
          </w:tcPr>
          <w:p w14:paraId="7DC864D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08CB6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817" w:type="dxa"/>
            <w:noWrap w:val="0"/>
            <w:vAlign w:val="center"/>
          </w:tcPr>
          <w:p w14:paraId="33C7A7E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39</w:t>
            </w:r>
          </w:p>
        </w:tc>
        <w:tc>
          <w:tcPr>
            <w:tcW w:w="851" w:type="dxa"/>
            <w:noWrap w:val="0"/>
            <w:vAlign w:val="center"/>
          </w:tcPr>
          <w:p w14:paraId="7526B13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w:t>
            </w:r>
          </w:p>
        </w:tc>
        <w:tc>
          <w:tcPr>
            <w:tcW w:w="4394" w:type="dxa"/>
            <w:noWrap w:val="0"/>
            <w:vAlign w:val="center"/>
          </w:tcPr>
          <w:p w14:paraId="4F09984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未按规定设置安全文明施工图牌、安全警示标志、安全提醒标志、交通安全标志，或设置不齐全、不规范，或出现破损后未及时恢复</w:t>
            </w:r>
          </w:p>
        </w:tc>
        <w:tc>
          <w:tcPr>
            <w:tcW w:w="1593" w:type="dxa"/>
            <w:noWrap w:val="0"/>
            <w:vAlign w:val="center"/>
          </w:tcPr>
          <w:p w14:paraId="30F453E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500元/处</w:t>
            </w:r>
          </w:p>
        </w:tc>
        <w:tc>
          <w:tcPr>
            <w:tcW w:w="1660" w:type="dxa"/>
            <w:noWrap w:val="0"/>
            <w:vAlign w:val="center"/>
          </w:tcPr>
          <w:p w14:paraId="2DE00BA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50455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145BE5F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40</w:t>
            </w:r>
          </w:p>
        </w:tc>
        <w:tc>
          <w:tcPr>
            <w:tcW w:w="851" w:type="dxa"/>
            <w:noWrap w:val="0"/>
            <w:vAlign w:val="center"/>
          </w:tcPr>
          <w:p w14:paraId="4F567E3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w:t>
            </w:r>
          </w:p>
        </w:tc>
        <w:tc>
          <w:tcPr>
            <w:tcW w:w="4394" w:type="dxa"/>
            <w:noWrap w:val="0"/>
            <w:vAlign w:val="center"/>
          </w:tcPr>
          <w:p w14:paraId="0ED5B53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施工承包商私自破坏硬化的施工道路或经批准但作业结束后未及时恢复</w:t>
            </w:r>
          </w:p>
        </w:tc>
        <w:tc>
          <w:tcPr>
            <w:tcW w:w="1593" w:type="dxa"/>
            <w:noWrap w:val="0"/>
            <w:vAlign w:val="center"/>
          </w:tcPr>
          <w:p w14:paraId="6BEC24C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500-1000元/次</w:t>
            </w:r>
          </w:p>
        </w:tc>
        <w:tc>
          <w:tcPr>
            <w:tcW w:w="1660" w:type="dxa"/>
            <w:noWrap w:val="0"/>
            <w:vAlign w:val="center"/>
          </w:tcPr>
          <w:p w14:paraId="1C497D5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63CBB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6B3DEE4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41</w:t>
            </w:r>
          </w:p>
        </w:tc>
        <w:tc>
          <w:tcPr>
            <w:tcW w:w="851" w:type="dxa"/>
            <w:noWrap w:val="0"/>
            <w:vAlign w:val="center"/>
          </w:tcPr>
          <w:p w14:paraId="62DE49B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4</w:t>
            </w:r>
          </w:p>
        </w:tc>
        <w:tc>
          <w:tcPr>
            <w:tcW w:w="4394" w:type="dxa"/>
            <w:noWrap w:val="0"/>
            <w:vAlign w:val="center"/>
          </w:tcPr>
          <w:p w14:paraId="7EC87C3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施工现场在吸烟区以外的场所吸烟</w:t>
            </w:r>
          </w:p>
        </w:tc>
        <w:tc>
          <w:tcPr>
            <w:tcW w:w="1593" w:type="dxa"/>
            <w:noWrap w:val="0"/>
            <w:vAlign w:val="center"/>
          </w:tcPr>
          <w:p w14:paraId="59F461D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1000元/次</w:t>
            </w:r>
          </w:p>
        </w:tc>
        <w:tc>
          <w:tcPr>
            <w:tcW w:w="1660" w:type="dxa"/>
            <w:noWrap w:val="0"/>
            <w:vAlign w:val="center"/>
          </w:tcPr>
          <w:p w14:paraId="217EE93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6C801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5D3622E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42</w:t>
            </w:r>
          </w:p>
        </w:tc>
        <w:tc>
          <w:tcPr>
            <w:tcW w:w="851" w:type="dxa"/>
            <w:noWrap w:val="0"/>
            <w:vAlign w:val="center"/>
          </w:tcPr>
          <w:p w14:paraId="7965B90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w:t>
            </w:r>
          </w:p>
        </w:tc>
        <w:tc>
          <w:tcPr>
            <w:tcW w:w="4394" w:type="dxa"/>
            <w:noWrap w:val="0"/>
            <w:vAlign w:val="center"/>
          </w:tcPr>
          <w:p w14:paraId="7088CE8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施工现场施工作业场所发现烟蒂</w:t>
            </w:r>
          </w:p>
        </w:tc>
        <w:tc>
          <w:tcPr>
            <w:tcW w:w="1593" w:type="dxa"/>
            <w:noWrap w:val="0"/>
            <w:vAlign w:val="center"/>
          </w:tcPr>
          <w:p w14:paraId="0FE8F3D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300元/个</w:t>
            </w:r>
          </w:p>
        </w:tc>
        <w:tc>
          <w:tcPr>
            <w:tcW w:w="1660" w:type="dxa"/>
            <w:noWrap w:val="0"/>
            <w:vAlign w:val="center"/>
          </w:tcPr>
          <w:p w14:paraId="2FFE099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008B8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262497C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43</w:t>
            </w:r>
          </w:p>
        </w:tc>
        <w:tc>
          <w:tcPr>
            <w:tcW w:w="851" w:type="dxa"/>
            <w:noWrap w:val="0"/>
            <w:vAlign w:val="center"/>
          </w:tcPr>
          <w:p w14:paraId="0D6D766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6</w:t>
            </w:r>
          </w:p>
        </w:tc>
        <w:tc>
          <w:tcPr>
            <w:tcW w:w="4394" w:type="dxa"/>
            <w:noWrap w:val="0"/>
            <w:vAlign w:val="center"/>
          </w:tcPr>
          <w:p w14:paraId="174FCDB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酒后进入施工现场</w:t>
            </w:r>
          </w:p>
        </w:tc>
        <w:tc>
          <w:tcPr>
            <w:tcW w:w="1593" w:type="dxa"/>
            <w:noWrap w:val="0"/>
            <w:vAlign w:val="center"/>
          </w:tcPr>
          <w:p w14:paraId="29E90D8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500元/人·次</w:t>
            </w:r>
          </w:p>
        </w:tc>
        <w:tc>
          <w:tcPr>
            <w:tcW w:w="1660" w:type="dxa"/>
            <w:noWrap w:val="0"/>
            <w:vAlign w:val="center"/>
          </w:tcPr>
          <w:p w14:paraId="06F6EE0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71AF1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421AB32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44</w:t>
            </w:r>
          </w:p>
        </w:tc>
        <w:tc>
          <w:tcPr>
            <w:tcW w:w="851" w:type="dxa"/>
            <w:noWrap w:val="0"/>
            <w:vAlign w:val="center"/>
          </w:tcPr>
          <w:p w14:paraId="652CAE5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7</w:t>
            </w:r>
          </w:p>
        </w:tc>
        <w:tc>
          <w:tcPr>
            <w:tcW w:w="4394" w:type="dxa"/>
            <w:noWrap w:val="0"/>
            <w:vAlign w:val="center"/>
          </w:tcPr>
          <w:p w14:paraId="73F8DDF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进场车辆盛装散落物散落在道路上没按要求及时清理</w:t>
            </w:r>
          </w:p>
        </w:tc>
        <w:tc>
          <w:tcPr>
            <w:tcW w:w="1593" w:type="dxa"/>
            <w:noWrap w:val="0"/>
            <w:vAlign w:val="center"/>
          </w:tcPr>
          <w:p w14:paraId="628540C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w:t>
            </w:r>
          </w:p>
        </w:tc>
        <w:tc>
          <w:tcPr>
            <w:tcW w:w="1660" w:type="dxa"/>
            <w:noWrap w:val="0"/>
            <w:vAlign w:val="center"/>
          </w:tcPr>
          <w:p w14:paraId="0AF3F4F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5E4C1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265B87C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45</w:t>
            </w:r>
          </w:p>
        </w:tc>
        <w:tc>
          <w:tcPr>
            <w:tcW w:w="851" w:type="dxa"/>
            <w:noWrap w:val="0"/>
            <w:vAlign w:val="center"/>
          </w:tcPr>
          <w:p w14:paraId="2906C82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8</w:t>
            </w:r>
          </w:p>
        </w:tc>
        <w:tc>
          <w:tcPr>
            <w:tcW w:w="4394" w:type="dxa"/>
            <w:noWrap w:val="0"/>
            <w:vAlign w:val="center"/>
          </w:tcPr>
          <w:p w14:paraId="0A4D04F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进场车辆未按标示路线行走或未在指定区域停放</w:t>
            </w:r>
          </w:p>
        </w:tc>
        <w:tc>
          <w:tcPr>
            <w:tcW w:w="1593" w:type="dxa"/>
            <w:noWrap w:val="0"/>
            <w:vAlign w:val="center"/>
          </w:tcPr>
          <w:p w14:paraId="1D2F03D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200元/车·次</w:t>
            </w:r>
          </w:p>
        </w:tc>
        <w:tc>
          <w:tcPr>
            <w:tcW w:w="1660" w:type="dxa"/>
            <w:noWrap w:val="0"/>
            <w:vAlign w:val="center"/>
          </w:tcPr>
          <w:p w14:paraId="2E4ACA7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40990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6570323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46</w:t>
            </w:r>
          </w:p>
        </w:tc>
        <w:tc>
          <w:tcPr>
            <w:tcW w:w="851" w:type="dxa"/>
            <w:noWrap w:val="0"/>
            <w:vAlign w:val="center"/>
          </w:tcPr>
          <w:p w14:paraId="0B9EC03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9</w:t>
            </w:r>
          </w:p>
        </w:tc>
        <w:tc>
          <w:tcPr>
            <w:tcW w:w="4394" w:type="dxa"/>
            <w:noWrap w:val="0"/>
            <w:vAlign w:val="center"/>
          </w:tcPr>
          <w:p w14:paraId="702DCA7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施工现场打架斗殴、寻滋闹事或酒后上岗作业</w:t>
            </w:r>
          </w:p>
        </w:tc>
        <w:tc>
          <w:tcPr>
            <w:tcW w:w="1593" w:type="dxa"/>
            <w:noWrap w:val="0"/>
            <w:vAlign w:val="center"/>
          </w:tcPr>
          <w:p w14:paraId="3CE240B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500-2000元/人·次</w:t>
            </w:r>
          </w:p>
        </w:tc>
        <w:tc>
          <w:tcPr>
            <w:tcW w:w="1660" w:type="dxa"/>
            <w:noWrap w:val="0"/>
            <w:vAlign w:val="center"/>
          </w:tcPr>
          <w:p w14:paraId="7B82275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6640B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7ECEB13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47</w:t>
            </w:r>
          </w:p>
        </w:tc>
        <w:tc>
          <w:tcPr>
            <w:tcW w:w="851" w:type="dxa"/>
            <w:noWrap w:val="0"/>
            <w:vAlign w:val="center"/>
          </w:tcPr>
          <w:p w14:paraId="188EA82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w:t>
            </w:r>
          </w:p>
        </w:tc>
        <w:tc>
          <w:tcPr>
            <w:tcW w:w="4394" w:type="dxa"/>
            <w:noWrap w:val="0"/>
            <w:vAlign w:val="center"/>
          </w:tcPr>
          <w:p w14:paraId="7C0EC68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施工现场有随地大小便的痕迹</w:t>
            </w:r>
          </w:p>
        </w:tc>
        <w:tc>
          <w:tcPr>
            <w:tcW w:w="1593" w:type="dxa"/>
            <w:noWrap w:val="0"/>
            <w:vAlign w:val="center"/>
          </w:tcPr>
          <w:p w14:paraId="1E13FE9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100元/处·次</w:t>
            </w:r>
          </w:p>
        </w:tc>
        <w:tc>
          <w:tcPr>
            <w:tcW w:w="1660" w:type="dxa"/>
            <w:noWrap w:val="0"/>
            <w:vAlign w:val="center"/>
          </w:tcPr>
          <w:p w14:paraId="29D0C42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7127A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731D3AE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48</w:t>
            </w:r>
          </w:p>
        </w:tc>
        <w:tc>
          <w:tcPr>
            <w:tcW w:w="851" w:type="dxa"/>
            <w:noWrap w:val="0"/>
            <w:vAlign w:val="center"/>
          </w:tcPr>
          <w:p w14:paraId="092EF61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11</w:t>
            </w:r>
          </w:p>
        </w:tc>
        <w:tc>
          <w:tcPr>
            <w:tcW w:w="4394" w:type="dxa"/>
            <w:noWrap w:val="0"/>
            <w:vAlign w:val="center"/>
          </w:tcPr>
          <w:p w14:paraId="24C0770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擅自穿越安全警戒区域、跨越安全围栏</w:t>
            </w:r>
          </w:p>
        </w:tc>
        <w:tc>
          <w:tcPr>
            <w:tcW w:w="1593" w:type="dxa"/>
            <w:noWrap w:val="0"/>
            <w:vAlign w:val="center"/>
          </w:tcPr>
          <w:p w14:paraId="091EFA1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300元/人·次</w:t>
            </w:r>
          </w:p>
        </w:tc>
        <w:tc>
          <w:tcPr>
            <w:tcW w:w="1660" w:type="dxa"/>
            <w:noWrap w:val="0"/>
            <w:vAlign w:val="center"/>
          </w:tcPr>
          <w:p w14:paraId="3EC46F6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400F4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trPr>
        <w:tc>
          <w:tcPr>
            <w:tcW w:w="817" w:type="dxa"/>
            <w:noWrap w:val="0"/>
            <w:vAlign w:val="center"/>
          </w:tcPr>
          <w:p w14:paraId="304A029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49</w:t>
            </w:r>
          </w:p>
        </w:tc>
        <w:tc>
          <w:tcPr>
            <w:tcW w:w="851" w:type="dxa"/>
            <w:noWrap w:val="0"/>
            <w:vAlign w:val="center"/>
          </w:tcPr>
          <w:p w14:paraId="60BBBE5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12</w:t>
            </w:r>
          </w:p>
        </w:tc>
        <w:tc>
          <w:tcPr>
            <w:tcW w:w="4394" w:type="dxa"/>
            <w:noWrap w:val="0"/>
            <w:vAlign w:val="center"/>
          </w:tcPr>
          <w:p w14:paraId="5D5EA34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高处作业时，施工材料、工器具等放在临边或孔洞附近，未使用物料收集箱或未采取防坠落措施，且经指出未立即整改或同一作业场所重复发生</w:t>
            </w:r>
          </w:p>
        </w:tc>
        <w:tc>
          <w:tcPr>
            <w:tcW w:w="1593" w:type="dxa"/>
            <w:noWrap w:val="0"/>
            <w:vAlign w:val="center"/>
          </w:tcPr>
          <w:p w14:paraId="0BCD16F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1000元/次</w:t>
            </w:r>
          </w:p>
        </w:tc>
        <w:tc>
          <w:tcPr>
            <w:tcW w:w="1660" w:type="dxa"/>
            <w:noWrap w:val="0"/>
            <w:vAlign w:val="center"/>
          </w:tcPr>
          <w:p w14:paraId="33AD54F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34E3E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817" w:type="dxa"/>
            <w:noWrap w:val="0"/>
            <w:vAlign w:val="center"/>
          </w:tcPr>
          <w:p w14:paraId="32B7706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w:t>
            </w:r>
          </w:p>
        </w:tc>
        <w:tc>
          <w:tcPr>
            <w:tcW w:w="851" w:type="dxa"/>
            <w:noWrap w:val="0"/>
            <w:vAlign w:val="center"/>
          </w:tcPr>
          <w:p w14:paraId="2B99101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13</w:t>
            </w:r>
          </w:p>
        </w:tc>
        <w:tc>
          <w:tcPr>
            <w:tcW w:w="4394" w:type="dxa"/>
            <w:noWrap w:val="0"/>
            <w:vAlign w:val="center"/>
          </w:tcPr>
          <w:p w14:paraId="01B4ADD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施工作业面（临时存放区）存放的施工材料不规范、不整齐、堵塞作业通道或材料存放超过2天用量造成作业面拥挤</w:t>
            </w:r>
          </w:p>
        </w:tc>
        <w:tc>
          <w:tcPr>
            <w:tcW w:w="1593" w:type="dxa"/>
            <w:noWrap w:val="0"/>
            <w:vAlign w:val="center"/>
          </w:tcPr>
          <w:p w14:paraId="3E55E28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500元/处</w:t>
            </w:r>
          </w:p>
        </w:tc>
        <w:tc>
          <w:tcPr>
            <w:tcW w:w="1660" w:type="dxa"/>
            <w:noWrap w:val="0"/>
            <w:vAlign w:val="center"/>
          </w:tcPr>
          <w:p w14:paraId="5B12A08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18C25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76D4DC4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51</w:t>
            </w:r>
          </w:p>
        </w:tc>
        <w:tc>
          <w:tcPr>
            <w:tcW w:w="851" w:type="dxa"/>
            <w:noWrap w:val="0"/>
            <w:vAlign w:val="center"/>
          </w:tcPr>
          <w:p w14:paraId="3AFE025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14</w:t>
            </w:r>
          </w:p>
        </w:tc>
        <w:tc>
          <w:tcPr>
            <w:tcW w:w="4394" w:type="dxa"/>
            <w:noWrap w:val="0"/>
            <w:vAlign w:val="center"/>
          </w:tcPr>
          <w:p w14:paraId="6340406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材料堆场内，施工材料堆放不规范、不整齐</w:t>
            </w:r>
          </w:p>
        </w:tc>
        <w:tc>
          <w:tcPr>
            <w:tcW w:w="1593" w:type="dxa"/>
            <w:noWrap w:val="0"/>
            <w:vAlign w:val="center"/>
          </w:tcPr>
          <w:p w14:paraId="732CAB0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500元/处</w:t>
            </w:r>
          </w:p>
        </w:tc>
        <w:tc>
          <w:tcPr>
            <w:tcW w:w="1660" w:type="dxa"/>
            <w:noWrap w:val="0"/>
            <w:vAlign w:val="center"/>
          </w:tcPr>
          <w:p w14:paraId="78EF51B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4C37F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1130213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52</w:t>
            </w:r>
          </w:p>
        </w:tc>
        <w:tc>
          <w:tcPr>
            <w:tcW w:w="851" w:type="dxa"/>
            <w:noWrap w:val="0"/>
            <w:vAlign w:val="center"/>
          </w:tcPr>
          <w:p w14:paraId="4667289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15</w:t>
            </w:r>
          </w:p>
        </w:tc>
        <w:tc>
          <w:tcPr>
            <w:tcW w:w="4394" w:type="dxa"/>
            <w:noWrap w:val="0"/>
            <w:vAlign w:val="center"/>
          </w:tcPr>
          <w:p w14:paraId="2246CF8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在规划的材料堆场及施工作业面（作业场所）以外的场所存放施工材料</w:t>
            </w:r>
          </w:p>
        </w:tc>
        <w:tc>
          <w:tcPr>
            <w:tcW w:w="1593" w:type="dxa"/>
            <w:noWrap w:val="0"/>
            <w:vAlign w:val="center"/>
          </w:tcPr>
          <w:p w14:paraId="4BF2DC0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500元/处</w:t>
            </w:r>
          </w:p>
        </w:tc>
        <w:tc>
          <w:tcPr>
            <w:tcW w:w="1660" w:type="dxa"/>
            <w:noWrap w:val="0"/>
            <w:vAlign w:val="center"/>
          </w:tcPr>
          <w:p w14:paraId="666B39F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4C276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trPr>
        <w:tc>
          <w:tcPr>
            <w:tcW w:w="817" w:type="dxa"/>
            <w:noWrap w:val="0"/>
            <w:vAlign w:val="center"/>
          </w:tcPr>
          <w:p w14:paraId="663D8EC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53</w:t>
            </w:r>
          </w:p>
        </w:tc>
        <w:tc>
          <w:tcPr>
            <w:tcW w:w="851" w:type="dxa"/>
            <w:noWrap w:val="0"/>
            <w:vAlign w:val="center"/>
          </w:tcPr>
          <w:p w14:paraId="4FFCF7E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16</w:t>
            </w:r>
          </w:p>
        </w:tc>
        <w:tc>
          <w:tcPr>
            <w:tcW w:w="4394" w:type="dxa"/>
            <w:noWrap w:val="0"/>
            <w:vAlign w:val="center"/>
          </w:tcPr>
          <w:p w14:paraId="040622A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在规划的材料堆场以外的场所，经业主及监理单位同意临时存放施工材料，但未采取临时围栏封闭，或材料存放不规范、不整齐，或超过2小时仍未转运</w:t>
            </w:r>
          </w:p>
        </w:tc>
        <w:tc>
          <w:tcPr>
            <w:tcW w:w="1593" w:type="dxa"/>
            <w:noWrap w:val="0"/>
            <w:vAlign w:val="center"/>
          </w:tcPr>
          <w:p w14:paraId="344914E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200-500元/处</w:t>
            </w:r>
          </w:p>
        </w:tc>
        <w:tc>
          <w:tcPr>
            <w:tcW w:w="1660" w:type="dxa"/>
            <w:noWrap w:val="0"/>
            <w:vAlign w:val="center"/>
          </w:tcPr>
          <w:p w14:paraId="5147344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41AA0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27C11FD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54</w:t>
            </w:r>
          </w:p>
        </w:tc>
        <w:tc>
          <w:tcPr>
            <w:tcW w:w="851" w:type="dxa"/>
            <w:noWrap w:val="0"/>
            <w:vAlign w:val="center"/>
          </w:tcPr>
          <w:p w14:paraId="2610057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17</w:t>
            </w:r>
          </w:p>
        </w:tc>
        <w:tc>
          <w:tcPr>
            <w:tcW w:w="4394" w:type="dxa"/>
            <w:noWrap w:val="0"/>
            <w:vAlign w:val="center"/>
          </w:tcPr>
          <w:p w14:paraId="53D08EC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施工车辆、机具在现场停放或存放时，影响道路及场地文明整洁形象</w:t>
            </w:r>
          </w:p>
        </w:tc>
        <w:tc>
          <w:tcPr>
            <w:tcW w:w="1593" w:type="dxa"/>
            <w:noWrap w:val="0"/>
            <w:vAlign w:val="center"/>
          </w:tcPr>
          <w:p w14:paraId="768E659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200-500元/辆</w:t>
            </w:r>
          </w:p>
        </w:tc>
        <w:tc>
          <w:tcPr>
            <w:tcW w:w="1660" w:type="dxa"/>
            <w:noWrap w:val="0"/>
            <w:vAlign w:val="center"/>
          </w:tcPr>
          <w:p w14:paraId="7C7C429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78329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17" w:type="dxa"/>
            <w:noWrap w:val="0"/>
            <w:vAlign w:val="center"/>
          </w:tcPr>
          <w:p w14:paraId="689E500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55</w:t>
            </w:r>
          </w:p>
        </w:tc>
        <w:tc>
          <w:tcPr>
            <w:tcW w:w="851" w:type="dxa"/>
            <w:noWrap w:val="0"/>
            <w:vAlign w:val="center"/>
          </w:tcPr>
          <w:p w14:paraId="0D6D65C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18</w:t>
            </w:r>
          </w:p>
        </w:tc>
        <w:tc>
          <w:tcPr>
            <w:tcW w:w="4394" w:type="dxa"/>
            <w:noWrap w:val="0"/>
            <w:vAlign w:val="center"/>
          </w:tcPr>
          <w:p w14:paraId="1ECB0F6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现场焚烧杂物建筑垃圾</w:t>
            </w:r>
          </w:p>
        </w:tc>
        <w:tc>
          <w:tcPr>
            <w:tcW w:w="1593" w:type="dxa"/>
            <w:noWrap w:val="0"/>
            <w:vAlign w:val="center"/>
          </w:tcPr>
          <w:p w14:paraId="089F5B7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w:t>
            </w:r>
          </w:p>
        </w:tc>
        <w:tc>
          <w:tcPr>
            <w:tcW w:w="1660" w:type="dxa"/>
            <w:noWrap w:val="0"/>
            <w:vAlign w:val="center"/>
          </w:tcPr>
          <w:p w14:paraId="6B507A9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79E15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817" w:type="dxa"/>
            <w:noWrap w:val="0"/>
            <w:vAlign w:val="center"/>
          </w:tcPr>
          <w:p w14:paraId="078B2F9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56</w:t>
            </w:r>
          </w:p>
        </w:tc>
        <w:tc>
          <w:tcPr>
            <w:tcW w:w="851" w:type="dxa"/>
            <w:noWrap w:val="0"/>
            <w:vAlign w:val="center"/>
          </w:tcPr>
          <w:p w14:paraId="17BAE27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19</w:t>
            </w:r>
          </w:p>
        </w:tc>
        <w:tc>
          <w:tcPr>
            <w:tcW w:w="4394" w:type="dxa"/>
            <w:noWrap w:val="0"/>
            <w:vAlign w:val="center"/>
          </w:tcPr>
          <w:p w14:paraId="064D492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施工垃圾没有放置在现场设置的临时垃圾存放点，或临时垃圾存放点垃圾存满未及时清运</w:t>
            </w:r>
          </w:p>
        </w:tc>
        <w:tc>
          <w:tcPr>
            <w:tcW w:w="1593" w:type="dxa"/>
            <w:noWrap w:val="0"/>
            <w:vAlign w:val="center"/>
          </w:tcPr>
          <w:p w14:paraId="23E9A55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500元/处</w:t>
            </w:r>
          </w:p>
        </w:tc>
        <w:tc>
          <w:tcPr>
            <w:tcW w:w="1660" w:type="dxa"/>
            <w:noWrap w:val="0"/>
            <w:vAlign w:val="center"/>
          </w:tcPr>
          <w:p w14:paraId="4635F29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37E7C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5BC1545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57</w:t>
            </w:r>
          </w:p>
        </w:tc>
        <w:tc>
          <w:tcPr>
            <w:tcW w:w="851" w:type="dxa"/>
            <w:noWrap w:val="0"/>
            <w:vAlign w:val="center"/>
          </w:tcPr>
          <w:p w14:paraId="43EEE17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w:t>
            </w:r>
          </w:p>
        </w:tc>
        <w:tc>
          <w:tcPr>
            <w:tcW w:w="4394" w:type="dxa"/>
            <w:noWrap w:val="0"/>
            <w:vAlign w:val="center"/>
          </w:tcPr>
          <w:p w14:paraId="3A1BC7D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所辖施工区域、道路或作业场所施工垃圾未及时清理，或卫生状况较差</w:t>
            </w:r>
          </w:p>
        </w:tc>
        <w:tc>
          <w:tcPr>
            <w:tcW w:w="1593" w:type="dxa"/>
            <w:noWrap w:val="0"/>
            <w:vAlign w:val="center"/>
          </w:tcPr>
          <w:p w14:paraId="3359D63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500元/处</w:t>
            </w:r>
          </w:p>
        </w:tc>
        <w:tc>
          <w:tcPr>
            <w:tcW w:w="1660" w:type="dxa"/>
            <w:noWrap w:val="0"/>
            <w:vAlign w:val="center"/>
          </w:tcPr>
          <w:p w14:paraId="3181AB7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3C5AB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7910811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58</w:t>
            </w:r>
          </w:p>
        </w:tc>
        <w:tc>
          <w:tcPr>
            <w:tcW w:w="851" w:type="dxa"/>
            <w:noWrap w:val="0"/>
            <w:vAlign w:val="center"/>
          </w:tcPr>
          <w:p w14:paraId="001B3B8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21</w:t>
            </w:r>
          </w:p>
        </w:tc>
        <w:tc>
          <w:tcPr>
            <w:tcW w:w="4394" w:type="dxa"/>
            <w:noWrap w:val="0"/>
            <w:vAlign w:val="center"/>
          </w:tcPr>
          <w:p w14:paraId="182B2E3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无防尘、防噪音措施，或落实不到位</w:t>
            </w:r>
          </w:p>
        </w:tc>
        <w:tc>
          <w:tcPr>
            <w:tcW w:w="1593" w:type="dxa"/>
            <w:noWrap w:val="0"/>
            <w:vAlign w:val="center"/>
          </w:tcPr>
          <w:p w14:paraId="02C8360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200元/处</w:t>
            </w:r>
          </w:p>
        </w:tc>
        <w:tc>
          <w:tcPr>
            <w:tcW w:w="1660" w:type="dxa"/>
            <w:noWrap w:val="0"/>
            <w:vAlign w:val="center"/>
          </w:tcPr>
          <w:p w14:paraId="3603DB7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03A67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1226186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59</w:t>
            </w:r>
          </w:p>
        </w:tc>
        <w:tc>
          <w:tcPr>
            <w:tcW w:w="851" w:type="dxa"/>
            <w:noWrap w:val="0"/>
            <w:vAlign w:val="center"/>
          </w:tcPr>
          <w:p w14:paraId="60B18B7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22</w:t>
            </w:r>
          </w:p>
        </w:tc>
        <w:tc>
          <w:tcPr>
            <w:tcW w:w="4394" w:type="dxa"/>
            <w:noWrap w:val="0"/>
            <w:vAlign w:val="center"/>
          </w:tcPr>
          <w:p w14:paraId="55C7D84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夜间施工现场照明达不到要求</w:t>
            </w:r>
          </w:p>
        </w:tc>
        <w:tc>
          <w:tcPr>
            <w:tcW w:w="1593" w:type="dxa"/>
            <w:noWrap w:val="0"/>
            <w:vAlign w:val="center"/>
          </w:tcPr>
          <w:p w14:paraId="0FCBE80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w:t>
            </w:r>
          </w:p>
        </w:tc>
        <w:tc>
          <w:tcPr>
            <w:tcW w:w="1660" w:type="dxa"/>
            <w:noWrap w:val="0"/>
            <w:vAlign w:val="center"/>
          </w:tcPr>
          <w:p w14:paraId="7B2E312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6C8B9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17" w:type="dxa"/>
            <w:noWrap w:val="0"/>
            <w:vAlign w:val="center"/>
          </w:tcPr>
          <w:p w14:paraId="218EA63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60</w:t>
            </w:r>
          </w:p>
        </w:tc>
        <w:tc>
          <w:tcPr>
            <w:tcW w:w="851" w:type="dxa"/>
            <w:noWrap w:val="0"/>
            <w:vAlign w:val="center"/>
          </w:tcPr>
          <w:p w14:paraId="5793802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23</w:t>
            </w:r>
          </w:p>
        </w:tc>
        <w:tc>
          <w:tcPr>
            <w:tcW w:w="4394" w:type="dxa"/>
            <w:noWrap w:val="0"/>
            <w:vAlign w:val="center"/>
          </w:tcPr>
          <w:p w14:paraId="4CB6859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违规排放污水、废水</w:t>
            </w:r>
          </w:p>
        </w:tc>
        <w:tc>
          <w:tcPr>
            <w:tcW w:w="1593" w:type="dxa"/>
            <w:noWrap w:val="0"/>
            <w:vAlign w:val="center"/>
          </w:tcPr>
          <w:p w14:paraId="022FD27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200元/次</w:t>
            </w:r>
          </w:p>
        </w:tc>
        <w:tc>
          <w:tcPr>
            <w:tcW w:w="1660" w:type="dxa"/>
            <w:noWrap w:val="0"/>
            <w:vAlign w:val="center"/>
          </w:tcPr>
          <w:p w14:paraId="41476FD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15490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7CF50DE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61</w:t>
            </w:r>
          </w:p>
        </w:tc>
        <w:tc>
          <w:tcPr>
            <w:tcW w:w="851" w:type="dxa"/>
            <w:noWrap w:val="0"/>
            <w:vAlign w:val="center"/>
          </w:tcPr>
          <w:p w14:paraId="4D44F95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24</w:t>
            </w:r>
          </w:p>
        </w:tc>
        <w:tc>
          <w:tcPr>
            <w:tcW w:w="4394" w:type="dxa"/>
            <w:noWrap w:val="0"/>
            <w:vAlign w:val="center"/>
          </w:tcPr>
          <w:p w14:paraId="204DB2F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各类油品、化学涂料等未采取防泄漏措施</w:t>
            </w:r>
          </w:p>
        </w:tc>
        <w:tc>
          <w:tcPr>
            <w:tcW w:w="1593" w:type="dxa"/>
            <w:noWrap w:val="0"/>
            <w:vAlign w:val="center"/>
          </w:tcPr>
          <w:p w14:paraId="41545A1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200元/处</w:t>
            </w:r>
          </w:p>
        </w:tc>
        <w:tc>
          <w:tcPr>
            <w:tcW w:w="1660" w:type="dxa"/>
            <w:noWrap w:val="0"/>
            <w:vAlign w:val="center"/>
          </w:tcPr>
          <w:p w14:paraId="550B7FC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2B778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0CE5653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62</w:t>
            </w:r>
          </w:p>
        </w:tc>
        <w:tc>
          <w:tcPr>
            <w:tcW w:w="851" w:type="dxa"/>
            <w:noWrap w:val="0"/>
            <w:vAlign w:val="center"/>
          </w:tcPr>
          <w:p w14:paraId="43F3DA4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25</w:t>
            </w:r>
          </w:p>
        </w:tc>
        <w:tc>
          <w:tcPr>
            <w:tcW w:w="4394" w:type="dxa"/>
            <w:noWrap w:val="0"/>
            <w:vAlign w:val="center"/>
          </w:tcPr>
          <w:p w14:paraId="27278A6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未配备急救箱或急救箱内药品出现短缺</w:t>
            </w:r>
          </w:p>
        </w:tc>
        <w:tc>
          <w:tcPr>
            <w:tcW w:w="1593" w:type="dxa"/>
            <w:noWrap w:val="0"/>
            <w:vAlign w:val="center"/>
          </w:tcPr>
          <w:p w14:paraId="270C21D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100元/次</w:t>
            </w:r>
          </w:p>
        </w:tc>
        <w:tc>
          <w:tcPr>
            <w:tcW w:w="1660" w:type="dxa"/>
            <w:noWrap w:val="0"/>
            <w:vAlign w:val="center"/>
          </w:tcPr>
          <w:p w14:paraId="0E34E16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2A859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5CFD19D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63</w:t>
            </w:r>
          </w:p>
        </w:tc>
        <w:tc>
          <w:tcPr>
            <w:tcW w:w="851" w:type="dxa"/>
            <w:noWrap w:val="0"/>
            <w:vAlign w:val="center"/>
          </w:tcPr>
          <w:p w14:paraId="536458B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26</w:t>
            </w:r>
          </w:p>
        </w:tc>
        <w:tc>
          <w:tcPr>
            <w:tcW w:w="4394" w:type="dxa"/>
            <w:noWrap w:val="0"/>
            <w:vAlign w:val="center"/>
          </w:tcPr>
          <w:p w14:paraId="73E312A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山地项目打孔作业时在下行侧操作者</w:t>
            </w:r>
          </w:p>
        </w:tc>
        <w:tc>
          <w:tcPr>
            <w:tcW w:w="1593" w:type="dxa"/>
            <w:noWrap w:val="0"/>
            <w:vAlign w:val="center"/>
          </w:tcPr>
          <w:p w14:paraId="0863222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500元/人·次</w:t>
            </w:r>
          </w:p>
        </w:tc>
        <w:tc>
          <w:tcPr>
            <w:tcW w:w="1660" w:type="dxa"/>
            <w:noWrap w:val="0"/>
            <w:vAlign w:val="center"/>
          </w:tcPr>
          <w:p w14:paraId="7DEB70D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158BD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395C8D1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64</w:t>
            </w:r>
          </w:p>
        </w:tc>
        <w:tc>
          <w:tcPr>
            <w:tcW w:w="851" w:type="dxa"/>
            <w:noWrap w:val="0"/>
            <w:vAlign w:val="center"/>
          </w:tcPr>
          <w:p w14:paraId="11291EF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27</w:t>
            </w:r>
          </w:p>
        </w:tc>
        <w:tc>
          <w:tcPr>
            <w:tcW w:w="4394" w:type="dxa"/>
            <w:noWrap w:val="0"/>
            <w:vAlign w:val="center"/>
          </w:tcPr>
          <w:p w14:paraId="4EB383C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交叉作业上下行同时施工</w:t>
            </w:r>
          </w:p>
        </w:tc>
        <w:tc>
          <w:tcPr>
            <w:tcW w:w="1593" w:type="dxa"/>
            <w:noWrap w:val="0"/>
            <w:vAlign w:val="center"/>
          </w:tcPr>
          <w:p w14:paraId="2283C45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500元/人·次</w:t>
            </w:r>
          </w:p>
        </w:tc>
        <w:tc>
          <w:tcPr>
            <w:tcW w:w="1660" w:type="dxa"/>
            <w:noWrap w:val="0"/>
            <w:vAlign w:val="center"/>
          </w:tcPr>
          <w:p w14:paraId="560FA29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45F74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315" w:type="dxa"/>
            <w:gridSpan w:val="5"/>
            <w:noWrap w:val="0"/>
            <w:vAlign w:val="center"/>
          </w:tcPr>
          <w:p w14:paraId="1118D2B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三、个人劳动防护用品</w:t>
            </w:r>
          </w:p>
        </w:tc>
      </w:tr>
      <w:tr w14:paraId="507F6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17" w:type="dxa"/>
            <w:noWrap w:val="0"/>
            <w:vAlign w:val="center"/>
          </w:tcPr>
          <w:p w14:paraId="0E7BF73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65</w:t>
            </w:r>
          </w:p>
        </w:tc>
        <w:tc>
          <w:tcPr>
            <w:tcW w:w="851" w:type="dxa"/>
            <w:noWrap w:val="0"/>
            <w:vAlign w:val="center"/>
          </w:tcPr>
          <w:p w14:paraId="3E21010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w:t>
            </w:r>
          </w:p>
        </w:tc>
        <w:tc>
          <w:tcPr>
            <w:tcW w:w="4394" w:type="dxa"/>
            <w:noWrap w:val="0"/>
            <w:vAlign w:val="center"/>
          </w:tcPr>
          <w:p w14:paraId="2E81CF0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采购不合格安全防护用品</w:t>
            </w:r>
          </w:p>
        </w:tc>
        <w:tc>
          <w:tcPr>
            <w:tcW w:w="1593" w:type="dxa"/>
            <w:noWrap w:val="0"/>
            <w:vAlign w:val="center"/>
          </w:tcPr>
          <w:p w14:paraId="3BA7839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10000</w:t>
            </w:r>
          </w:p>
        </w:tc>
        <w:tc>
          <w:tcPr>
            <w:tcW w:w="1660" w:type="dxa"/>
            <w:noWrap w:val="0"/>
            <w:vAlign w:val="center"/>
          </w:tcPr>
          <w:p w14:paraId="09C52B1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销毁不合格品</w:t>
            </w:r>
          </w:p>
        </w:tc>
      </w:tr>
      <w:tr w14:paraId="4EB6E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6BDED98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66</w:t>
            </w:r>
          </w:p>
        </w:tc>
        <w:tc>
          <w:tcPr>
            <w:tcW w:w="851" w:type="dxa"/>
            <w:noWrap w:val="0"/>
            <w:vAlign w:val="center"/>
          </w:tcPr>
          <w:p w14:paraId="6342843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w:t>
            </w:r>
          </w:p>
        </w:tc>
        <w:tc>
          <w:tcPr>
            <w:tcW w:w="4394" w:type="dxa"/>
            <w:noWrap w:val="0"/>
            <w:vAlign w:val="center"/>
          </w:tcPr>
          <w:p w14:paraId="3C4B86B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进入施工现场，未穿劳保鞋，或穿拖鞋、凉鞋、高跟鞋等，或电工未穿绝缘鞋</w:t>
            </w:r>
          </w:p>
        </w:tc>
        <w:tc>
          <w:tcPr>
            <w:tcW w:w="1593" w:type="dxa"/>
            <w:noWrap w:val="0"/>
            <w:vAlign w:val="center"/>
          </w:tcPr>
          <w:p w14:paraId="0E76F40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100元/人·次</w:t>
            </w:r>
          </w:p>
        </w:tc>
        <w:tc>
          <w:tcPr>
            <w:tcW w:w="1660" w:type="dxa"/>
            <w:noWrap w:val="0"/>
            <w:vAlign w:val="center"/>
          </w:tcPr>
          <w:p w14:paraId="478547D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7D60E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817" w:type="dxa"/>
            <w:noWrap w:val="0"/>
            <w:vAlign w:val="center"/>
          </w:tcPr>
          <w:p w14:paraId="4751C43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67</w:t>
            </w:r>
          </w:p>
        </w:tc>
        <w:tc>
          <w:tcPr>
            <w:tcW w:w="851" w:type="dxa"/>
            <w:noWrap w:val="0"/>
            <w:vAlign w:val="center"/>
          </w:tcPr>
          <w:p w14:paraId="06CF13E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w:t>
            </w:r>
          </w:p>
        </w:tc>
        <w:tc>
          <w:tcPr>
            <w:tcW w:w="4394" w:type="dxa"/>
            <w:noWrap w:val="0"/>
            <w:vAlign w:val="center"/>
          </w:tcPr>
          <w:p w14:paraId="74D5859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进入施工现场作业，未穿符合安全要求的工作服，或穿着短袖上衣，或穿短裤，或工作服未系紧扣好，在现场作业</w:t>
            </w:r>
          </w:p>
        </w:tc>
        <w:tc>
          <w:tcPr>
            <w:tcW w:w="1593" w:type="dxa"/>
            <w:noWrap w:val="0"/>
            <w:vAlign w:val="center"/>
          </w:tcPr>
          <w:p w14:paraId="1EA1771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100元/人·次</w:t>
            </w:r>
          </w:p>
        </w:tc>
        <w:tc>
          <w:tcPr>
            <w:tcW w:w="1660" w:type="dxa"/>
            <w:noWrap w:val="0"/>
            <w:vAlign w:val="center"/>
          </w:tcPr>
          <w:p w14:paraId="02DA7B4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077A1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2D30F9F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68</w:t>
            </w:r>
          </w:p>
        </w:tc>
        <w:tc>
          <w:tcPr>
            <w:tcW w:w="851" w:type="dxa"/>
            <w:noWrap w:val="0"/>
            <w:vAlign w:val="center"/>
          </w:tcPr>
          <w:p w14:paraId="0CAA0CA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4</w:t>
            </w:r>
          </w:p>
        </w:tc>
        <w:tc>
          <w:tcPr>
            <w:tcW w:w="4394" w:type="dxa"/>
            <w:noWrap w:val="0"/>
            <w:vAlign w:val="center"/>
          </w:tcPr>
          <w:p w14:paraId="53EE2B5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现场作业人员未穿反光背心或工作服无反光条</w:t>
            </w:r>
          </w:p>
        </w:tc>
        <w:tc>
          <w:tcPr>
            <w:tcW w:w="1593" w:type="dxa"/>
            <w:noWrap w:val="0"/>
            <w:vAlign w:val="center"/>
          </w:tcPr>
          <w:p w14:paraId="11E8A53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100元/人·次</w:t>
            </w:r>
          </w:p>
        </w:tc>
        <w:tc>
          <w:tcPr>
            <w:tcW w:w="1660" w:type="dxa"/>
            <w:noWrap w:val="0"/>
            <w:vAlign w:val="center"/>
          </w:tcPr>
          <w:p w14:paraId="325BFAF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31495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3B17428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69</w:t>
            </w:r>
          </w:p>
        </w:tc>
        <w:tc>
          <w:tcPr>
            <w:tcW w:w="851" w:type="dxa"/>
            <w:noWrap w:val="0"/>
            <w:vAlign w:val="center"/>
          </w:tcPr>
          <w:p w14:paraId="08D285C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w:t>
            </w:r>
          </w:p>
        </w:tc>
        <w:tc>
          <w:tcPr>
            <w:tcW w:w="4394" w:type="dxa"/>
            <w:noWrap w:val="0"/>
            <w:vAlign w:val="center"/>
          </w:tcPr>
          <w:p w14:paraId="0407C98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施工现场未佩戴或未规范佩戴合格的安全帽</w:t>
            </w:r>
          </w:p>
        </w:tc>
        <w:tc>
          <w:tcPr>
            <w:tcW w:w="1593" w:type="dxa"/>
            <w:noWrap w:val="0"/>
            <w:vAlign w:val="center"/>
          </w:tcPr>
          <w:p w14:paraId="1483347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100元/人·次</w:t>
            </w:r>
          </w:p>
        </w:tc>
        <w:tc>
          <w:tcPr>
            <w:tcW w:w="1660" w:type="dxa"/>
            <w:noWrap w:val="0"/>
            <w:vAlign w:val="center"/>
          </w:tcPr>
          <w:p w14:paraId="688BB96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08067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36DDDFF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70</w:t>
            </w:r>
          </w:p>
        </w:tc>
        <w:tc>
          <w:tcPr>
            <w:tcW w:w="851" w:type="dxa"/>
            <w:noWrap w:val="0"/>
            <w:vAlign w:val="center"/>
          </w:tcPr>
          <w:p w14:paraId="6774FA4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7</w:t>
            </w:r>
          </w:p>
        </w:tc>
        <w:tc>
          <w:tcPr>
            <w:tcW w:w="4394" w:type="dxa"/>
            <w:noWrap w:val="0"/>
            <w:vAlign w:val="center"/>
          </w:tcPr>
          <w:p w14:paraId="79E6E86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高处作业未使用安全带</w:t>
            </w:r>
          </w:p>
        </w:tc>
        <w:tc>
          <w:tcPr>
            <w:tcW w:w="1593" w:type="dxa"/>
            <w:noWrap w:val="0"/>
            <w:vAlign w:val="center"/>
          </w:tcPr>
          <w:p w14:paraId="70B982D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500元/人·次</w:t>
            </w:r>
          </w:p>
        </w:tc>
        <w:tc>
          <w:tcPr>
            <w:tcW w:w="1660" w:type="dxa"/>
            <w:noWrap w:val="0"/>
            <w:vAlign w:val="center"/>
          </w:tcPr>
          <w:p w14:paraId="47E0887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398E8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3899962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71</w:t>
            </w:r>
          </w:p>
        </w:tc>
        <w:tc>
          <w:tcPr>
            <w:tcW w:w="851" w:type="dxa"/>
            <w:noWrap w:val="0"/>
            <w:vAlign w:val="center"/>
          </w:tcPr>
          <w:p w14:paraId="3E1C3F8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8</w:t>
            </w:r>
          </w:p>
        </w:tc>
        <w:tc>
          <w:tcPr>
            <w:tcW w:w="4394" w:type="dxa"/>
            <w:noWrap w:val="0"/>
            <w:vAlign w:val="center"/>
          </w:tcPr>
          <w:p w14:paraId="51F501C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安全带组件不完整、有短缺；安全带无合格证或合格证过期</w:t>
            </w:r>
          </w:p>
        </w:tc>
        <w:tc>
          <w:tcPr>
            <w:tcW w:w="1593" w:type="dxa"/>
            <w:noWrap w:val="0"/>
            <w:vAlign w:val="center"/>
          </w:tcPr>
          <w:p w14:paraId="27B5ADD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200元/次</w:t>
            </w:r>
          </w:p>
        </w:tc>
        <w:tc>
          <w:tcPr>
            <w:tcW w:w="1660" w:type="dxa"/>
            <w:noWrap w:val="0"/>
            <w:vAlign w:val="center"/>
          </w:tcPr>
          <w:p w14:paraId="3E97B26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73AD0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5D628E9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72</w:t>
            </w:r>
          </w:p>
        </w:tc>
        <w:tc>
          <w:tcPr>
            <w:tcW w:w="851" w:type="dxa"/>
            <w:noWrap w:val="0"/>
            <w:vAlign w:val="center"/>
          </w:tcPr>
          <w:p w14:paraId="7029DF4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9</w:t>
            </w:r>
          </w:p>
        </w:tc>
        <w:tc>
          <w:tcPr>
            <w:tcW w:w="4394" w:type="dxa"/>
            <w:noWrap w:val="0"/>
            <w:vAlign w:val="center"/>
          </w:tcPr>
          <w:p w14:paraId="65ED007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无临边防护措施的高处作业不规范使用合格的双钩安全带</w:t>
            </w:r>
          </w:p>
        </w:tc>
        <w:tc>
          <w:tcPr>
            <w:tcW w:w="1593" w:type="dxa"/>
            <w:noWrap w:val="0"/>
            <w:vAlign w:val="center"/>
          </w:tcPr>
          <w:p w14:paraId="37101C4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200元/人·次</w:t>
            </w:r>
          </w:p>
        </w:tc>
        <w:tc>
          <w:tcPr>
            <w:tcW w:w="1660" w:type="dxa"/>
            <w:noWrap w:val="0"/>
            <w:vAlign w:val="center"/>
          </w:tcPr>
          <w:p w14:paraId="4E6A1D6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4E6AC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817" w:type="dxa"/>
            <w:noWrap w:val="0"/>
            <w:vAlign w:val="center"/>
          </w:tcPr>
          <w:p w14:paraId="7276597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73</w:t>
            </w:r>
          </w:p>
        </w:tc>
        <w:tc>
          <w:tcPr>
            <w:tcW w:w="851" w:type="dxa"/>
            <w:noWrap w:val="0"/>
            <w:vAlign w:val="center"/>
          </w:tcPr>
          <w:p w14:paraId="7554E40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w:t>
            </w:r>
          </w:p>
        </w:tc>
        <w:tc>
          <w:tcPr>
            <w:tcW w:w="4394" w:type="dxa"/>
            <w:noWrap w:val="0"/>
            <w:vAlign w:val="center"/>
          </w:tcPr>
          <w:p w14:paraId="436A87B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使用双钩安全带移动作业位置时，将两个钩同时摘下移位；安全带扎系不规范，如低挂高用</w:t>
            </w:r>
          </w:p>
        </w:tc>
        <w:tc>
          <w:tcPr>
            <w:tcW w:w="1593" w:type="dxa"/>
            <w:noWrap w:val="0"/>
            <w:vAlign w:val="center"/>
          </w:tcPr>
          <w:p w14:paraId="52587FD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500元/人·次</w:t>
            </w:r>
          </w:p>
        </w:tc>
        <w:tc>
          <w:tcPr>
            <w:tcW w:w="1660" w:type="dxa"/>
            <w:noWrap w:val="0"/>
            <w:vAlign w:val="center"/>
          </w:tcPr>
          <w:p w14:paraId="6EEF8D1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749FC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06730E9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74</w:t>
            </w:r>
          </w:p>
        </w:tc>
        <w:tc>
          <w:tcPr>
            <w:tcW w:w="851" w:type="dxa"/>
            <w:noWrap w:val="0"/>
            <w:vAlign w:val="center"/>
          </w:tcPr>
          <w:p w14:paraId="2ADEBDF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11</w:t>
            </w:r>
          </w:p>
        </w:tc>
        <w:tc>
          <w:tcPr>
            <w:tcW w:w="4394" w:type="dxa"/>
            <w:noWrap w:val="0"/>
            <w:vAlign w:val="center"/>
          </w:tcPr>
          <w:p w14:paraId="1944058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打磨、凿毛、锯切等作业未佩戴防护眼镜</w:t>
            </w:r>
          </w:p>
        </w:tc>
        <w:tc>
          <w:tcPr>
            <w:tcW w:w="1593" w:type="dxa"/>
            <w:noWrap w:val="0"/>
            <w:vAlign w:val="center"/>
          </w:tcPr>
          <w:p w14:paraId="17BE546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100元/人·次</w:t>
            </w:r>
          </w:p>
        </w:tc>
        <w:tc>
          <w:tcPr>
            <w:tcW w:w="1660" w:type="dxa"/>
            <w:noWrap w:val="0"/>
            <w:vAlign w:val="center"/>
          </w:tcPr>
          <w:p w14:paraId="3C2692F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4A2A3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0E65258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75</w:t>
            </w:r>
          </w:p>
        </w:tc>
        <w:tc>
          <w:tcPr>
            <w:tcW w:w="851" w:type="dxa"/>
            <w:noWrap w:val="0"/>
            <w:vAlign w:val="center"/>
          </w:tcPr>
          <w:p w14:paraId="3F1C446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12</w:t>
            </w:r>
          </w:p>
        </w:tc>
        <w:tc>
          <w:tcPr>
            <w:tcW w:w="4394" w:type="dxa"/>
            <w:noWrap w:val="0"/>
            <w:vAlign w:val="center"/>
          </w:tcPr>
          <w:p w14:paraId="6634D90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粉尘较大的环境作业时，未佩戴口罩、呼吸器等劳动防护用品</w:t>
            </w:r>
          </w:p>
        </w:tc>
        <w:tc>
          <w:tcPr>
            <w:tcW w:w="1593" w:type="dxa"/>
            <w:noWrap w:val="0"/>
            <w:vAlign w:val="center"/>
          </w:tcPr>
          <w:p w14:paraId="57CADAB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200元/人·次</w:t>
            </w:r>
          </w:p>
        </w:tc>
        <w:tc>
          <w:tcPr>
            <w:tcW w:w="1660" w:type="dxa"/>
            <w:noWrap w:val="0"/>
            <w:vAlign w:val="center"/>
          </w:tcPr>
          <w:p w14:paraId="5D2BFE9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6BC5B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41C53FF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76</w:t>
            </w:r>
          </w:p>
        </w:tc>
        <w:tc>
          <w:tcPr>
            <w:tcW w:w="851" w:type="dxa"/>
            <w:noWrap w:val="0"/>
            <w:vAlign w:val="center"/>
          </w:tcPr>
          <w:p w14:paraId="589C039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13</w:t>
            </w:r>
          </w:p>
        </w:tc>
        <w:tc>
          <w:tcPr>
            <w:tcW w:w="4394" w:type="dxa"/>
            <w:noWrap w:val="0"/>
            <w:vAlign w:val="center"/>
          </w:tcPr>
          <w:p w14:paraId="7D63589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噪声较大的环境作业时，未佩戴耳塞</w:t>
            </w:r>
          </w:p>
        </w:tc>
        <w:tc>
          <w:tcPr>
            <w:tcW w:w="1593" w:type="dxa"/>
            <w:noWrap w:val="0"/>
            <w:vAlign w:val="center"/>
          </w:tcPr>
          <w:p w14:paraId="1003047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200元/人·次</w:t>
            </w:r>
          </w:p>
        </w:tc>
        <w:tc>
          <w:tcPr>
            <w:tcW w:w="1660" w:type="dxa"/>
            <w:noWrap w:val="0"/>
            <w:vAlign w:val="center"/>
          </w:tcPr>
          <w:p w14:paraId="4568932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6BB18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0A31F46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77</w:t>
            </w:r>
          </w:p>
        </w:tc>
        <w:tc>
          <w:tcPr>
            <w:tcW w:w="851" w:type="dxa"/>
            <w:noWrap w:val="0"/>
            <w:vAlign w:val="center"/>
          </w:tcPr>
          <w:p w14:paraId="2CB1034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14</w:t>
            </w:r>
          </w:p>
        </w:tc>
        <w:tc>
          <w:tcPr>
            <w:tcW w:w="4394" w:type="dxa"/>
            <w:noWrap w:val="0"/>
            <w:vAlign w:val="center"/>
          </w:tcPr>
          <w:p w14:paraId="6924834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焊接人员没有使用防护面具、防护手套</w:t>
            </w:r>
          </w:p>
        </w:tc>
        <w:tc>
          <w:tcPr>
            <w:tcW w:w="1593" w:type="dxa"/>
            <w:noWrap w:val="0"/>
            <w:vAlign w:val="center"/>
          </w:tcPr>
          <w:p w14:paraId="1A648A1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200元/人·次</w:t>
            </w:r>
          </w:p>
        </w:tc>
        <w:tc>
          <w:tcPr>
            <w:tcW w:w="1660" w:type="dxa"/>
            <w:noWrap w:val="0"/>
            <w:vAlign w:val="center"/>
          </w:tcPr>
          <w:p w14:paraId="508F51B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5283A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288F1D2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78</w:t>
            </w:r>
          </w:p>
        </w:tc>
        <w:tc>
          <w:tcPr>
            <w:tcW w:w="851" w:type="dxa"/>
            <w:noWrap w:val="0"/>
            <w:vAlign w:val="center"/>
          </w:tcPr>
          <w:p w14:paraId="65C6D68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15</w:t>
            </w:r>
          </w:p>
        </w:tc>
        <w:tc>
          <w:tcPr>
            <w:tcW w:w="4394" w:type="dxa"/>
            <w:noWrap w:val="0"/>
            <w:vAlign w:val="center"/>
          </w:tcPr>
          <w:p w14:paraId="6CD8D1B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对个人劳动防护用品随意丢弃、污损，造成非正常损耗</w:t>
            </w:r>
          </w:p>
        </w:tc>
        <w:tc>
          <w:tcPr>
            <w:tcW w:w="1593" w:type="dxa"/>
            <w:noWrap w:val="0"/>
            <w:vAlign w:val="center"/>
          </w:tcPr>
          <w:p w14:paraId="23960E8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300元/次</w:t>
            </w:r>
          </w:p>
        </w:tc>
        <w:tc>
          <w:tcPr>
            <w:tcW w:w="1660" w:type="dxa"/>
            <w:noWrap w:val="0"/>
            <w:vAlign w:val="center"/>
          </w:tcPr>
          <w:p w14:paraId="55C7DDA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60C69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315" w:type="dxa"/>
            <w:gridSpan w:val="5"/>
            <w:noWrap w:val="0"/>
            <w:vAlign w:val="center"/>
          </w:tcPr>
          <w:p w14:paraId="0C4510A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四、电气安全（含电动工机具）</w:t>
            </w:r>
          </w:p>
        </w:tc>
      </w:tr>
      <w:tr w14:paraId="0E97F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0F70CEB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79</w:t>
            </w:r>
          </w:p>
        </w:tc>
        <w:tc>
          <w:tcPr>
            <w:tcW w:w="851" w:type="dxa"/>
            <w:noWrap w:val="0"/>
            <w:vAlign w:val="center"/>
          </w:tcPr>
          <w:p w14:paraId="67F308A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w:t>
            </w:r>
          </w:p>
        </w:tc>
        <w:tc>
          <w:tcPr>
            <w:tcW w:w="4394" w:type="dxa"/>
            <w:noWrap w:val="0"/>
            <w:vAlign w:val="center"/>
          </w:tcPr>
          <w:p w14:paraId="2D5D4B6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使用中的电动工具的机械、防护装置有缺陷</w:t>
            </w:r>
          </w:p>
        </w:tc>
        <w:tc>
          <w:tcPr>
            <w:tcW w:w="1593" w:type="dxa"/>
            <w:noWrap w:val="0"/>
            <w:vAlign w:val="center"/>
          </w:tcPr>
          <w:p w14:paraId="23C5E26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500元/台</w:t>
            </w:r>
          </w:p>
        </w:tc>
        <w:tc>
          <w:tcPr>
            <w:tcW w:w="1660" w:type="dxa"/>
            <w:noWrap w:val="0"/>
            <w:vAlign w:val="center"/>
          </w:tcPr>
          <w:p w14:paraId="067DA15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2574F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1F04130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80</w:t>
            </w:r>
          </w:p>
        </w:tc>
        <w:tc>
          <w:tcPr>
            <w:tcW w:w="851" w:type="dxa"/>
            <w:noWrap w:val="0"/>
            <w:vAlign w:val="center"/>
          </w:tcPr>
          <w:p w14:paraId="070635D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w:t>
            </w:r>
          </w:p>
        </w:tc>
        <w:tc>
          <w:tcPr>
            <w:tcW w:w="4394" w:type="dxa"/>
            <w:noWrap w:val="0"/>
            <w:vAlign w:val="center"/>
          </w:tcPr>
          <w:p w14:paraId="2E88AA2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未按规定进行定期试验或检验</w:t>
            </w:r>
          </w:p>
        </w:tc>
        <w:tc>
          <w:tcPr>
            <w:tcW w:w="1593" w:type="dxa"/>
            <w:noWrap w:val="0"/>
            <w:vAlign w:val="center"/>
          </w:tcPr>
          <w:p w14:paraId="34ECD96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500元/台</w:t>
            </w:r>
          </w:p>
        </w:tc>
        <w:tc>
          <w:tcPr>
            <w:tcW w:w="1660" w:type="dxa"/>
            <w:noWrap w:val="0"/>
            <w:vAlign w:val="center"/>
          </w:tcPr>
          <w:p w14:paraId="2EB3624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762D9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2DE1BAE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81</w:t>
            </w:r>
          </w:p>
        </w:tc>
        <w:tc>
          <w:tcPr>
            <w:tcW w:w="851" w:type="dxa"/>
            <w:noWrap w:val="0"/>
            <w:vAlign w:val="center"/>
          </w:tcPr>
          <w:p w14:paraId="366C707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w:t>
            </w:r>
          </w:p>
        </w:tc>
        <w:tc>
          <w:tcPr>
            <w:tcW w:w="4394" w:type="dxa"/>
            <w:noWrap w:val="0"/>
            <w:vAlign w:val="center"/>
          </w:tcPr>
          <w:p w14:paraId="69C3B11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使用中的电气安全用具的绝缘部分表面有裂纹、破损</w:t>
            </w:r>
          </w:p>
        </w:tc>
        <w:tc>
          <w:tcPr>
            <w:tcW w:w="1593" w:type="dxa"/>
            <w:noWrap w:val="0"/>
            <w:vAlign w:val="center"/>
          </w:tcPr>
          <w:p w14:paraId="7F0E34C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w:t>
            </w:r>
          </w:p>
        </w:tc>
        <w:tc>
          <w:tcPr>
            <w:tcW w:w="1660" w:type="dxa"/>
            <w:noWrap w:val="0"/>
            <w:vAlign w:val="center"/>
          </w:tcPr>
          <w:p w14:paraId="633E52F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4C4C2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6AABEA4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82</w:t>
            </w:r>
          </w:p>
        </w:tc>
        <w:tc>
          <w:tcPr>
            <w:tcW w:w="851" w:type="dxa"/>
            <w:noWrap w:val="0"/>
            <w:vAlign w:val="center"/>
          </w:tcPr>
          <w:p w14:paraId="0E9D328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4</w:t>
            </w:r>
          </w:p>
        </w:tc>
        <w:tc>
          <w:tcPr>
            <w:tcW w:w="4394" w:type="dxa"/>
            <w:noWrap w:val="0"/>
            <w:vAlign w:val="center"/>
          </w:tcPr>
          <w:p w14:paraId="1884990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电动工具使用的软电缆或护套软线有破损或不合格电缆</w:t>
            </w:r>
          </w:p>
        </w:tc>
        <w:tc>
          <w:tcPr>
            <w:tcW w:w="1593" w:type="dxa"/>
            <w:noWrap w:val="0"/>
            <w:vAlign w:val="center"/>
          </w:tcPr>
          <w:p w14:paraId="18472CF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500元/台</w:t>
            </w:r>
          </w:p>
        </w:tc>
        <w:tc>
          <w:tcPr>
            <w:tcW w:w="1660" w:type="dxa"/>
            <w:noWrap w:val="0"/>
            <w:vAlign w:val="center"/>
          </w:tcPr>
          <w:p w14:paraId="36F6FC8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45288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1155751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83</w:t>
            </w:r>
          </w:p>
        </w:tc>
        <w:tc>
          <w:tcPr>
            <w:tcW w:w="851" w:type="dxa"/>
            <w:noWrap w:val="0"/>
            <w:vAlign w:val="center"/>
          </w:tcPr>
          <w:p w14:paraId="434B700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w:t>
            </w:r>
          </w:p>
        </w:tc>
        <w:tc>
          <w:tcPr>
            <w:tcW w:w="4394" w:type="dxa"/>
            <w:noWrap w:val="0"/>
            <w:vAlign w:val="center"/>
          </w:tcPr>
          <w:p w14:paraId="1C97B1A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电动工器具及用电设备未按要求粘贴检验合格标签</w:t>
            </w:r>
          </w:p>
        </w:tc>
        <w:tc>
          <w:tcPr>
            <w:tcW w:w="1593" w:type="dxa"/>
            <w:noWrap w:val="0"/>
            <w:vAlign w:val="center"/>
          </w:tcPr>
          <w:p w14:paraId="3B3FE12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300元/台</w:t>
            </w:r>
          </w:p>
        </w:tc>
        <w:tc>
          <w:tcPr>
            <w:tcW w:w="1660" w:type="dxa"/>
            <w:noWrap w:val="0"/>
            <w:vAlign w:val="center"/>
          </w:tcPr>
          <w:p w14:paraId="222D366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2447A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7FCB8DB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84</w:t>
            </w:r>
          </w:p>
        </w:tc>
        <w:tc>
          <w:tcPr>
            <w:tcW w:w="851" w:type="dxa"/>
            <w:noWrap w:val="0"/>
            <w:vAlign w:val="center"/>
          </w:tcPr>
          <w:p w14:paraId="11A5495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6</w:t>
            </w:r>
          </w:p>
        </w:tc>
        <w:tc>
          <w:tcPr>
            <w:tcW w:w="4394" w:type="dxa"/>
            <w:noWrap w:val="0"/>
            <w:vAlign w:val="center"/>
          </w:tcPr>
          <w:p w14:paraId="0F95777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配电柜未设置安全标志，未采取防风防雨措施，门未及时关闭上锁</w:t>
            </w:r>
          </w:p>
        </w:tc>
        <w:tc>
          <w:tcPr>
            <w:tcW w:w="1593" w:type="dxa"/>
            <w:noWrap w:val="0"/>
            <w:vAlign w:val="center"/>
          </w:tcPr>
          <w:p w14:paraId="5241910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200元/次</w:t>
            </w:r>
          </w:p>
        </w:tc>
        <w:tc>
          <w:tcPr>
            <w:tcW w:w="1660" w:type="dxa"/>
            <w:noWrap w:val="0"/>
            <w:vAlign w:val="center"/>
          </w:tcPr>
          <w:p w14:paraId="0F3654E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33442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4F3BEDB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85</w:t>
            </w:r>
          </w:p>
        </w:tc>
        <w:tc>
          <w:tcPr>
            <w:tcW w:w="851" w:type="dxa"/>
            <w:noWrap w:val="0"/>
            <w:vAlign w:val="center"/>
          </w:tcPr>
          <w:p w14:paraId="06C21AA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7</w:t>
            </w:r>
          </w:p>
        </w:tc>
        <w:tc>
          <w:tcPr>
            <w:tcW w:w="4394" w:type="dxa"/>
            <w:noWrap w:val="0"/>
            <w:vAlign w:val="center"/>
          </w:tcPr>
          <w:p w14:paraId="23353DA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临时电源使用不合格电源线或电缆线损坏</w:t>
            </w:r>
          </w:p>
        </w:tc>
        <w:tc>
          <w:tcPr>
            <w:tcW w:w="1593" w:type="dxa"/>
            <w:noWrap w:val="0"/>
            <w:vAlign w:val="center"/>
          </w:tcPr>
          <w:p w14:paraId="2E165B0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200元/次</w:t>
            </w:r>
          </w:p>
        </w:tc>
        <w:tc>
          <w:tcPr>
            <w:tcW w:w="1660" w:type="dxa"/>
            <w:noWrap w:val="0"/>
            <w:vAlign w:val="center"/>
          </w:tcPr>
          <w:p w14:paraId="5ECFF41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54280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392901A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86</w:t>
            </w:r>
          </w:p>
        </w:tc>
        <w:tc>
          <w:tcPr>
            <w:tcW w:w="851" w:type="dxa"/>
            <w:noWrap w:val="0"/>
            <w:vAlign w:val="center"/>
          </w:tcPr>
          <w:p w14:paraId="53925E6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8</w:t>
            </w:r>
          </w:p>
        </w:tc>
        <w:tc>
          <w:tcPr>
            <w:tcW w:w="4394" w:type="dxa"/>
            <w:noWrap w:val="0"/>
            <w:vAlign w:val="center"/>
          </w:tcPr>
          <w:p w14:paraId="08F6613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跨越通道的临时电源线未架空或无防保护措施</w:t>
            </w:r>
          </w:p>
        </w:tc>
        <w:tc>
          <w:tcPr>
            <w:tcW w:w="1593" w:type="dxa"/>
            <w:noWrap w:val="0"/>
            <w:vAlign w:val="center"/>
          </w:tcPr>
          <w:p w14:paraId="163AFB2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200元/次</w:t>
            </w:r>
          </w:p>
        </w:tc>
        <w:tc>
          <w:tcPr>
            <w:tcW w:w="1660" w:type="dxa"/>
            <w:noWrap w:val="0"/>
            <w:vAlign w:val="center"/>
          </w:tcPr>
          <w:p w14:paraId="0B80798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267DF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3453CD1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87</w:t>
            </w:r>
          </w:p>
        </w:tc>
        <w:tc>
          <w:tcPr>
            <w:tcW w:w="851" w:type="dxa"/>
            <w:noWrap w:val="0"/>
            <w:vAlign w:val="center"/>
          </w:tcPr>
          <w:p w14:paraId="3452A18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9</w:t>
            </w:r>
          </w:p>
        </w:tc>
        <w:tc>
          <w:tcPr>
            <w:tcW w:w="4394" w:type="dxa"/>
            <w:noWrap w:val="0"/>
            <w:vAlign w:val="center"/>
          </w:tcPr>
          <w:p w14:paraId="123D13C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无电工证，进行电源拆接线作业</w:t>
            </w:r>
          </w:p>
        </w:tc>
        <w:tc>
          <w:tcPr>
            <w:tcW w:w="1593" w:type="dxa"/>
            <w:noWrap w:val="0"/>
            <w:vAlign w:val="center"/>
          </w:tcPr>
          <w:p w14:paraId="74EF47F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w:t>
            </w:r>
          </w:p>
        </w:tc>
        <w:tc>
          <w:tcPr>
            <w:tcW w:w="1660" w:type="dxa"/>
            <w:noWrap w:val="0"/>
            <w:vAlign w:val="center"/>
          </w:tcPr>
          <w:p w14:paraId="67CA384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09C66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0E43FF1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88</w:t>
            </w:r>
          </w:p>
        </w:tc>
        <w:tc>
          <w:tcPr>
            <w:tcW w:w="851" w:type="dxa"/>
            <w:noWrap w:val="0"/>
            <w:vAlign w:val="center"/>
          </w:tcPr>
          <w:p w14:paraId="6B72235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w:t>
            </w:r>
          </w:p>
        </w:tc>
        <w:tc>
          <w:tcPr>
            <w:tcW w:w="4394" w:type="dxa"/>
            <w:noWrap w:val="0"/>
            <w:vAlign w:val="center"/>
          </w:tcPr>
          <w:p w14:paraId="3BC94EE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使用外壳、手柄有裂纹或破损的手持电动工具作业</w:t>
            </w:r>
          </w:p>
        </w:tc>
        <w:tc>
          <w:tcPr>
            <w:tcW w:w="1593" w:type="dxa"/>
            <w:noWrap w:val="0"/>
            <w:vAlign w:val="center"/>
          </w:tcPr>
          <w:p w14:paraId="5818BA1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200元/次</w:t>
            </w:r>
          </w:p>
        </w:tc>
        <w:tc>
          <w:tcPr>
            <w:tcW w:w="1660" w:type="dxa"/>
            <w:noWrap w:val="0"/>
            <w:vAlign w:val="center"/>
          </w:tcPr>
          <w:p w14:paraId="516BB3E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685BD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17" w:type="dxa"/>
            <w:noWrap w:val="0"/>
            <w:vAlign w:val="center"/>
          </w:tcPr>
          <w:p w14:paraId="5BF72A2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89</w:t>
            </w:r>
          </w:p>
        </w:tc>
        <w:tc>
          <w:tcPr>
            <w:tcW w:w="851" w:type="dxa"/>
            <w:noWrap w:val="0"/>
            <w:vAlign w:val="center"/>
          </w:tcPr>
          <w:p w14:paraId="78DD0D7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11</w:t>
            </w:r>
          </w:p>
        </w:tc>
        <w:tc>
          <w:tcPr>
            <w:tcW w:w="4394" w:type="dxa"/>
            <w:noWrap w:val="0"/>
            <w:vAlign w:val="center"/>
          </w:tcPr>
          <w:p w14:paraId="49000EB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无接地或接地不符合要求</w:t>
            </w:r>
          </w:p>
        </w:tc>
        <w:tc>
          <w:tcPr>
            <w:tcW w:w="1593" w:type="dxa"/>
            <w:noWrap w:val="0"/>
            <w:vAlign w:val="center"/>
          </w:tcPr>
          <w:p w14:paraId="2AD60C3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200元/次</w:t>
            </w:r>
          </w:p>
        </w:tc>
        <w:tc>
          <w:tcPr>
            <w:tcW w:w="1660" w:type="dxa"/>
            <w:noWrap w:val="0"/>
            <w:vAlign w:val="center"/>
          </w:tcPr>
          <w:p w14:paraId="23E4003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174FC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3F2C8FB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90</w:t>
            </w:r>
          </w:p>
        </w:tc>
        <w:tc>
          <w:tcPr>
            <w:tcW w:w="851" w:type="dxa"/>
            <w:noWrap w:val="0"/>
            <w:vAlign w:val="center"/>
          </w:tcPr>
          <w:p w14:paraId="01B7B9E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12</w:t>
            </w:r>
          </w:p>
        </w:tc>
        <w:tc>
          <w:tcPr>
            <w:tcW w:w="4394" w:type="dxa"/>
            <w:noWrap w:val="0"/>
            <w:vAlign w:val="center"/>
          </w:tcPr>
          <w:p w14:paraId="0E39EB9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电缆敷设未采取安全保护措施</w:t>
            </w:r>
          </w:p>
        </w:tc>
        <w:tc>
          <w:tcPr>
            <w:tcW w:w="1593" w:type="dxa"/>
            <w:noWrap w:val="0"/>
            <w:vAlign w:val="center"/>
          </w:tcPr>
          <w:p w14:paraId="5943D93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200元/次</w:t>
            </w:r>
          </w:p>
        </w:tc>
        <w:tc>
          <w:tcPr>
            <w:tcW w:w="1660" w:type="dxa"/>
            <w:noWrap w:val="0"/>
            <w:vAlign w:val="center"/>
          </w:tcPr>
          <w:p w14:paraId="0702096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2A787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17" w:type="dxa"/>
            <w:noWrap w:val="0"/>
            <w:vAlign w:val="center"/>
          </w:tcPr>
          <w:p w14:paraId="6F574E3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91</w:t>
            </w:r>
          </w:p>
        </w:tc>
        <w:tc>
          <w:tcPr>
            <w:tcW w:w="851" w:type="dxa"/>
            <w:noWrap w:val="0"/>
            <w:vAlign w:val="center"/>
          </w:tcPr>
          <w:p w14:paraId="4EACF44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13</w:t>
            </w:r>
          </w:p>
        </w:tc>
        <w:tc>
          <w:tcPr>
            <w:tcW w:w="4394" w:type="dxa"/>
            <w:noWrap w:val="0"/>
            <w:vAlign w:val="center"/>
          </w:tcPr>
          <w:p w14:paraId="404FF97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电气设备没有检查记录</w:t>
            </w:r>
          </w:p>
        </w:tc>
        <w:tc>
          <w:tcPr>
            <w:tcW w:w="1593" w:type="dxa"/>
            <w:noWrap w:val="0"/>
            <w:vAlign w:val="center"/>
          </w:tcPr>
          <w:p w14:paraId="366BBBD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200元/次</w:t>
            </w:r>
          </w:p>
        </w:tc>
        <w:tc>
          <w:tcPr>
            <w:tcW w:w="1660" w:type="dxa"/>
            <w:noWrap w:val="0"/>
            <w:vAlign w:val="center"/>
          </w:tcPr>
          <w:p w14:paraId="22F22E0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67C9B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35FF91F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92</w:t>
            </w:r>
          </w:p>
        </w:tc>
        <w:tc>
          <w:tcPr>
            <w:tcW w:w="851" w:type="dxa"/>
            <w:noWrap w:val="0"/>
            <w:vAlign w:val="center"/>
          </w:tcPr>
          <w:p w14:paraId="30C89D7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14</w:t>
            </w:r>
          </w:p>
        </w:tc>
        <w:tc>
          <w:tcPr>
            <w:tcW w:w="4394" w:type="dxa"/>
            <w:noWrap w:val="0"/>
            <w:vAlign w:val="center"/>
          </w:tcPr>
          <w:p w14:paraId="503D781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插座、插头破损或将电源线直接钩挂于开关上</w:t>
            </w:r>
          </w:p>
        </w:tc>
        <w:tc>
          <w:tcPr>
            <w:tcW w:w="1593" w:type="dxa"/>
            <w:noWrap w:val="0"/>
            <w:vAlign w:val="center"/>
          </w:tcPr>
          <w:p w14:paraId="61AE246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w:t>
            </w:r>
          </w:p>
        </w:tc>
        <w:tc>
          <w:tcPr>
            <w:tcW w:w="1660" w:type="dxa"/>
            <w:noWrap w:val="0"/>
            <w:vAlign w:val="center"/>
          </w:tcPr>
          <w:p w14:paraId="6253A53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05F9E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17" w:type="dxa"/>
            <w:noWrap w:val="0"/>
            <w:vAlign w:val="center"/>
          </w:tcPr>
          <w:p w14:paraId="4B2746A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93</w:t>
            </w:r>
          </w:p>
        </w:tc>
        <w:tc>
          <w:tcPr>
            <w:tcW w:w="851" w:type="dxa"/>
            <w:noWrap w:val="0"/>
            <w:vAlign w:val="center"/>
          </w:tcPr>
          <w:p w14:paraId="38197F6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15</w:t>
            </w:r>
          </w:p>
        </w:tc>
        <w:tc>
          <w:tcPr>
            <w:tcW w:w="4394" w:type="dxa"/>
            <w:noWrap w:val="0"/>
            <w:vAlign w:val="center"/>
          </w:tcPr>
          <w:p w14:paraId="6DDD031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电线接头连接不符合要求</w:t>
            </w:r>
          </w:p>
        </w:tc>
        <w:tc>
          <w:tcPr>
            <w:tcW w:w="1593" w:type="dxa"/>
            <w:noWrap w:val="0"/>
            <w:vAlign w:val="center"/>
          </w:tcPr>
          <w:p w14:paraId="48086FE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200元/次</w:t>
            </w:r>
          </w:p>
        </w:tc>
        <w:tc>
          <w:tcPr>
            <w:tcW w:w="1660" w:type="dxa"/>
            <w:noWrap w:val="0"/>
            <w:vAlign w:val="center"/>
          </w:tcPr>
          <w:p w14:paraId="6358DE6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5294C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17" w:type="dxa"/>
            <w:noWrap w:val="0"/>
            <w:vAlign w:val="center"/>
          </w:tcPr>
          <w:p w14:paraId="0AF3E6A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94</w:t>
            </w:r>
          </w:p>
        </w:tc>
        <w:tc>
          <w:tcPr>
            <w:tcW w:w="851" w:type="dxa"/>
            <w:noWrap w:val="0"/>
            <w:vAlign w:val="center"/>
          </w:tcPr>
          <w:p w14:paraId="7B546BB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16</w:t>
            </w:r>
          </w:p>
        </w:tc>
        <w:tc>
          <w:tcPr>
            <w:tcW w:w="4394" w:type="dxa"/>
            <w:noWrap w:val="0"/>
            <w:vAlign w:val="center"/>
          </w:tcPr>
          <w:p w14:paraId="39316FB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配电箱内无配电系统图</w:t>
            </w:r>
          </w:p>
        </w:tc>
        <w:tc>
          <w:tcPr>
            <w:tcW w:w="1593" w:type="dxa"/>
            <w:noWrap w:val="0"/>
            <w:vAlign w:val="center"/>
          </w:tcPr>
          <w:p w14:paraId="20D9B16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100元/次</w:t>
            </w:r>
          </w:p>
        </w:tc>
        <w:tc>
          <w:tcPr>
            <w:tcW w:w="1660" w:type="dxa"/>
            <w:noWrap w:val="0"/>
            <w:vAlign w:val="center"/>
          </w:tcPr>
          <w:p w14:paraId="4204CE6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63196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5514EF7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95</w:t>
            </w:r>
          </w:p>
        </w:tc>
        <w:tc>
          <w:tcPr>
            <w:tcW w:w="851" w:type="dxa"/>
            <w:noWrap w:val="0"/>
            <w:vAlign w:val="center"/>
          </w:tcPr>
          <w:p w14:paraId="463D853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17</w:t>
            </w:r>
          </w:p>
        </w:tc>
        <w:tc>
          <w:tcPr>
            <w:tcW w:w="4394" w:type="dxa"/>
            <w:noWrap w:val="0"/>
            <w:vAlign w:val="center"/>
          </w:tcPr>
          <w:p w14:paraId="6DA0D0D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电动工具随意接长电源线或电源线破损</w:t>
            </w:r>
          </w:p>
        </w:tc>
        <w:tc>
          <w:tcPr>
            <w:tcW w:w="1593" w:type="dxa"/>
            <w:noWrap w:val="0"/>
            <w:vAlign w:val="center"/>
          </w:tcPr>
          <w:p w14:paraId="121F9B6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200元/次</w:t>
            </w:r>
          </w:p>
        </w:tc>
        <w:tc>
          <w:tcPr>
            <w:tcW w:w="1660" w:type="dxa"/>
            <w:noWrap w:val="0"/>
            <w:vAlign w:val="center"/>
          </w:tcPr>
          <w:p w14:paraId="3CCF62E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22C51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380EA59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96</w:t>
            </w:r>
          </w:p>
        </w:tc>
        <w:tc>
          <w:tcPr>
            <w:tcW w:w="851" w:type="dxa"/>
            <w:noWrap w:val="0"/>
            <w:vAlign w:val="center"/>
          </w:tcPr>
          <w:p w14:paraId="6D00E29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18</w:t>
            </w:r>
          </w:p>
        </w:tc>
        <w:tc>
          <w:tcPr>
            <w:tcW w:w="4394" w:type="dxa"/>
            <w:noWrap w:val="0"/>
            <w:vAlign w:val="center"/>
          </w:tcPr>
          <w:p w14:paraId="633479F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无电气设备及电动工器具台帐或台帐不合格</w:t>
            </w:r>
          </w:p>
        </w:tc>
        <w:tc>
          <w:tcPr>
            <w:tcW w:w="1593" w:type="dxa"/>
            <w:noWrap w:val="0"/>
            <w:vAlign w:val="center"/>
          </w:tcPr>
          <w:p w14:paraId="38582EE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200元/次</w:t>
            </w:r>
          </w:p>
        </w:tc>
        <w:tc>
          <w:tcPr>
            <w:tcW w:w="1660" w:type="dxa"/>
            <w:noWrap w:val="0"/>
            <w:vAlign w:val="center"/>
          </w:tcPr>
          <w:p w14:paraId="4924C82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2E972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069FC35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97</w:t>
            </w:r>
          </w:p>
        </w:tc>
        <w:tc>
          <w:tcPr>
            <w:tcW w:w="851" w:type="dxa"/>
            <w:noWrap w:val="0"/>
            <w:vAlign w:val="center"/>
          </w:tcPr>
          <w:p w14:paraId="61D463A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19</w:t>
            </w:r>
          </w:p>
        </w:tc>
        <w:tc>
          <w:tcPr>
            <w:tcW w:w="4394" w:type="dxa"/>
            <w:noWrap w:val="0"/>
            <w:vAlign w:val="center"/>
          </w:tcPr>
          <w:p w14:paraId="536969A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特殊作业场所未使用安全电压</w:t>
            </w:r>
          </w:p>
        </w:tc>
        <w:tc>
          <w:tcPr>
            <w:tcW w:w="1593" w:type="dxa"/>
            <w:noWrap w:val="0"/>
            <w:vAlign w:val="center"/>
          </w:tcPr>
          <w:p w14:paraId="7717FB2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200元/次</w:t>
            </w:r>
          </w:p>
        </w:tc>
        <w:tc>
          <w:tcPr>
            <w:tcW w:w="1660" w:type="dxa"/>
            <w:noWrap w:val="0"/>
            <w:vAlign w:val="center"/>
          </w:tcPr>
          <w:p w14:paraId="60DA66D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627B9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6773C8B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98</w:t>
            </w:r>
          </w:p>
        </w:tc>
        <w:tc>
          <w:tcPr>
            <w:tcW w:w="851" w:type="dxa"/>
            <w:noWrap w:val="0"/>
            <w:vAlign w:val="center"/>
          </w:tcPr>
          <w:p w14:paraId="46AD725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w:t>
            </w:r>
          </w:p>
        </w:tc>
        <w:tc>
          <w:tcPr>
            <w:tcW w:w="4394" w:type="dxa"/>
            <w:noWrap w:val="0"/>
            <w:vAlign w:val="center"/>
          </w:tcPr>
          <w:p w14:paraId="50C761C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手持电动工具无防漏电保护措施</w:t>
            </w:r>
          </w:p>
        </w:tc>
        <w:tc>
          <w:tcPr>
            <w:tcW w:w="1593" w:type="dxa"/>
            <w:noWrap w:val="0"/>
            <w:vAlign w:val="center"/>
          </w:tcPr>
          <w:p w14:paraId="045377D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200元/次</w:t>
            </w:r>
          </w:p>
        </w:tc>
        <w:tc>
          <w:tcPr>
            <w:tcW w:w="1660" w:type="dxa"/>
            <w:noWrap w:val="0"/>
            <w:vAlign w:val="center"/>
          </w:tcPr>
          <w:p w14:paraId="4916882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28F9E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817" w:type="dxa"/>
            <w:noWrap w:val="0"/>
            <w:vAlign w:val="center"/>
          </w:tcPr>
          <w:p w14:paraId="116ABA0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99</w:t>
            </w:r>
          </w:p>
        </w:tc>
        <w:tc>
          <w:tcPr>
            <w:tcW w:w="851" w:type="dxa"/>
            <w:noWrap w:val="0"/>
            <w:vAlign w:val="center"/>
          </w:tcPr>
          <w:p w14:paraId="34607FD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21</w:t>
            </w:r>
          </w:p>
        </w:tc>
        <w:tc>
          <w:tcPr>
            <w:tcW w:w="4394" w:type="dxa"/>
            <w:noWrap w:val="0"/>
            <w:vAlign w:val="center"/>
          </w:tcPr>
          <w:p w14:paraId="4900456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电气设备的电线扭结或放置于尖锐物体及高温处；以及放置于造成人员绊跌、被碾压、割破或烧坏绝缘的场所</w:t>
            </w:r>
          </w:p>
        </w:tc>
        <w:tc>
          <w:tcPr>
            <w:tcW w:w="1593" w:type="dxa"/>
            <w:noWrap w:val="0"/>
            <w:vAlign w:val="center"/>
          </w:tcPr>
          <w:p w14:paraId="2F427EE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200元/次</w:t>
            </w:r>
          </w:p>
        </w:tc>
        <w:tc>
          <w:tcPr>
            <w:tcW w:w="1660" w:type="dxa"/>
            <w:noWrap w:val="0"/>
            <w:vAlign w:val="center"/>
          </w:tcPr>
          <w:p w14:paraId="61846FF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514DD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817" w:type="dxa"/>
            <w:noWrap w:val="0"/>
            <w:vAlign w:val="center"/>
          </w:tcPr>
          <w:p w14:paraId="02F5A79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w:t>
            </w:r>
          </w:p>
        </w:tc>
        <w:tc>
          <w:tcPr>
            <w:tcW w:w="851" w:type="dxa"/>
            <w:noWrap w:val="0"/>
            <w:vAlign w:val="center"/>
          </w:tcPr>
          <w:p w14:paraId="18D9610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22</w:t>
            </w:r>
          </w:p>
        </w:tc>
        <w:tc>
          <w:tcPr>
            <w:tcW w:w="4394" w:type="dxa"/>
            <w:noWrap w:val="0"/>
            <w:vAlign w:val="center"/>
          </w:tcPr>
          <w:p w14:paraId="2EA592E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电气设备总开关或分路开关所装设的保险丝超过电路负荷，或用铁锨、铜丝等其他物代替</w:t>
            </w:r>
          </w:p>
        </w:tc>
        <w:tc>
          <w:tcPr>
            <w:tcW w:w="1593" w:type="dxa"/>
            <w:noWrap w:val="0"/>
            <w:vAlign w:val="center"/>
          </w:tcPr>
          <w:p w14:paraId="51757BA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1000元/次</w:t>
            </w:r>
          </w:p>
        </w:tc>
        <w:tc>
          <w:tcPr>
            <w:tcW w:w="1660" w:type="dxa"/>
            <w:noWrap w:val="0"/>
            <w:vAlign w:val="center"/>
          </w:tcPr>
          <w:p w14:paraId="23125C1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33A1C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2BF3873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101</w:t>
            </w:r>
          </w:p>
        </w:tc>
        <w:tc>
          <w:tcPr>
            <w:tcW w:w="851" w:type="dxa"/>
            <w:noWrap w:val="0"/>
            <w:vAlign w:val="center"/>
          </w:tcPr>
          <w:p w14:paraId="43DD928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23</w:t>
            </w:r>
          </w:p>
        </w:tc>
        <w:tc>
          <w:tcPr>
            <w:tcW w:w="4394" w:type="dxa"/>
            <w:noWrap w:val="0"/>
            <w:vAlign w:val="center"/>
          </w:tcPr>
          <w:p w14:paraId="2054647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高压电气设施未设围篱或接近电气设备，未设置护栏或绝缘屏蔽</w:t>
            </w:r>
          </w:p>
        </w:tc>
        <w:tc>
          <w:tcPr>
            <w:tcW w:w="1593" w:type="dxa"/>
            <w:noWrap w:val="0"/>
            <w:vAlign w:val="center"/>
          </w:tcPr>
          <w:p w14:paraId="58C8917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200元/次</w:t>
            </w:r>
          </w:p>
        </w:tc>
        <w:tc>
          <w:tcPr>
            <w:tcW w:w="1660" w:type="dxa"/>
            <w:noWrap w:val="0"/>
            <w:vAlign w:val="center"/>
          </w:tcPr>
          <w:p w14:paraId="0A4682E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5198B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07CD36E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102</w:t>
            </w:r>
          </w:p>
        </w:tc>
        <w:tc>
          <w:tcPr>
            <w:tcW w:w="851" w:type="dxa"/>
            <w:noWrap w:val="0"/>
            <w:vAlign w:val="center"/>
          </w:tcPr>
          <w:p w14:paraId="65A6B2A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24</w:t>
            </w:r>
          </w:p>
        </w:tc>
        <w:tc>
          <w:tcPr>
            <w:tcW w:w="4394" w:type="dxa"/>
            <w:noWrap w:val="0"/>
            <w:vAlign w:val="center"/>
          </w:tcPr>
          <w:p w14:paraId="5BDA39D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人为破坏临电设施或盗用他人临电设施、偷电</w:t>
            </w:r>
          </w:p>
        </w:tc>
        <w:tc>
          <w:tcPr>
            <w:tcW w:w="1593" w:type="dxa"/>
            <w:noWrap w:val="0"/>
            <w:vAlign w:val="center"/>
          </w:tcPr>
          <w:p w14:paraId="560E438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5000元/次</w:t>
            </w:r>
          </w:p>
        </w:tc>
        <w:tc>
          <w:tcPr>
            <w:tcW w:w="1660" w:type="dxa"/>
            <w:noWrap w:val="0"/>
            <w:vAlign w:val="center"/>
          </w:tcPr>
          <w:p w14:paraId="667CC34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524A1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2A44BC1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103</w:t>
            </w:r>
          </w:p>
        </w:tc>
        <w:tc>
          <w:tcPr>
            <w:tcW w:w="851" w:type="dxa"/>
            <w:noWrap w:val="0"/>
            <w:vAlign w:val="center"/>
          </w:tcPr>
          <w:p w14:paraId="45472A2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25</w:t>
            </w:r>
          </w:p>
        </w:tc>
        <w:tc>
          <w:tcPr>
            <w:tcW w:w="4394" w:type="dxa"/>
            <w:noWrap w:val="0"/>
            <w:vAlign w:val="center"/>
          </w:tcPr>
          <w:p w14:paraId="49B96B6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私自移除“禁止标志”、“危险标志”、“高压危险”标志。</w:t>
            </w:r>
          </w:p>
        </w:tc>
        <w:tc>
          <w:tcPr>
            <w:tcW w:w="1593" w:type="dxa"/>
            <w:noWrap w:val="0"/>
            <w:vAlign w:val="center"/>
          </w:tcPr>
          <w:p w14:paraId="0B8C38E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w:t>
            </w:r>
          </w:p>
        </w:tc>
        <w:tc>
          <w:tcPr>
            <w:tcW w:w="1660" w:type="dxa"/>
            <w:noWrap w:val="0"/>
            <w:vAlign w:val="center"/>
          </w:tcPr>
          <w:p w14:paraId="142A10E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22E76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56274B0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104</w:t>
            </w:r>
          </w:p>
        </w:tc>
        <w:tc>
          <w:tcPr>
            <w:tcW w:w="851" w:type="dxa"/>
            <w:noWrap w:val="0"/>
            <w:vAlign w:val="center"/>
          </w:tcPr>
          <w:p w14:paraId="7B80965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26</w:t>
            </w:r>
          </w:p>
        </w:tc>
        <w:tc>
          <w:tcPr>
            <w:tcW w:w="4394" w:type="dxa"/>
            <w:noWrap w:val="0"/>
            <w:vAlign w:val="center"/>
          </w:tcPr>
          <w:p w14:paraId="29E61E7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违规用电造成“一级配电箱”以上开关跳闸</w:t>
            </w:r>
          </w:p>
        </w:tc>
        <w:tc>
          <w:tcPr>
            <w:tcW w:w="1593" w:type="dxa"/>
            <w:noWrap w:val="0"/>
            <w:vAlign w:val="center"/>
          </w:tcPr>
          <w:p w14:paraId="5D3A754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w:t>
            </w:r>
          </w:p>
        </w:tc>
        <w:tc>
          <w:tcPr>
            <w:tcW w:w="1660" w:type="dxa"/>
            <w:noWrap w:val="0"/>
            <w:vAlign w:val="center"/>
          </w:tcPr>
          <w:p w14:paraId="65A3AEE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7A84B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817" w:type="dxa"/>
            <w:noWrap w:val="0"/>
            <w:vAlign w:val="center"/>
          </w:tcPr>
          <w:p w14:paraId="050A009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105</w:t>
            </w:r>
          </w:p>
        </w:tc>
        <w:tc>
          <w:tcPr>
            <w:tcW w:w="851" w:type="dxa"/>
            <w:noWrap w:val="0"/>
            <w:vAlign w:val="center"/>
          </w:tcPr>
          <w:p w14:paraId="551413B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27</w:t>
            </w:r>
          </w:p>
        </w:tc>
        <w:tc>
          <w:tcPr>
            <w:tcW w:w="4394" w:type="dxa"/>
            <w:noWrap w:val="0"/>
            <w:vAlign w:val="center"/>
          </w:tcPr>
          <w:p w14:paraId="5ED60CD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使用违反国家现行有关强制性标准（或已不安全）的电动建筑机械和手持式电动工具</w:t>
            </w:r>
          </w:p>
        </w:tc>
        <w:tc>
          <w:tcPr>
            <w:tcW w:w="1593" w:type="dxa"/>
            <w:noWrap w:val="0"/>
            <w:vAlign w:val="center"/>
          </w:tcPr>
          <w:p w14:paraId="2CDAED8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200元/次</w:t>
            </w:r>
          </w:p>
        </w:tc>
        <w:tc>
          <w:tcPr>
            <w:tcW w:w="1660" w:type="dxa"/>
            <w:noWrap w:val="0"/>
            <w:vAlign w:val="center"/>
          </w:tcPr>
          <w:p w14:paraId="4A4EC52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1927C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315" w:type="dxa"/>
            <w:gridSpan w:val="5"/>
            <w:noWrap w:val="0"/>
            <w:vAlign w:val="center"/>
          </w:tcPr>
          <w:p w14:paraId="1A97CF7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五、临时用电</w:t>
            </w:r>
          </w:p>
        </w:tc>
      </w:tr>
      <w:tr w14:paraId="4441C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521F425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106</w:t>
            </w:r>
          </w:p>
        </w:tc>
        <w:tc>
          <w:tcPr>
            <w:tcW w:w="851" w:type="dxa"/>
            <w:noWrap w:val="0"/>
            <w:vAlign w:val="center"/>
          </w:tcPr>
          <w:p w14:paraId="164362E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w:t>
            </w:r>
          </w:p>
        </w:tc>
        <w:tc>
          <w:tcPr>
            <w:tcW w:w="4394" w:type="dxa"/>
            <w:noWrap w:val="0"/>
            <w:vAlign w:val="center"/>
          </w:tcPr>
          <w:p w14:paraId="2BB972F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临时用电未按三相五线制配线</w:t>
            </w:r>
          </w:p>
        </w:tc>
        <w:tc>
          <w:tcPr>
            <w:tcW w:w="1593" w:type="dxa"/>
            <w:noWrap w:val="0"/>
            <w:vAlign w:val="center"/>
          </w:tcPr>
          <w:p w14:paraId="7C3F602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1000元/处</w:t>
            </w:r>
          </w:p>
        </w:tc>
        <w:tc>
          <w:tcPr>
            <w:tcW w:w="1660" w:type="dxa"/>
            <w:noWrap w:val="0"/>
            <w:vAlign w:val="center"/>
          </w:tcPr>
          <w:p w14:paraId="0316435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192B3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817" w:type="dxa"/>
            <w:noWrap w:val="0"/>
            <w:vAlign w:val="center"/>
          </w:tcPr>
          <w:p w14:paraId="699CB70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107</w:t>
            </w:r>
          </w:p>
        </w:tc>
        <w:tc>
          <w:tcPr>
            <w:tcW w:w="851" w:type="dxa"/>
            <w:noWrap w:val="0"/>
            <w:vAlign w:val="center"/>
          </w:tcPr>
          <w:p w14:paraId="610F10A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w:t>
            </w:r>
          </w:p>
        </w:tc>
        <w:tc>
          <w:tcPr>
            <w:tcW w:w="4394" w:type="dxa"/>
            <w:noWrap w:val="0"/>
            <w:vAlign w:val="center"/>
          </w:tcPr>
          <w:p w14:paraId="3EE2100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一次检查发现两处及以上现场配电盘、柜无安全警示标志、未采取防风防雨措施、未上锁、无防护栏杆、保护接地不符合要求等</w:t>
            </w:r>
          </w:p>
        </w:tc>
        <w:tc>
          <w:tcPr>
            <w:tcW w:w="1593" w:type="dxa"/>
            <w:noWrap w:val="0"/>
            <w:vAlign w:val="center"/>
          </w:tcPr>
          <w:p w14:paraId="6EC729E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500元/处</w:t>
            </w:r>
          </w:p>
        </w:tc>
        <w:tc>
          <w:tcPr>
            <w:tcW w:w="1660" w:type="dxa"/>
            <w:noWrap w:val="0"/>
            <w:vAlign w:val="center"/>
          </w:tcPr>
          <w:p w14:paraId="49DD8EE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22727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013F88C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108</w:t>
            </w:r>
          </w:p>
        </w:tc>
        <w:tc>
          <w:tcPr>
            <w:tcW w:w="851" w:type="dxa"/>
            <w:noWrap w:val="0"/>
            <w:vAlign w:val="center"/>
          </w:tcPr>
          <w:p w14:paraId="4851798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w:t>
            </w:r>
          </w:p>
        </w:tc>
        <w:tc>
          <w:tcPr>
            <w:tcW w:w="4394" w:type="dxa"/>
            <w:noWrap w:val="0"/>
            <w:vAlign w:val="center"/>
          </w:tcPr>
          <w:p w14:paraId="060F162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配电箱内配线私接乱拉，不符合“一机一闸一漏”安全用电基本原则</w:t>
            </w:r>
          </w:p>
        </w:tc>
        <w:tc>
          <w:tcPr>
            <w:tcW w:w="1593" w:type="dxa"/>
            <w:noWrap w:val="0"/>
            <w:vAlign w:val="center"/>
          </w:tcPr>
          <w:p w14:paraId="77C37CD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500元/处</w:t>
            </w:r>
          </w:p>
        </w:tc>
        <w:tc>
          <w:tcPr>
            <w:tcW w:w="1660" w:type="dxa"/>
            <w:noWrap w:val="0"/>
            <w:vAlign w:val="center"/>
          </w:tcPr>
          <w:p w14:paraId="3B4B888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5D166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5ED99B0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109</w:t>
            </w:r>
          </w:p>
        </w:tc>
        <w:tc>
          <w:tcPr>
            <w:tcW w:w="851" w:type="dxa"/>
            <w:noWrap w:val="0"/>
            <w:vAlign w:val="center"/>
          </w:tcPr>
          <w:p w14:paraId="7CCEA8F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4</w:t>
            </w:r>
          </w:p>
        </w:tc>
        <w:tc>
          <w:tcPr>
            <w:tcW w:w="4394" w:type="dxa"/>
            <w:noWrap w:val="0"/>
            <w:vAlign w:val="center"/>
          </w:tcPr>
          <w:p w14:paraId="06584AE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临时电源所用的电缆线不符合要求、损坏严重、接头过多等</w:t>
            </w:r>
          </w:p>
        </w:tc>
        <w:tc>
          <w:tcPr>
            <w:tcW w:w="1593" w:type="dxa"/>
            <w:noWrap w:val="0"/>
            <w:vAlign w:val="center"/>
          </w:tcPr>
          <w:p w14:paraId="20D914D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200元/处</w:t>
            </w:r>
          </w:p>
        </w:tc>
        <w:tc>
          <w:tcPr>
            <w:tcW w:w="1660" w:type="dxa"/>
            <w:noWrap w:val="0"/>
            <w:vAlign w:val="center"/>
          </w:tcPr>
          <w:p w14:paraId="187BB14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73B78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17" w:type="dxa"/>
            <w:noWrap w:val="0"/>
            <w:vAlign w:val="center"/>
          </w:tcPr>
          <w:p w14:paraId="0ACE7AA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110</w:t>
            </w:r>
          </w:p>
        </w:tc>
        <w:tc>
          <w:tcPr>
            <w:tcW w:w="851" w:type="dxa"/>
            <w:noWrap w:val="0"/>
            <w:vAlign w:val="center"/>
          </w:tcPr>
          <w:p w14:paraId="25BDFE5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w:t>
            </w:r>
          </w:p>
        </w:tc>
        <w:tc>
          <w:tcPr>
            <w:tcW w:w="4394" w:type="dxa"/>
            <w:noWrap w:val="0"/>
            <w:vAlign w:val="center"/>
          </w:tcPr>
          <w:p w14:paraId="53D027B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临时电缆线布设混乱</w:t>
            </w:r>
          </w:p>
        </w:tc>
        <w:tc>
          <w:tcPr>
            <w:tcW w:w="1593" w:type="dxa"/>
            <w:noWrap w:val="0"/>
            <w:vAlign w:val="center"/>
          </w:tcPr>
          <w:p w14:paraId="64DB59A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100元/次</w:t>
            </w:r>
          </w:p>
        </w:tc>
        <w:tc>
          <w:tcPr>
            <w:tcW w:w="1660" w:type="dxa"/>
            <w:noWrap w:val="0"/>
            <w:vAlign w:val="center"/>
          </w:tcPr>
          <w:p w14:paraId="55EAE1D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51E8D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3D44311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111</w:t>
            </w:r>
          </w:p>
        </w:tc>
        <w:tc>
          <w:tcPr>
            <w:tcW w:w="851" w:type="dxa"/>
            <w:noWrap w:val="0"/>
            <w:vAlign w:val="center"/>
          </w:tcPr>
          <w:p w14:paraId="4FED98B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6</w:t>
            </w:r>
          </w:p>
        </w:tc>
        <w:tc>
          <w:tcPr>
            <w:tcW w:w="4394" w:type="dxa"/>
            <w:noWrap w:val="0"/>
            <w:vAlign w:val="center"/>
          </w:tcPr>
          <w:p w14:paraId="445582E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电源延长线（即移动式电源辊子）超过3处接头仍使用</w:t>
            </w:r>
          </w:p>
        </w:tc>
        <w:tc>
          <w:tcPr>
            <w:tcW w:w="1593" w:type="dxa"/>
            <w:noWrap w:val="0"/>
            <w:vAlign w:val="center"/>
          </w:tcPr>
          <w:p w14:paraId="0CDDBD6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200元/次</w:t>
            </w:r>
          </w:p>
        </w:tc>
        <w:tc>
          <w:tcPr>
            <w:tcW w:w="1660" w:type="dxa"/>
            <w:noWrap w:val="0"/>
            <w:vAlign w:val="center"/>
          </w:tcPr>
          <w:p w14:paraId="1F0660C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47632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35B0E54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112</w:t>
            </w:r>
          </w:p>
        </w:tc>
        <w:tc>
          <w:tcPr>
            <w:tcW w:w="851" w:type="dxa"/>
            <w:noWrap w:val="0"/>
            <w:vAlign w:val="center"/>
          </w:tcPr>
          <w:p w14:paraId="716F822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7</w:t>
            </w:r>
          </w:p>
        </w:tc>
        <w:tc>
          <w:tcPr>
            <w:tcW w:w="4394" w:type="dxa"/>
            <w:noWrap w:val="0"/>
            <w:vAlign w:val="center"/>
          </w:tcPr>
          <w:p w14:paraId="24C940E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电源线路接触热源或直接绑挂在金属构件上，在金属脚手架上架设时没有绝缘保护</w:t>
            </w:r>
          </w:p>
        </w:tc>
        <w:tc>
          <w:tcPr>
            <w:tcW w:w="1593" w:type="dxa"/>
            <w:noWrap w:val="0"/>
            <w:vAlign w:val="center"/>
          </w:tcPr>
          <w:p w14:paraId="54D931F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200元/处</w:t>
            </w:r>
          </w:p>
        </w:tc>
        <w:tc>
          <w:tcPr>
            <w:tcW w:w="1660" w:type="dxa"/>
            <w:noWrap w:val="0"/>
            <w:vAlign w:val="center"/>
          </w:tcPr>
          <w:p w14:paraId="1E71D3E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696F1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17" w:type="dxa"/>
            <w:noWrap w:val="0"/>
            <w:vAlign w:val="center"/>
          </w:tcPr>
          <w:p w14:paraId="6C325EF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113</w:t>
            </w:r>
          </w:p>
        </w:tc>
        <w:tc>
          <w:tcPr>
            <w:tcW w:w="851" w:type="dxa"/>
            <w:noWrap w:val="0"/>
            <w:vAlign w:val="center"/>
          </w:tcPr>
          <w:p w14:paraId="00E1096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8</w:t>
            </w:r>
          </w:p>
        </w:tc>
        <w:tc>
          <w:tcPr>
            <w:tcW w:w="4394" w:type="dxa"/>
            <w:noWrap w:val="0"/>
            <w:vAlign w:val="center"/>
          </w:tcPr>
          <w:p w14:paraId="4C5136E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施工场所没有足够的照明</w:t>
            </w:r>
          </w:p>
        </w:tc>
        <w:tc>
          <w:tcPr>
            <w:tcW w:w="1593" w:type="dxa"/>
            <w:noWrap w:val="0"/>
            <w:vAlign w:val="center"/>
          </w:tcPr>
          <w:p w14:paraId="05FEC3B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200元/处</w:t>
            </w:r>
          </w:p>
        </w:tc>
        <w:tc>
          <w:tcPr>
            <w:tcW w:w="1660" w:type="dxa"/>
            <w:noWrap w:val="0"/>
            <w:vAlign w:val="center"/>
          </w:tcPr>
          <w:p w14:paraId="6A4F921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5E1AB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16C90A6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114</w:t>
            </w:r>
          </w:p>
        </w:tc>
        <w:tc>
          <w:tcPr>
            <w:tcW w:w="851" w:type="dxa"/>
            <w:noWrap w:val="0"/>
            <w:vAlign w:val="center"/>
          </w:tcPr>
          <w:p w14:paraId="09713EB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9</w:t>
            </w:r>
          </w:p>
        </w:tc>
        <w:tc>
          <w:tcPr>
            <w:tcW w:w="4394" w:type="dxa"/>
            <w:noWrap w:val="0"/>
            <w:vAlign w:val="center"/>
          </w:tcPr>
          <w:p w14:paraId="4226544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直埋电缆无标识桩或电缆经过施工道路没有做过桥保护</w:t>
            </w:r>
          </w:p>
        </w:tc>
        <w:tc>
          <w:tcPr>
            <w:tcW w:w="1593" w:type="dxa"/>
            <w:noWrap w:val="0"/>
            <w:vAlign w:val="center"/>
          </w:tcPr>
          <w:p w14:paraId="325C43B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100元/处</w:t>
            </w:r>
          </w:p>
        </w:tc>
        <w:tc>
          <w:tcPr>
            <w:tcW w:w="1660" w:type="dxa"/>
            <w:noWrap w:val="0"/>
            <w:vAlign w:val="center"/>
          </w:tcPr>
          <w:p w14:paraId="6F61791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3D912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66E2C60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115</w:t>
            </w:r>
          </w:p>
        </w:tc>
        <w:tc>
          <w:tcPr>
            <w:tcW w:w="851" w:type="dxa"/>
            <w:noWrap w:val="0"/>
            <w:vAlign w:val="center"/>
          </w:tcPr>
          <w:p w14:paraId="0B1A744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w:t>
            </w:r>
          </w:p>
        </w:tc>
        <w:tc>
          <w:tcPr>
            <w:tcW w:w="4394" w:type="dxa"/>
            <w:noWrap w:val="0"/>
            <w:vAlign w:val="center"/>
          </w:tcPr>
          <w:p w14:paraId="439A672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用电设备带电长时间无人使用，或使用完毕后未及时断电</w:t>
            </w:r>
          </w:p>
        </w:tc>
        <w:tc>
          <w:tcPr>
            <w:tcW w:w="1593" w:type="dxa"/>
            <w:noWrap w:val="0"/>
            <w:vAlign w:val="center"/>
          </w:tcPr>
          <w:p w14:paraId="054DFD3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500元/处</w:t>
            </w:r>
          </w:p>
        </w:tc>
        <w:tc>
          <w:tcPr>
            <w:tcW w:w="1660" w:type="dxa"/>
            <w:noWrap w:val="0"/>
            <w:vAlign w:val="center"/>
          </w:tcPr>
          <w:p w14:paraId="686F6EB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7FF38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56125C3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116</w:t>
            </w:r>
          </w:p>
        </w:tc>
        <w:tc>
          <w:tcPr>
            <w:tcW w:w="851" w:type="dxa"/>
            <w:noWrap w:val="0"/>
            <w:vAlign w:val="center"/>
          </w:tcPr>
          <w:p w14:paraId="5B9D7B4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11</w:t>
            </w:r>
          </w:p>
        </w:tc>
        <w:tc>
          <w:tcPr>
            <w:tcW w:w="4394" w:type="dxa"/>
            <w:noWrap w:val="0"/>
            <w:vAlign w:val="center"/>
          </w:tcPr>
          <w:p w14:paraId="0EF5E61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其他不符合施工临时用电技术规范的</w:t>
            </w:r>
          </w:p>
        </w:tc>
        <w:tc>
          <w:tcPr>
            <w:tcW w:w="1593" w:type="dxa"/>
            <w:noWrap w:val="0"/>
            <w:vAlign w:val="center"/>
          </w:tcPr>
          <w:p w14:paraId="1343923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500元/处</w:t>
            </w:r>
          </w:p>
        </w:tc>
        <w:tc>
          <w:tcPr>
            <w:tcW w:w="1660" w:type="dxa"/>
            <w:noWrap w:val="0"/>
            <w:vAlign w:val="center"/>
          </w:tcPr>
          <w:p w14:paraId="69F523F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2E48C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315" w:type="dxa"/>
            <w:gridSpan w:val="5"/>
            <w:noWrap w:val="0"/>
            <w:vAlign w:val="center"/>
          </w:tcPr>
          <w:p w14:paraId="54C4EBD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六、消防安全</w:t>
            </w:r>
          </w:p>
        </w:tc>
      </w:tr>
      <w:tr w14:paraId="48A78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002E1F9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117</w:t>
            </w:r>
          </w:p>
        </w:tc>
        <w:tc>
          <w:tcPr>
            <w:tcW w:w="851" w:type="dxa"/>
            <w:noWrap w:val="0"/>
            <w:vAlign w:val="center"/>
          </w:tcPr>
          <w:p w14:paraId="06BEBB1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w:t>
            </w:r>
          </w:p>
        </w:tc>
        <w:tc>
          <w:tcPr>
            <w:tcW w:w="4394" w:type="dxa"/>
            <w:noWrap w:val="0"/>
            <w:vAlign w:val="center"/>
          </w:tcPr>
          <w:p w14:paraId="4FF1AD2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未按规定标准在临建区、施工区配备灭火器材</w:t>
            </w:r>
          </w:p>
        </w:tc>
        <w:tc>
          <w:tcPr>
            <w:tcW w:w="1593" w:type="dxa"/>
            <w:noWrap w:val="0"/>
            <w:vAlign w:val="center"/>
          </w:tcPr>
          <w:p w14:paraId="2EC1FCB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100元/处</w:t>
            </w:r>
          </w:p>
        </w:tc>
        <w:tc>
          <w:tcPr>
            <w:tcW w:w="1660" w:type="dxa"/>
            <w:noWrap w:val="0"/>
            <w:vAlign w:val="center"/>
          </w:tcPr>
          <w:p w14:paraId="34825CF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651B9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0F766BC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118</w:t>
            </w:r>
          </w:p>
        </w:tc>
        <w:tc>
          <w:tcPr>
            <w:tcW w:w="851" w:type="dxa"/>
            <w:noWrap w:val="0"/>
            <w:vAlign w:val="center"/>
          </w:tcPr>
          <w:p w14:paraId="2ABA5F0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w:t>
            </w:r>
          </w:p>
        </w:tc>
        <w:tc>
          <w:tcPr>
            <w:tcW w:w="4394" w:type="dxa"/>
            <w:noWrap w:val="0"/>
            <w:vAlign w:val="center"/>
          </w:tcPr>
          <w:p w14:paraId="339BA85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擅自使用电炉、碘钨灯等高功率电器</w:t>
            </w:r>
          </w:p>
        </w:tc>
        <w:tc>
          <w:tcPr>
            <w:tcW w:w="1593" w:type="dxa"/>
            <w:noWrap w:val="0"/>
            <w:vAlign w:val="center"/>
          </w:tcPr>
          <w:p w14:paraId="417E9D5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500元/处</w:t>
            </w:r>
          </w:p>
        </w:tc>
        <w:tc>
          <w:tcPr>
            <w:tcW w:w="1660" w:type="dxa"/>
            <w:noWrap w:val="0"/>
            <w:vAlign w:val="center"/>
          </w:tcPr>
          <w:p w14:paraId="6458B9B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79FD6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345964C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119</w:t>
            </w:r>
          </w:p>
        </w:tc>
        <w:tc>
          <w:tcPr>
            <w:tcW w:w="851" w:type="dxa"/>
            <w:noWrap w:val="0"/>
            <w:vAlign w:val="center"/>
          </w:tcPr>
          <w:p w14:paraId="4567194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w:t>
            </w:r>
          </w:p>
        </w:tc>
        <w:tc>
          <w:tcPr>
            <w:tcW w:w="4394" w:type="dxa"/>
            <w:noWrap w:val="0"/>
            <w:vAlign w:val="center"/>
          </w:tcPr>
          <w:p w14:paraId="772A7AB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乱接临时用电线路，或电线老化，或存在其他火险隐患</w:t>
            </w:r>
          </w:p>
        </w:tc>
        <w:tc>
          <w:tcPr>
            <w:tcW w:w="1593" w:type="dxa"/>
            <w:noWrap w:val="0"/>
            <w:vAlign w:val="center"/>
          </w:tcPr>
          <w:p w14:paraId="2DA9A66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200元/处</w:t>
            </w:r>
          </w:p>
        </w:tc>
        <w:tc>
          <w:tcPr>
            <w:tcW w:w="1660" w:type="dxa"/>
            <w:noWrap w:val="0"/>
            <w:vAlign w:val="center"/>
          </w:tcPr>
          <w:p w14:paraId="02BE01C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10F0C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7767660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120</w:t>
            </w:r>
          </w:p>
        </w:tc>
        <w:tc>
          <w:tcPr>
            <w:tcW w:w="851" w:type="dxa"/>
            <w:noWrap w:val="0"/>
            <w:vAlign w:val="center"/>
          </w:tcPr>
          <w:p w14:paraId="558F981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4</w:t>
            </w:r>
          </w:p>
        </w:tc>
        <w:tc>
          <w:tcPr>
            <w:tcW w:w="4394" w:type="dxa"/>
            <w:noWrap w:val="0"/>
            <w:vAlign w:val="center"/>
          </w:tcPr>
          <w:p w14:paraId="0DC2208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在禁火区、禁火部位吸烟，或使用火源，或无证动火作业</w:t>
            </w:r>
          </w:p>
        </w:tc>
        <w:tc>
          <w:tcPr>
            <w:tcW w:w="1593" w:type="dxa"/>
            <w:noWrap w:val="0"/>
            <w:vAlign w:val="center"/>
          </w:tcPr>
          <w:p w14:paraId="0A71B17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1000元/次</w:t>
            </w:r>
          </w:p>
        </w:tc>
        <w:tc>
          <w:tcPr>
            <w:tcW w:w="1660" w:type="dxa"/>
            <w:noWrap w:val="0"/>
            <w:vAlign w:val="center"/>
          </w:tcPr>
          <w:p w14:paraId="4B15695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552C5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1AF2C25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121</w:t>
            </w:r>
          </w:p>
        </w:tc>
        <w:tc>
          <w:tcPr>
            <w:tcW w:w="851" w:type="dxa"/>
            <w:noWrap w:val="0"/>
            <w:vAlign w:val="center"/>
          </w:tcPr>
          <w:p w14:paraId="468D8AE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w:t>
            </w:r>
          </w:p>
        </w:tc>
        <w:tc>
          <w:tcPr>
            <w:tcW w:w="4394" w:type="dxa"/>
            <w:noWrap w:val="0"/>
            <w:vAlign w:val="center"/>
          </w:tcPr>
          <w:p w14:paraId="1328958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动火前未按“八不、四要、一清”等相关规定采取防范措施</w:t>
            </w:r>
          </w:p>
        </w:tc>
        <w:tc>
          <w:tcPr>
            <w:tcW w:w="1593" w:type="dxa"/>
            <w:noWrap w:val="0"/>
            <w:vAlign w:val="center"/>
          </w:tcPr>
          <w:p w14:paraId="0BEA143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300元/人·次</w:t>
            </w:r>
          </w:p>
        </w:tc>
        <w:tc>
          <w:tcPr>
            <w:tcW w:w="1660" w:type="dxa"/>
            <w:noWrap w:val="0"/>
            <w:vAlign w:val="center"/>
          </w:tcPr>
          <w:p w14:paraId="75CB842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0379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817" w:type="dxa"/>
            <w:noWrap w:val="0"/>
            <w:vAlign w:val="center"/>
          </w:tcPr>
          <w:p w14:paraId="4A518A3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122</w:t>
            </w:r>
          </w:p>
        </w:tc>
        <w:tc>
          <w:tcPr>
            <w:tcW w:w="851" w:type="dxa"/>
            <w:noWrap w:val="0"/>
            <w:vAlign w:val="center"/>
          </w:tcPr>
          <w:p w14:paraId="597A9A1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6</w:t>
            </w:r>
          </w:p>
        </w:tc>
        <w:tc>
          <w:tcPr>
            <w:tcW w:w="4394" w:type="dxa"/>
            <w:noWrap w:val="0"/>
            <w:vAlign w:val="center"/>
          </w:tcPr>
          <w:p w14:paraId="2FA7F04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动火作业时，监火人员不在现场监督或监督不到位</w:t>
            </w:r>
          </w:p>
        </w:tc>
        <w:tc>
          <w:tcPr>
            <w:tcW w:w="1593" w:type="dxa"/>
            <w:noWrap w:val="0"/>
            <w:vAlign w:val="center"/>
          </w:tcPr>
          <w:p w14:paraId="6B607A5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200元/次</w:t>
            </w:r>
          </w:p>
        </w:tc>
        <w:tc>
          <w:tcPr>
            <w:tcW w:w="1660" w:type="dxa"/>
            <w:noWrap w:val="0"/>
            <w:vAlign w:val="center"/>
          </w:tcPr>
          <w:p w14:paraId="55312F7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3502D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0FB959A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123</w:t>
            </w:r>
          </w:p>
        </w:tc>
        <w:tc>
          <w:tcPr>
            <w:tcW w:w="851" w:type="dxa"/>
            <w:noWrap w:val="0"/>
            <w:vAlign w:val="center"/>
          </w:tcPr>
          <w:p w14:paraId="567AA50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7</w:t>
            </w:r>
          </w:p>
        </w:tc>
        <w:tc>
          <w:tcPr>
            <w:tcW w:w="4394" w:type="dxa"/>
            <w:noWrap w:val="0"/>
            <w:vAlign w:val="center"/>
          </w:tcPr>
          <w:p w14:paraId="4A02277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灭火器未及时进行维护检查，或压力不足</w:t>
            </w:r>
          </w:p>
        </w:tc>
        <w:tc>
          <w:tcPr>
            <w:tcW w:w="1593" w:type="dxa"/>
            <w:noWrap w:val="0"/>
            <w:vAlign w:val="center"/>
          </w:tcPr>
          <w:p w14:paraId="337B846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200元/处</w:t>
            </w:r>
          </w:p>
        </w:tc>
        <w:tc>
          <w:tcPr>
            <w:tcW w:w="1660" w:type="dxa"/>
            <w:noWrap w:val="0"/>
            <w:vAlign w:val="center"/>
          </w:tcPr>
          <w:p w14:paraId="19A3006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32254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45BF8E8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124</w:t>
            </w:r>
          </w:p>
        </w:tc>
        <w:tc>
          <w:tcPr>
            <w:tcW w:w="851" w:type="dxa"/>
            <w:noWrap w:val="0"/>
            <w:vAlign w:val="center"/>
          </w:tcPr>
          <w:p w14:paraId="4505A1B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8</w:t>
            </w:r>
          </w:p>
        </w:tc>
        <w:tc>
          <w:tcPr>
            <w:tcW w:w="4394" w:type="dxa"/>
            <w:noWrap w:val="0"/>
            <w:vAlign w:val="center"/>
          </w:tcPr>
          <w:p w14:paraId="431378D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随意挪用现场固定配置灭火器箱内灭火器</w:t>
            </w:r>
          </w:p>
        </w:tc>
        <w:tc>
          <w:tcPr>
            <w:tcW w:w="1593" w:type="dxa"/>
            <w:noWrap w:val="0"/>
            <w:vAlign w:val="center"/>
          </w:tcPr>
          <w:p w14:paraId="243E60D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200元/处</w:t>
            </w:r>
          </w:p>
        </w:tc>
        <w:tc>
          <w:tcPr>
            <w:tcW w:w="1660" w:type="dxa"/>
            <w:noWrap w:val="0"/>
            <w:vAlign w:val="center"/>
          </w:tcPr>
          <w:p w14:paraId="65EE5AB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0BB4E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2E48DF7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125</w:t>
            </w:r>
          </w:p>
        </w:tc>
        <w:tc>
          <w:tcPr>
            <w:tcW w:w="851" w:type="dxa"/>
            <w:noWrap w:val="0"/>
            <w:vAlign w:val="center"/>
          </w:tcPr>
          <w:p w14:paraId="7264531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9</w:t>
            </w:r>
          </w:p>
        </w:tc>
        <w:tc>
          <w:tcPr>
            <w:tcW w:w="4394" w:type="dxa"/>
            <w:noWrap w:val="0"/>
            <w:vAlign w:val="center"/>
          </w:tcPr>
          <w:p w14:paraId="7C6F91B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组件堆放点未放置足量合格消防设施</w:t>
            </w:r>
          </w:p>
        </w:tc>
        <w:tc>
          <w:tcPr>
            <w:tcW w:w="1593" w:type="dxa"/>
            <w:noWrap w:val="0"/>
            <w:vAlign w:val="center"/>
          </w:tcPr>
          <w:p w14:paraId="50B8A1F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1000元/处·次</w:t>
            </w:r>
          </w:p>
        </w:tc>
        <w:tc>
          <w:tcPr>
            <w:tcW w:w="1660" w:type="dxa"/>
            <w:noWrap w:val="0"/>
            <w:vAlign w:val="center"/>
          </w:tcPr>
          <w:p w14:paraId="013B503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59D42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17" w:type="dxa"/>
            <w:noWrap w:val="0"/>
            <w:vAlign w:val="center"/>
          </w:tcPr>
          <w:p w14:paraId="3DCF2C7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126</w:t>
            </w:r>
          </w:p>
        </w:tc>
        <w:tc>
          <w:tcPr>
            <w:tcW w:w="851" w:type="dxa"/>
            <w:noWrap w:val="0"/>
            <w:vAlign w:val="center"/>
          </w:tcPr>
          <w:p w14:paraId="2C8FFEE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w:t>
            </w:r>
          </w:p>
        </w:tc>
        <w:tc>
          <w:tcPr>
            <w:tcW w:w="4394" w:type="dxa"/>
            <w:noWrap w:val="0"/>
            <w:vAlign w:val="center"/>
          </w:tcPr>
          <w:p w14:paraId="7E57C7F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消防沙固结，无法取用</w:t>
            </w:r>
          </w:p>
        </w:tc>
        <w:tc>
          <w:tcPr>
            <w:tcW w:w="1593" w:type="dxa"/>
            <w:noWrap w:val="0"/>
            <w:vAlign w:val="center"/>
          </w:tcPr>
          <w:p w14:paraId="63C6168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200元/处</w:t>
            </w:r>
          </w:p>
        </w:tc>
        <w:tc>
          <w:tcPr>
            <w:tcW w:w="1660" w:type="dxa"/>
            <w:noWrap w:val="0"/>
            <w:vAlign w:val="center"/>
          </w:tcPr>
          <w:p w14:paraId="1D8FABE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55E51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5EC9835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127</w:t>
            </w:r>
          </w:p>
        </w:tc>
        <w:tc>
          <w:tcPr>
            <w:tcW w:w="851" w:type="dxa"/>
            <w:noWrap w:val="0"/>
            <w:vAlign w:val="center"/>
          </w:tcPr>
          <w:p w14:paraId="6ADB0FE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11</w:t>
            </w:r>
          </w:p>
        </w:tc>
        <w:tc>
          <w:tcPr>
            <w:tcW w:w="4394" w:type="dxa"/>
            <w:noWrap w:val="0"/>
            <w:vAlign w:val="center"/>
          </w:tcPr>
          <w:p w14:paraId="4A9610E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消防桶、消防铲、消防斧等破损、缺失</w:t>
            </w:r>
          </w:p>
        </w:tc>
        <w:tc>
          <w:tcPr>
            <w:tcW w:w="1593" w:type="dxa"/>
            <w:noWrap w:val="0"/>
            <w:vAlign w:val="center"/>
          </w:tcPr>
          <w:p w14:paraId="594BD0E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200元/处</w:t>
            </w:r>
          </w:p>
        </w:tc>
        <w:tc>
          <w:tcPr>
            <w:tcW w:w="1660" w:type="dxa"/>
            <w:noWrap w:val="0"/>
            <w:vAlign w:val="center"/>
          </w:tcPr>
          <w:p w14:paraId="076B74B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00177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315" w:type="dxa"/>
            <w:gridSpan w:val="5"/>
            <w:noWrap w:val="0"/>
            <w:vAlign w:val="center"/>
          </w:tcPr>
          <w:p w14:paraId="4C86F1A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七、气瓶安全</w:t>
            </w:r>
          </w:p>
        </w:tc>
      </w:tr>
      <w:tr w14:paraId="1D5B4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1351804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128</w:t>
            </w:r>
          </w:p>
        </w:tc>
        <w:tc>
          <w:tcPr>
            <w:tcW w:w="851" w:type="dxa"/>
            <w:noWrap w:val="0"/>
            <w:vAlign w:val="center"/>
          </w:tcPr>
          <w:p w14:paraId="12F7240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w:t>
            </w:r>
          </w:p>
        </w:tc>
        <w:tc>
          <w:tcPr>
            <w:tcW w:w="4394" w:type="dxa"/>
            <w:noWrap w:val="0"/>
            <w:vAlign w:val="center"/>
          </w:tcPr>
          <w:p w14:paraId="00FFA86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气瓶安全附件（防震圈、瓶帽、减压阀、压力表、回火阀等）不全</w:t>
            </w:r>
          </w:p>
        </w:tc>
        <w:tc>
          <w:tcPr>
            <w:tcW w:w="1593" w:type="dxa"/>
            <w:noWrap w:val="0"/>
            <w:vAlign w:val="center"/>
          </w:tcPr>
          <w:p w14:paraId="391ED3F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200元/个</w:t>
            </w:r>
          </w:p>
        </w:tc>
        <w:tc>
          <w:tcPr>
            <w:tcW w:w="1660" w:type="dxa"/>
            <w:noWrap w:val="0"/>
            <w:vAlign w:val="center"/>
          </w:tcPr>
          <w:p w14:paraId="3B88140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540A4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817" w:type="dxa"/>
            <w:noWrap w:val="0"/>
            <w:vAlign w:val="center"/>
          </w:tcPr>
          <w:p w14:paraId="41647CA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129</w:t>
            </w:r>
          </w:p>
        </w:tc>
        <w:tc>
          <w:tcPr>
            <w:tcW w:w="851" w:type="dxa"/>
            <w:noWrap w:val="0"/>
            <w:vAlign w:val="center"/>
          </w:tcPr>
          <w:p w14:paraId="73E4CB5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w:t>
            </w:r>
          </w:p>
        </w:tc>
        <w:tc>
          <w:tcPr>
            <w:tcW w:w="4394" w:type="dxa"/>
            <w:noWrap w:val="0"/>
            <w:vAlign w:val="center"/>
          </w:tcPr>
          <w:p w14:paraId="7E0BCED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使用中的乙炔气瓶未垂直放置，氧气瓶与乙炔瓶相距小于5米，气瓶与动火施工地点距离小于10米，且无隔离措施</w:t>
            </w:r>
          </w:p>
        </w:tc>
        <w:tc>
          <w:tcPr>
            <w:tcW w:w="1593" w:type="dxa"/>
            <w:noWrap w:val="0"/>
            <w:vAlign w:val="center"/>
          </w:tcPr>
          <w:p w14:paraId="456DE50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w:t>
            </w:r>
          </w:p>
        </w:tc>
        <w:tc>
          <w:tcPr>
            <w:tcW w:w="1660" w:type="dxa"/>
            <w:noWrap w:val="0"/>
            <w:vAlign w:val="center"/>
          </w:tcPr>
          <w:p w14:paraId="1757021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25119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17" w:type="dxa"/>
            <w:noWrap w:val="0"/>
            <w:vAlign w:val="center"/>
          </w:tcPr>
          <w:p w14:paraId="4B096EE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130</w:t>
            </w:r>
          </w:p>
        </w:tc>
        <w:tc>
          <w:tcPr>
            <w:tcW w:w="851" w:type="dxa"/>
            <w:noWrap w:val="0"/>
            <w:vAlign w:val="center"/>
          </w:tcPr>
          <w:p w14:paraId="61C601C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w:t>
            </w:r>
          </w:p>
        </w:tc>
        <w:tc>
          <w:tcPr>
            <w:tcW w:w="4394" w:type="dxa"/>
            <w:noWrap w:val="0"/>
            <w:vAlign w:val="center"/>
          </w:tcPr>
          <w:p w14:paraId="378530A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气瓶无防倾倒、防曝晒措施</w:t>
            </w:r>
          </w:p>
        </w:tc>
        <w:tc>
          <w:tcPr>
            <w:tcW w:w="1593" w:type="dxa"/>
            <w:noWrap w:val="0"/>
            <w:vAlign w:val="center"/>
          </w:tcPr>
          <w:p w14:paraId="0C0856E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w:t>
            </w:r>
          </w:p>
        </w:tc>
        <w:tc>
          <w:tcPr>
            <w:tcW w:w="1660" w:type="dxa"/>
            <w:noWrap w:val="0"/>
            <w:vAlign w:val="center"/>
          </w:tcPr>
          <w:p w14:paraId="4551ECE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634CA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62A40EA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131</w:t>
            </w:r>
          </w:p>
        </w:tc>
        <w:tc>
          <w:tcPr>
            <w:tcW w:w="851" w:type="dxa"/>
            <w:noWrap w:val="0"/>
            <w:vAlign w:val="center"/>
          </w:tcPr>
          <w:p w14:paraId="3BAF3E7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4</w:t>
            </w:r>
          </w:p>
        </w:tc>
        <w:tc>
          <w:tcPr>
            <w:tcW w:w="4394" w:type="dxa"/>
            <w:noWrap w:val="0"/>
            <w:vAlign w:val="center"/>
          </w:tcPr>
          <w:p w14:paraId="6857CB8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氧气、乙炔瓶混装、混放、混吊运</w:t>
            </w:r>
          </w:p>
        </w:tc>
        <w:tc>
          <w:tcPr>
            <w:tcW w:w="1593" w:type="dxa"/>
            <w:noWrap w:val="0"/>
            <w:vAlign w:val="center"/>
          </w:tcPr>
          <w:p w14:paraId="0E3A3E6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w:t>
            </w:r>
          </w:p>
        </w:tc>
        <w:tc>
          <w:tcPr>
            <w:tcW w:w="1660" w:type="dxa"/>
            <w:noWrap w:val="0"/>
            <w:vAlign w:val="center"/>
          </w:tcPr>
          <w:p w14:paraId="6A4FCC9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500A9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25B5D40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132</w:t>
            </w:r>
          </w:p>
        </w:tc>
        <w:tc>
          <w:tcPr>
            <w:tcW w:w="851" w:type="dxa"/>
            <w:noWrap w:val="0"/>
            <w:vAlign w:val="center"/>
          </w:tcPr>
          <w:p w14:paraId="31B5F91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w:t>
            </w:r>
          </w:p>
        </w:tc>
        <w:tc>
          <w:tcPr>
            <w:tcW w:w="4394" w:type="dxa"/>
            <w:noWrap w:val="0"/>
            <w:vAlign w:val="center"/>
          </w:tcPr>
          <w:p w14:paraId="09832E8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未办理危化品临时存放许可证</w:t>
            </w:r>
          </w:p>
        </w:tc>
        <w:tc>
          <w:tcPr>
            <w:tcW w:w="1593" w:type="dxa"/>
            <w:noWrap w:val="0"/>
            <w:vAlign w:val="center"/>
          </w:tcPr>
          <w:p w14:paraId="12A3C20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300元/次</w:t>
            </w:r>
          </w:p>
        </w:tc>
        <w:tc>
          <w:tcPr>
            <w:tcW w:w="1660" w:type="dxa"/>
            <w:noWrap w:val="0"/>
            <w:vAlign w:val="center"/>
          </w:tcPr>
          <w:p w14:paraId="0D90E94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0F914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17" w:type="dxa"/>
            <w:noWrap w:val="0"/>
            <w:vAlign w:val="center"/>
          </w:tcPr>
          <w:p w14:paraId="621FDDF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133</w:t>
            </w:r>
          </w:p>
        </w:tc>
        <w:tc>
          <w:tcPr>
            <w:tcW w:w="851" w:type="dxa"/>
            <w:noWrap w:val="0"/>
            <w:vAlign w:val="center"/>
          </w:tcPr>
          <w:p w14:paraId="742C44C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6</w:t>
            </w:r>
          </w:p>
        </w:tc>
        <w:tc>
          <w:tcPr>
            <w:tcW w:w="4394" w:type="dxa"/>
            <w:noWrap w:val="0"/>
            <w:vAlign w:val="center"/>
          </w:tcPr>
          <w:p w14:paraId="7D34A3C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气瓶超限存放</w:t>
            </w:r>
          </w:p>
        </w:tc>
        <w:tc>
          <w:tcPr>
            <w:tcW w:w="1593" w:type="dxa"/>
            <w:noWrap w:val="0"/>
            <w:vAlign w:val="center"/>
          </w:tcPr>
          <w:p w14:paraId="02CCA3E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500元/瓶</w:t>
            </w:r>
          </w:p>
        </w:tc>
        <w:tc>
          <w:tcPr>
            <w:tcW w:w="1660" w:type="dxa"/>
            <w:noWrap w:val="0"/>
            <w:vAlign w:val="center"/>
          </w:tcPr>
          <w:p w14:paraId="3E61C5E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334C1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315" w:type="dxa"/>
            <w:gridSpan w:val="5"/>
            <w:noWrap w:val="0"/>
            <w:vAlign w:val="center"/>
          </w:tcPr>
          <w:p w14:paraId="7103B45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八、焊接、切割作业</w:t>
            </w:r>
          </w:p>
        </w:tc>
      </w:tr>
      <w:tr w14:paraId="13A92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50A3CC6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134</w:t>
            </w:r>
          </w:p>
        </w:tc>
        <w:tc>
          <w:tcPr>
            <w:tcW w:w="851" w:type="dxa"/>
            <w:noWrap w:val="0"/>
            <w:vAlign w:val="center"/>
          </w:tcPr>
          <w:p w14:paraId="28F35D8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w:t>
            </w:r>
          </w:p>
        </w:tc>
        <w:tc>
          <w:tcPr>
            <w:tcW w:w="4394" w:type="dxa"/>
            <w:noWrap w:val="0"/>
            <w:vAlign w:val="center"/>
          </w:tcPr>
          <w:p w14:paraId="0A6A582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未办理动火作业票，且作业中无监护人</w:t>
            </w:r>
          </w:p>
        </w:tc>
        <w:tc>
          <w:tcPr>
            <w:tcW w:w="1593" w:type="dxa"/>
            <w:noWrap w:val="0"/>
            <w:vAlign w:val="center"/>
          </w:tcPr>
          <w:p w14:paraId="4887205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200元/次</w:t>
            </w:r>
          </w:p>
        </w:tc>
        <w:tc>
          <w:tcPr>
            <w:tcW w:w="1660" w:type="dxa"/>
            <w:noWrap w:val="0"/>
            <w:vAlign w:val="center"/>
          </w:tcPr>
          <w:p w14:paraId="0B2AB36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76F26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34AB9E8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135</w:t>
            </w:r>
          </w:p>
        </w:tc>
        <w:tc>
          <w:tcPr>
            <w:tcW w:w="851" w:type="dxa"/>
            <w:noWrap w:val="0"/>
            <w:vAlign w:val="center"/>
          </w:tcPr>
          <w:p w14:paraId="55AB291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w:t>
            </w:r>
          </w:p>
        </w:tc>
        <w:tc>
          <w:tcPr>
            <w:tcW w:w="4394" w:type="dxa"/>
            <w:noWrap w:val="0"/>
            <w:vAlign w:val="center"/>
          </w:tcPr>
          <w:p w14:paraId="01640AF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电源线、焊接电缆与电焊机接线处不符合要求</w:t>
            </w:r>
          </w:p>
        </w:tc>
        <w:tc>
          <w:tcPr>
            <w:tcW w:w="1593" w:type="dxa"/>
            <w:noWrap w:val="0"/>
            <w:vAlign w:val="center"/>
          </w:tcPr>
          <w:p w14:paraId="50B1306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200元/台·次</w:t>
            </w:r>
          </w:p>
        </w:tc>
        <w:tc>
          <w:tcPr>
            <w:tcW w:w="1660" w:type="dxa"/>
            <w:noWrap w:val="0"/>
            <w:vAlign w:val="center"/>
          </w:tcPr>
          <w:p w14:paraId="0DBA9AC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53566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4D2AFFA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136</w:t>
            </w:r>
          </w:p>
        </w:tc>
        <w:tc>
          <w:tcPr>
            <w:tcW w:w="851" w:type="dxa"/>
            <w:noWrap w:val="0"/>
            <w:vAlign w:val="center"/>
          </w:tcPr>
          <w:p w14:paraId="0C731EB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w:t>
            </w:r>
          </w:p>
        </w:tc>
        <w:tc>
          <w:tcPr>
            <w:tcW w:w="4394" w:type="dxa"/>
            <w:noWrap w:val="0"/>
            <w:vAlign w:val="center"/>
          </w:tcPr>
          <w:p w14:paraId="32CF3E7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一次线长度超过3m，二次线长度超过30m，二次线接头超过3个</w:t>
            </w:r>
          </w:p>
        </w:tc>
        <w:tc>
          <w:tcPr>
            <w:tcW w:w="1593" w:type="dxa"/>
            <w:noWrap w:val="0"/>
            <w:vAlign w:val="center"/>
          </w:tcPr>
          <w:p w14:paraId="2E785E4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200元/台·处</w:t>
            </w:r>
          </w:p>
        </w:tc>
        <w:tc>
          <w:tcPr>
            <w:tcW w:w="1660" w:type="dxa"/>
            <w:noWrap w:val="0"/>
            <w:vAlign w:val="center"/>
          </w:tcPr>
          <w:p w14:paraId="38E14CA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7969A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5B055E3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137</w:t>
            </w:r>
          </w:p>
        </w:tc>
        <w:tc>
          <w:tcPr>
            <w:tcW w:w="851" w:type="dxa"/>
            <w:noWrap w:val="0"/>
            <w:vAlign w:val="center"/>
          </w:tcPr>
          <w:p w14:paraId="4AD6AE7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4</w:t>
            </w:r>
          </w:p>
        </w:tc>
        <w:tc>
          <w:tcPr>
            <w:tcW w:w="4394" w:type="dxa"/>
            <w:noWrap w:val="0"/>
            <w:vAlign w:val="center"/>
          </w:tcPr>
          <w:p w14:paraId="1FF29C0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雨雪等恶劣天气室外焊接作业无可靠防护措施</w:t>
            </w:r>
          </w:p>
        </w:tc>
        <w:tc>
          <w:tcPr>
            <w:tcW w:w="1593" w:type="dxa"/>
            <w:noWrap w:val="0"/>
            <w:vAlign w:val="center"/>
          </w:tcPr>
          <w:p w14:paraId="190CDAD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200元/处</w:t>
            </w:r>
          </w:p>
        </w:tc>
        <w:tc>
          <w:tcPr>
            <w:tcW w:w="1660" w:type="dxa"/>
            <w:noWrap w:val="0"/>
            <w:vAlign w:val="center"/>
          </w:tcPr>
          <w:p w14:paraId="40ACA59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71F1D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5E0D027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138</w:t>
            </w:r>
          </w:p>
        </w:tc>
        <w:tc>
          <w:tcPr>
            <w:tcW w:w="851" w:type="dxa"/>
            <w:noWrap w:val="0"/>
            <w:vAlign w:val="center"/>
          </w:tcPr>
          <w:p w14:paraId="0CD5D46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w:t>
            </w:r>
          </w:p>
        </w:tc>
        <w:tc>
          <w:tcPr>
            <w:tcW w:w="4394" w:type="dxa"/>
            <w:noWrap w:val="0"/>
            <w:vAlign w:val="center"/>
          </w:tcPr>
          <w:p w14:paraId="01A7E45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焊接、打磨和金属切割作业未采取有效的防止火星、熔渣飞溅措施</w:t>
            </w:r>
          </w:p>
        </w:tc>
        <w:tc>
          <w:tcPr>
            <w:tcW w:w="1593" w:type="dxa"/>
            <w:noWrap w:val="0"/>
            <w:vAlign w:val="center"/>
          </w:tcPr>
          <w:p w14:paraId="702D69A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300元/处</w:t>
            </w:r>
          </w:p>
        </w:tc>
        <w:tc>
          <w:tcPr>
            <w:tcW w:w="1660" w:type="dxa"/>
            <w:noWrap w:val="0"/>
            <w:vAlign w:val="center"/>
          </w:tcPr>
          <w:p w14:paraId="3FBEC13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0DDE2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817" w:type="dxa"/>
            <w:noWrap w:val="0"/>
            <w:vAlign w:val="center"/>
          </w:tcPr>
          <w:p w14:paraId="76286CF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139</w:t>
            </w:r>
          </w:p>
        </w:tc>
        <w:tc>
          <w:tcPr>
            <w:tcW w:w="851" w:type="dxa"/>
            <w:noWrap w:val="0"/>
            <w:vAlign w:val="center"/>
          </w:tcPr>
          <w:p w14:paraId="5BE48B1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6</w:t>
            </w:r>
          </w:p>
        </w:tc>
        <w:tc>
          <w:tcPr>
            <w:tcW w:w="4394" w:type="dxa"/>
            <w:noWrap w:val="0"/>
            <w:vAlign w:val="center"/>
          </w:tcPr>
          <w:p w14:paraId="378E1CA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不按规范要求从事焊接、切割作业（包括但不限于：未经审批、无证人员作业、无灭火器等）</w:t>
            </w:r>
          </w:p>
        </w:tc>
        <w:tc>
          <w:tcPr>
            <w:tcW w:w="1593" w:type="dxa"/>
            <w:noWrap w:val="0"/>
            <w:vAlign w:val="center"/>
          </w:tcPr>
          <w:p w14:paraId="06EC690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w:t>
            </w:r>
          </w:p>
        </w:tc>
        <w:tc>
          <w:tcPr>
            <w:tcW w:w="1660" w:type="dxa"/>
            <w:noWrap w:val="0"/>
            <w:vAlign w:val="center"/>
          </w:tcPr>
          <w:p w14:paraId="0F39F5A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190B5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315" w:type="dxa"/>
            <w:gridSpan w:val="5"/>
            <w:noWrap w:val="0"/>
            <w:vAlign w:val="center"/>
          </w:tcPr>
          <w:p w14:paraId="0623901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九、土石方工程</w:t>
            </w:r>
          </w:p>
        </w:tc>
      </w:tr>
      <w:tr w14:paraId="12884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19D44B3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141</w:t>
            </w:r>
          </w:p>
        </w:tc>
        <w:tc>
          <w:tcPr>
            <w:tcW w:w="851" w:type="dxa"/>
            <w:noWrap w:val="0"/>
            <w:vAlign w:val="center"/>
          </w:tcPr>
          <w:p w14:paraId="34006F9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w:t>
            </w:r>
          </w:p>
        </w:tc>
        <w:tc>
          <w:tcPr>
            <w:tcW w:w="4394" w:type="dxa"/>
            <w:noWrap w:val="0"/>
            <w:vAlign w:val="center"/>
          </w:tcPr>
          <w:p w14:paraId="5DE41FC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施工方案未经过报审批，擅自开始施工作业</w:t>
            </w:r>
          </w:p>
        </w:tc>
        <w:tc>
          <w:tcPr>
            <w:tcW w:w="1593" w:type="dxa"/>
            <w:noWrap w:val="0"/>
            <w:vAlign w:val="center"/>
          </w:tcPr>
          <w:p w14:paraId="2CC66BC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w:t>
            </w:r>
          </w:p>
        </w:tc>
        <w:tc>
          <w:tcPr>
            <w:tcW w:w="1660" w:type="dxa"/>
            <w:noWrap w:val="0"/>
            <w:vAlign w:val="center"/>
          </w:tcPr>
          <w:p w14:paraId="292A864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2CE95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0812A4B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142</w:t>
            </w:r>
          </w:p>
        </w:tc>
        <w:tc>
          <w:tcPr>
            <w:tcW w:w="851" w:type="dxa"/>
            <w:noWrap w:val="0"/>
            <w:vAlign w:val="center"/>
          </w:tcPr>
          <w:p w14:paraId="1671FC0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w:t>
            </w:r>
          </w:p>
        </w:tc>
        <w:tc>
          <w:tcPr>
            <w:tcW w:w="4394" w:type="dxa"/>
            <w:noWrap w:val="0"/>
            <w:vAlign w:val="center"/>
          </w:tcPr>
          <w:p w14:paraId="6478372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施工现场上下通道、临边防护等安全防护措施不符合要求</w:t>
            </w:r>
          </w:p>
        </w:tc>
        <w:tc>
          <w:tcPr>
            <w:tcW w:w="1593" w:type="dxa"/>
            <w:noWrap w:val="0"/>
            <w:vAlign w:val="center"/>
          </w:tcPr>
          <w:p w14:paraId="4EC8A27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500元/处</w:t>
            </w:r>
          </w:p>
        </w:tc>
        <w:tc>
          <w:tcPr>
            <w:tcW w:w="1660" w:type="dxa"/>
            <w:noWrap w:val="0"/>
            <w:vAlign w:val="center"/>
          </w:tcPr>
          <w:p w14:paraId="58C86AC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00D28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552D991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143</w:t>
            </w:r>
          </w:p>
        </w:tc>
        <w:tc>
          <w:tcPr>
            <w:tcW w:w="851" w:type="dxa"/>
            <w:noWrap w:val="0"/>
            <w:vAlign w:val="center"/>
          </w:tcPr>
          <w:p w14:paraId="5AE88DE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w:t>
            </w:r>
          </w:p>
        </w:tc>
        <w:tc>
          <w:tcPr>
            <w:tcW w:w="4394" w:type="dxa"/>
            <w:noWrap w:val="0"/>
            <w:vAlign w:val="center"/>
          </w:tcPr>
          <w:p w14:paraId="4259037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深度超过1.5米的槽、坑、沟边缘2米以内堆土、堆料、停置机具</w:t>
            </w:r>
          </w:p>
        </w:tc>
        <w:tc>
          <w:tcPr>
            <w:tcW w:w="1593" w:type="dxa"/>
            <w:noWrap w:val="0"/>
            <w:vAlign w:val="center"/>
          </w:tcPr>
          <w:p w14:paraId="22C7D9E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200元/次</w:t>
            </w:r>
          </w:p>
        </w:tc>
        <w:tc>
          <w:tcPr>
            <w:tcW w:w="1660" w:type="dxa"/>
            <w:noWrap w:val="0"/>
            <w:vAlign w:val="center"/>
          </w:tcPr>
          <w:p w14:paraId="03AAAF7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246D9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817" w:type="dxa"/>
            <w:noWrap w:val="0"/>
            <w:vAlign w:val="center"/>
          </w:tcPr>
          <w:p w14:paraId="27E68A7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144</w:t>
            </w:r>
          </w:p>
        </w:tc>
        <w:tc>
          <w:tcPr>
            <w:tcW w:w="851" w:type="dxa"/>
            <w:noWrap w:val="0"/>
            <w:vAlign w:val="center"/>
          </w:tcPr>
          <w:p w14:paraId="5223D41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4</w:t>
            </w:r>
          </w:p>
        </w:tc>
        <w:tc>
          <w:tcPr>
            <w:tcW w:w="4394" w:type="dxa"/>
            <w:noWrap w:val="0"/>
            <w:vAlign w:val="center"/>
          </w:tcPr>
          <w:p w14:paraId="6E45B3A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开挖槽、坑、沟深度超过1.5m，未按规定放坡或设置可靠支撑；危险处，夜间未设红色标志灯</w:t>
            </w:r>
          </w:p>
        </w:tc>
        <w:tc>
          <w:tcPr>
            <w:tcW w:w="1593" w:type="dxa"/>
            <w:noWrap w:val="0"/>
            <w:vAlign w:val="center"/>
          </w:tcPr>
          <w:p w14:paraId="36EDF29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1000元/处</w:t>
            </w:r>
          </w:p>
        </w:tc>
        <w:tc>
          <w:tcPr>
            <w:tcW w:w="1660" w:type="dxa"/>
            <w:noWrap w:val="0"/>
            <w:vAlign w:val="center"/>
          </w:tcPr>
          <w:p w14:paraId="75C8541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3FF7D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3D02518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145</w:t>
            </w:r>
          </w:p>
        </w:tc>
        <w:tc>
          <w:tcPr>
            <w:tcW w:w="851" w:type="dxa"/>
            <w:noWrap w:val="0"/>
            <w:vAlign w:val="center"/>
          </w:tcPr>
          <w:p w14:paraId="66DE35D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w:t>
            </w:r>
          </w:p>
        </w:tc>
        <w:tc>
          <w:tcPr>
            <w:tcW w:w="4394" w:type="dxa"/>
            <w:noWrap w:val="0"/>
            <w:vAlign w:val="center"/>
          </w:tcPr>
          <w:p w14:paraId="7B8AD69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当采用机械挖土时，机械旋转半径内有人</w:t>
            </w:r>
          </w:p>
        </w:tc>
        <w:tc>
          <w:tcPr>
            <w:tcW w:w="1593" w:type="dxa"/>
            <w:noWrap w:val="0"/>
            <w:vAlign w:val="center"/>
          </w:tcPr>
          <w:p w14:paraId="004EEC8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200元/人·次</w:t>
            </w:r>
          </w:p>
        </w:tc>
        <w:tc>
          <w:tcPr>
            <w:tcW w:w="1660" w:type="dxa"/>
            <w:noWrap w:val="0"/>
            <w:vAlign w:val="center"/>
          </w:tcPr>
          <w:p w14:paraId="23AB82C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1343D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6F41FA9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146</w:t>
            </w:r>
          </w:p>
        </w:tc>
        <w:tc>
          <w:tcPr>
            <w:tcW w:w="851" w:type="dxa"/>
            <w:noWrap w:val="0"/>
            <w:vAlign w:val="center"/>
          </w:tcPr>
          <w:p w14:paraId="4EE1D6F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6</w:t>
            </w:r>
          </w:p>
        </w:tc>
        <w:tc>
          <w:tcPr>
            <w:tcW w:w="4394" w:type="dxa"/>
            <w:noWrap w:val="0"/>
            <w:vAlign w:val="center"/>
          </w:tcPr>
          <w:p w14:paraId="30652FA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土质不符合施工要求，有坍塌危险，且未采取可靠措施，内部有人施工，</w:t>
            </w:r>
          </w:p>
        </w:tc>
        <w:tc>
          <w:tcPr>
            <w:tcW w:w="1593" w:type="dxa"/>
            <w:noWrap w:val="0"/>
            <w:vAlign w:val="center"/>
          </w:tcPr>
          <w:p w14:paraId="466A418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5000元/次</w:t>
            </w:r>
          </w:p>
        </w:tc>
        <w:tc>
          <w:tcPr>
            <w:tcW w:w="1660" w:type="dxa"/>
            <w:noWrap w:val="0"/>
            <w:vAlign w:val="center"/>
          </w:tcPr>
          <w:p w14:paraId="131743F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61BDB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1C66E82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147</w:t>
            </w:r>
          </w:p>
        </w:tc>
        <w:tc>
          <w:tcPr>
            <w:tcW w:w="851" w:type="dxa"/>
            <w:noWrap w:val="0"/>
            <w:vAlign w:val="center"/>
          </w:tcPr>
          <w:p w14:paraId="5E2EA76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7</w:t>
            </w:r>
          </w:p>
        </w:tc>
        <w:tc>
          <w:tcPr>
            <w:tcW w:w="4394" w:type="dxa"/>
            <w:noWrap w:val="0"/>
            <w:vAlign w:val="center"/>
          </w:tcPr>
          <w:p w14:paraId="524A693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深度超过3米深基坑土方开挖，边坡未修挡水沿或未设置集水坑</w:t>
            </w:r>
          </w:p>
        </w:tc>
        <w:tc>
          <w:tcPr>
            <w:tcW w:w="1593" w:type="dxa"/>
            <w:noWrap w:val="0"/>
            <w:vAlign w:val="center"/>
          </w:tcPr>
          <w:p w14:paraId="338105C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300元/处</w:t>
            </w:r>
          </w:p>
        </w:tc>
        <w:tc>
          <w:tcPr>
            <w:tcW w:w="1660" w:type="dxa"/>
            <w:noWrap w:val="0"/>
            <w:vAlign w:val="center"/>
          </w:tcPr>
          <w:p w14:paraId="355C1C0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024F7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315" w:type="dxa"/>
            <w:gridSpan w:val="5"/>
            <w:noWrap w:val="0"/>
            <w:vAlign w:val="center"/>
          </w:tcPr>
          <w:p w14:paraId="0CF30FA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十、脚手架</w:t>
            </w:r>
          </w:p>
        </w:tc>
      </w:tr>
      <w:tr w14:paraId="32ACB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2473F2B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148</w:t>
            </w:r>
          </w:p>
        </w:tc>
        <w:tc>
          <w:tcPr>
            <w:tcW w:w="851" w:type="dxa"/>
            <w:noWrap w:val="0"/>
            <w:vAlign w:val="center"/>
          </w:tcPr>
          <w:p w14:paraId="67BF5BF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w:t>
            </w:r>
          </w:p>
        </w:tc>
        <w:tc>
          <w:tcPr>
            <w:tcW w:w="4394" w:type="dxa"/>
            <w:noWrap w:val="0"/>
            <w:vAlign w:val="center"/>
          </w:tcPr>
          <w:p w14:paraId="4D75837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无脚手架搭设方案和交底，未执行搭设方案和交底</w:t>
            </w:r>
          </w:p>
        </w:tc>
        <w:tc>
          <w:tcPr>
            <w:tcW w:w="1593" w:type="dxa"/>
            <w:noWrap w:val="0"/>
            <w:vAlign w:val="center"/>
          </w:tcPr>
          <w:p w14:paraId="51283E5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500元/次·天</w:t>
            </w:r>
          </w:p>
        </w:tc>
        <w:tc>
          <w:tcPr>
            <w:tcW w:w="1660" w:type="dxa"/>
            <w:noWrap w:val="0"/>
            <w:vAlign w:val="center"/>
          </w:tcPr>
          <w:p w14:paraId="7C81691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停工整改</w:t>
            </w:r>
          </w:p>
        </w:tc>
      </w:tr>
      <w:tr w14:paraId="1A956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17D7AC9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149</w:t>
            </w:r>
          </w:p>
        </w:tc>
        <w:tc>
          <w:tcPr>
            <w:tcW w:w="851" w:type="dxa"/>
            <w:noWrap w:val="0"/>
            <w:vAlign w:val="center"/>
          </w:tcPr>
          <w:p w14:paraId="6ED8810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w:t>
            </w:r>
          </w:p>
        </w:tc>
        <w:tc>
          <w:tcPr>
            <w:tcW w:w="4394" w:type="dxa"/>
            <w:noWrap w:val="0"/>
            <w:vAlign w:val="center"/>
          </w:tcPr>
          <w:p w14:paraId="6DDB086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架杆、架板、扣件有折裂、腐蚀、变形、机械损伤等情况，不符合规范要求</w:t>
            </w:r>
          </w:p>
        </w:tc>
        <w:tc>
          <w:tcPr>
            <w:tcW w:w="1593" w:type="dxa"/>
            <w:noWrap w:val="0"/>
            <w:vAlign w:val="center"/>
          </w:tcPr>
          <w:p w14:paraId="3588EF1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200元/处</w:t>
            </w:r>
          </w:p>
        </w:tc>
        <w:tc>
          <w:tcPr>
            <w:tcW w:w="1660" w:type="dxa"/>
            <w:noWrap w:val="0"/>
            <w:vAlign w:val="center"/>
          </w:tcPr>
          <w:p w14:paraId="0140A96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1A6C7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17" w:type="dxa"/>
            <w:noWrap w:val="0"/>
            <w:vAlign w:val="center"/>
          </w:tcPr>
          <w:p w14:paraId="27736FE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150</w:t>
            </w:r>
          </w:p>
        </w:tc>
        <w:tc>
          <w:tcPr>
            <w:tcW w:w="851" w:type="dxa"/>
            <w:noWrap w:val="0"/>
            <w:vAlign w:val="center"/>
          </w:tcPr>
          <w:p w14:paraId="795FC3A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w:t>
            </w:r>
          </w:p>
        </w:tc>
        <w:tc>
          <w:tcPr>
            <w:tcW w:w="4394" w:type="dxa"/>
            <w:noWrap w:val="0"/>
            <w:vAlign w:val="center"/>
          </w:tcPr>
          <w:p w14:paraId="354EFDF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脚手架安拆作业时抛掷物件</w:t>
            </w:r>
          </w:p>
        </w:tc>
        <w:tc>
          <w:tcPr>
            <w:tcW w:w="1593" w:type="dxa"/>
            <w:noWrap w:val="0"/>
            <w:vAlign w:val="center"/>
          </w:tcPr>
          <w:p w14:paraId="7C9324C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200元/次</w:t>
            </w:r>
          </w:p>
        </w:tc>
        <w:tc>
          <w:tcPr>
            <w:tcW w:w="1660" w:type="dxa"/>
            <w:noWrap w:val="0"/>
            <w:vAlign w:val="center"/>
          </w:tcPr>
          <w:p w14:paraId="585BA09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517A4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6CB72E1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151</w:t>
            </w:r>
          </w:p>
        </w:tc>
        <w:tc>
          <w:tcPr>
            <w:tcW w:w="851" w:type="dxa"/>
            <w:noWrap w:val="0"/>
            <w:vAlign w:val="center"/>
          </w:tcPr>
          <w:p w14:paraId="3A57A8D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4</w:t>
            </w:r>
          </w:p>
        </w:tc>
        <w:tc>
          <w:tcPr>
            <w:tcW w:w="4394" w:type="dxa"/>
            <w:noWrap w:val="0"/>
            <w:vAlign w:val="center"/>
          </w:tcPr>
          <w:p w14:paraId="4A914BF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脚手架上堆放易坠落的物品无防坠落措施，</w:t>
            </w:r>
          </w:p>
        </w:tc>
        <w:tc>
          <w:tcPr>
            <w:tcW w:w="1593" w:type="dxa"/>
            <w:noWrap w:val="0"/>
            <w:vAlign w:val="center"/>
          </w:tcPr>
          <w:p w14:paraId="118C341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200元/处</w:t>
            </w:r>
          </w:p>
        </w:tc>
        <w:tc>
          <w:tcPr>
            <w:tcW w:w="1660" w:type="dxa"/>
            <w:noWrap w:val="0"/>
            <w:vAlign w:val="center"/>
          </w:tcPr>
          <w:p w14:paraId="49E88B9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507F8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51EFBA4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152</w:t>
            </w:r>
          </w:p>
        </w:tc>
        <w:tc>
          <w:tcPr>
            <w:tcW w:w="851" w:type="dxa"/>
            <w:noWrap w:val="0"/>
            <w:vAlign w:val="center"/>
          </w:tcPr>
          <w:p w14:paraId="0AE739F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w:t>
            </w:r>
          </w:p>
        </w:tc>
        <w:tc>
          <w:tcPr>
            <w:tcW w:w="4394" w:type="dxa"/>
            <w:noWrap w:val="0"/>
            <w:vAlign w:val="center"/>
          </w:tcPr>
          <w:p w14:paraId="192FAC2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使用中的脚手板的铺设、固定、搭接不符合要求，或使用单跳板作业</w:t>
            </w:r>
          </w:p>
        </w:tc>
        <w:tc>
          <w:tcPr>
            <w:tcW w:w="1593" w:type="dxa"/>
            <w:noWrap w:val="0"/>
            <w:vAlign w:val="center"/>
          </w:tcPr>
          <w:p w14:paraId="2882CC3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500元/处</w:t>
            </w:r>
          </w:p>
        </w:tc>
        <w:tc>
          <w:tcPr>
            <w:tcW w:w="1660" w:type="dxa"/>
            <w:noWrap w:val="0"/>
            <w:vAlign w:val="center"/>
          </w:tcPr>
          <w:p w14:paraId="39F4D20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5DD79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4FA9FA4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153</w:t>
            </w:r>
          </w:p>
        </w:tc>
        <w:tc>
          <w:tcPr>
            <w:tcW w:w="851" w:type="dxa"/>
            <w:noWrap w:val="0"/>
            <w:vAlign w:val="center"/>
          </w:tcPr>
          <w:p w14:paraId="0E57000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6</w:t>
            </w:r>
          </w:p>
        </w:tc>
        <w:tc>
          <w:tcPr>
            <w:tcW w:w="4394" w:type="dxa"/>
            <w:noWrap w:val="0"/>
            <w:vAlign w:val="center"/>
          </w:tcPr>
          <w:p w14:paraId="18FA311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使用中的脚手架外侧、斜道和平台未按要求设置栏杆和挡脚板</w:t>
            </w:r>
          </w:p>
        </w:tc>
        <w:tc>
          <w:tcPr>
            <w:tcW w:w="1593" w:type="dxa"/>
            <w:noWrap w:val="0"/>
            <w:vAlign w:val="center"/>
          </w:tcPr>
          <w:p w14:paraId="1C26F21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200元/次</w:t>
            </w:r>
          </w:p>
        </w:tc>
        <w:tc>
          <w:tcPr>
            <w:tcW w:w="1660" w:type="dxa"/>
            <w:noWrap w:val="0"/>
            <w:vAlign w:val="center"/>
          </w:tcPr>
          <w:p w14:paraId="5A5F929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5B9F9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28BB5ED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154</w:t>
            </w:r>
          </w:p>
        </w:tc>
        <w:tc>
          <w:tcPr>
            <w:tcW w:w="851" w:type="dxa"/>
            <w:noWrap w:val="0"/>
            <w:vAlign w:val="center"/>
          </w:tcPr>
          <w:p w14:paraId="4A4E9A9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7</w:t>
            </w:r>
          </w:p>
        </w:tc>
        <w:tc>
          <w:tcPr>
            <w:tcW w:w="4394" w:type="dxa"/>
            <w:noWrap w:val="0"/>
            <w:vAlign w:val="center"/>
          </w:tcPr>
          <w:p w14:paraId="79CEDD6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使用中的脚手架未按要求设置上下安全通道</w:t>
            </w:r>
          </w:p>
        </w:tc>
        <w:tc>
          <w:tcPr>
            <w:tcW w:w="1593" w:type="dxa"/>
            <w:noWrap w:val="0"/>
            <w:vAlign w:val="center"/>
          </w:tcPr>
          <w:p w14:paraId="60383F2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500元/处</w:t>
            </w:r>
          </w:p>
        </w:tc>
        <w:tc>
          <w:tcPr>
            <w:tcW w:w="1660" w:type="dxa"/>
            <w:noWrap w:val="0"/>
            <w:vAlign w:val="center"/>
          </w:tcPr>
          <w:p w14:paraId="5DF71F6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2B122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5E5194C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155</w:t>
            </w:r>
          </w:p>
        </w:tc>
        <w:tc>
          <w:tcPr>
            <w:tcW w:w="851" w:type="dxa"/>
            <w:noWrap w:val="0"/>
            <w:vAlign w:val="center"/>
          </w:tcPr>
          <w:p w14:paraId="171E094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8</w:t>
            </w:r>
          </w:p>
        </w:tc>
        <w:tc>
          <w:tcPr>
            <w:tcW w:w="4394" w:type="dxa"/>
            <w:noWrap w:val="0"/>
            <w:vAlign w:val="center"/>
          </w:tcPr>
          <w:p w14:paraId="758AC6A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未按规定验收或验收不合格便擅自使用</w:t>
            </w:r>
          </w:p>
        </w:tc>
        <w:tc>
          <w:tcPr>
            <w:tcW w:w="1593" w:type="dxa"/>
            <w:noWrap w:val="0"/>
            <w:vAlign w:val="center"/>
          </w:tcPr>
          <w:p w14:paraId="660C7CF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1000元/次</w:t>
            </w:r>
          </w:p>
        </w:tc>
        <w:tc>
          <w:tcPr>
            <w:tcW w:w="1660" w:type="dxa"/>
            <w:noWrap w:val="0"/>
            <w:vAlign w:val="center"/>
          </w:tcPr>
          <w:p w14:paraId="4DAB51E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0174D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09DC0F2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156</w:t>
            </w:r>
          </w:p>
        </w:tc>
        <w:tc>
          <w:tcPr>
            <w:tcW w:w="851" w:type="dxa"/>
            <w:noWrap w:val="0"/>
            <w:vAlign w:val="center"/>
          </w:tcPr>
          <w:p w14:paraId="6FE0C9F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9</w:t>
            </w:r>
          </w:p>
        </w:tc>
        <w:tc>
          <w:tcPr>
            <w:tcW w:w="4394" w:type="dxa"/>
            <w:noWrap w:val="0"/>
            <w:vAlign w:val="center"/>
          </w:tcPr>
          <w:p w14:paraId="5D71B47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验收合格未挂设脚手架验收合格牌</w:t>
            </w:r>
          </w:p>
        </w:tc>
        <w:tc>
          <w:tcPr>
            <w:tcW w:w="1593" w:type="dxa"/>
            <w:noWrap w:val="0"/>
            <w:vAlign w:val="center"/>
          </w:tcPr>
          <w:p w14:paraId="7B691B6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200元/处</w:t>
            </w:r>
          </w:p>
        </w:tc>
        <w:tc>
          <w:tcPr>
            <w:tcW w:w="1660" w:type="dxa"/>
            <w:noWrap w:val="0"/>
            <w:vAlign w:val="center"/>
          </w:tcPr>
          <w:p w14:paraId="527700B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14868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7D30033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157</w:t>
            </w:r>
          </w:p>
        </w:tc>
        <w:tc>
          <w:tcPr>
            <w:tcW w:w="851" w:type="dxa"/>
            <w:noWrap w:val="0"/>
            <w:vAlign w:val="center"/>
          </w:tcPr>
          <w:p w14:paraId="0A75E3B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w:t>
            </w:r>
          </w:p>
        </w:tc>
        <w:tc>
          <w:tcPr>
            <w:tcW w:w="4394" w:type="dxa"/>
            <w:noWrap w:val="0"/>
            <w:vAlign w:val="center"/>
          </w:tcPr>
          <w:p w14:paraId="26A1F2D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脚手架载荷不均匀或载荷超过其承载能力</w:t>
            </w:r>
          </w:p>
        </w:tc>
        <w:tc>
          <w:tcPr>
            <w:tcW w:w="1593" w:type="dxa"/>
            <w:noWrap w:val="0"/>
            <w:vAlign w:val="center"/>
          </w:tcPr>
          <w:p w14:paraId="19BCD25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500元/处</w:t>
            </w:r>
          </w:p>
        </w:tc>
        <w:tc>
          <w:tcPr>
            <w:tcW w:w="1660" w:type="dxa"/>
            <w:noWrap w:val="0"/>
            <w:vAlign w:val="center"/>
          </w:tcPr>
          <w:p w14:paraId="4148295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60906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5C9C168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158</w:t>
            </w:r>
          </w:p>
        </w:tc>
        <w:tc>
          <w:tcPr>
            <w:tcW w:w="851" w:type="dxa"/>
            <w:noWrap w:val="0"/>
            <w:vAlign w:val="center"/>
          </w:tcPr>
          <w:p w14:paraId="33D0456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11</w:t>
            </w:r>
          </w:p>
        </w:tc>
        <w:tc>
          <w:tcPr>
            <w:tcW w:w="4394" w:type="dxa"/>
            <w:noWrap w:val="0"/>
            <w:vAlign w:val="center"/>
          </w:tcPr>
          <w:p w14:paraId="37390FA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脚手架垫板不符合要求，跨距不符合要求</w:t>
            </w:r>
          </w:p>
        </w:tc>
        <w:tc>
          <w:tcPr>
            <w:tcW w:w="1593" w:type="dxa"/>
            <w:noWrap w:val="0"/>
            <w:vAlign w:val="center"/>
          </w:tcPr>
          <w:p w14:paraId="4DEEA0B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500/处</w:t>
            </w:r>
          </w:p>
        </w:tc>
        <w:tc>
          <w:tcPr>
            <w:tcW w:w="1660" w:type="dxa"/>
            <w:noWrap w:val="0"/>
            <w:vAlign w:val="center"/>
          </w:tcPr>
          <w:p w14:paraId="6EB88A0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7E77D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0AC7CCB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159</w:t>
            </w:r>
          </w:p>
        </w:tc>
        <w:tc>
          <w:tcPr>
            <w:tcW w:w="851" w:type="dxa"/>
            <w:noWrap w:val="0"/>
            <w:vAlign w:val="center"/>
          </w:tcPr>
          <w:p w14:paraId="62C8F91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12</w:t>
            </w:r>
          </w:p>
        </w:tc>
        <w:tc>
          <w:tcPr>
            <w:tcW w:w="4394" w:type="dxa"/>
            <w:noWrap w:val="0"/>
            <w:vAlign w:val="center"/>
          </w:tcPr>
          <w:p w14:paraId="6745D79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脚手架搭设、拆除作业现场没有设置安全警戒区域</w:t>
            </w:r>
          </w:p>
        </w:tc>
        <w:tc>
          <w:tcPr>
            <w:tcW w:w="1593" w:type="dxa"/>
            <w:noWrap w:val="0"/>
            <w:vAlign w:val="center"/>
          </w:tcPr>
          <w:p w14:paraId="5740EA4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500元/处</w:t>
            </w:r>
          </w:p>
        </w:tc>
        <w:tc>
          <w:tcPr>
            <w:tcW w:w="1660" w:type="dxa"/>
            <w:noWrap w:val="0"/>
            <w:vAlign w:val="center"/>
          </w:tcPr>
          <w:p w14:paraId="72EB3CE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6F89B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817" w:type="dxa"/>
            <w:noWrap w:val="0"/>
            <w:vAlign w:val="center"/>
          </w:tcPr>
          <w:p w14:paraId="1E12E86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160</w:t>
            </w:r>
          </w:p>
        </w:tc>
        <w:tc>
          <w:tcPr>
            <w:tcW w:w="851" w:type="dxa"/>
            <w:noWrap w:val="0"/>
            <w:vAlign w:val="center"/>
          </w:tcPr>
          <w:p w14:paraId="06AA0ED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13</w:t>
            </w:r>
          </w:p>
        </w:tc>
        <w:tc>
          <w:tcPr>
            <w:tcW w:w="4394" w:type="dxa"/>
            <w:noWrap w:val="0"/>
            <w:vAlign w:val="center"/>
          </w:tcPr>
          <w:p w14:paraId="6258AAE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长期在场使用的脚手架，未按规定进行定期检查，或未挂设脚手架信息牌，或信息不准确</w:t>
            </w:r>
          </w:p>
        </w:tc>
        <w:tc>
          <w:tcPr>
            <w:tcW w:w="1593" w:type="dxa"/>
            <w:noWrap w:val="0"/>
            <w:vAlign w:val="center"/>
          </w:tcPr>
          <w:p w14:paraId="18F32B5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500元/处</w:t>
            </w:r>
          </w:p>
        </w:tc>
        <w:tc>
          <w:tcPr>
            <w:tcW w:w="1660" w:type="dxa"/>
            <w:noWrap w:val="0"/>
            <w:vAlign w:val="center"/>
          </w:tcPr>
          <w:p w14:paraId="4A3785C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35128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31C4365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161</w:t>
            </w:r>
          </w:p>
        </w:tc>
        <w:tc>
          <w:tcPr>
            <w:tcW w:w="851" w:type="dxa"/>
            <w:noWrap w:val="0"/>
            <w:vAlign w:val="center"/>
          </w:tcPr>
          <w:p w14:paraId="5F28718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14</w:t>
            </w:r>
          </w:p>
        </w:tc>
        <w:tc>
          <w:tcPr>
            <w:tcW w:w="4394" w:type="dxa"/>
            <w:noWrap w:val="0"/>
            <w:vAlign w:val="center"/>
          </w:tcPr>
          <w:p w14:paraId="10B1664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脚手架作业层作业通道不畅通</w:t>
            </w:r>
          </w:p>
        </w:tc>
        <w:tc>
          <w:tcPr>
            <w:tcW w:w="1593" w:type="dxa"/>
            <w:noWrap w:val="0"/>
            <w:vAlign w:val="center"/>
          </w:tcPr>
          <w:p w14:paraId="67FE6A6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200元/处</w:t>
            </w:r>
          </w:p>
        </w:tc>
        <w:tc>
          <w:tcPr>
            <w:tcW w:w="1660" w:type="dxa"/>
            <w:noWrap w:val="0"/>
            <w:vAlign w:val="center"/>
          </w:tcPr>
          <w:p w14:paraId="480B727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7DBBD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817" w:type="dxa"/>
            <w:noWrap w:val="0"/>
            <w:vAlign w:val="center"/>
          </w:tcPr>
          <w:p w14:paraId="2D010BC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162</w:t>
            </w:r>
          </w:p>
        </w:tc>
        <w:tc>
          <w:tcPr>
            <w:tcW w:w="851" w:type="dxa"/>
            <w:noWrap w:val="0"/>
            <w:vAlign w:val="center"/>
          </w:tcPr>
          <w:p w14:paraId="60CD3F0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15</w:t>
            </w:r>
          </w:p>
        </w:tc>
        <w:tc>
          <w:tcPr>
            <w:tcW w:w="4394" w:type="dxa"/>
            <w:noWrap w:val="0"/>
            <w:vAlign w:val="center"/>
          </w:tcPr>
          <w:p w14:paraId="030755A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导致脚手架倒塌的</w:t>
            </w:r>
          </w:p>
        </w:tc>
        <w:tc>
          <w:tcPr>
            <w:tcW w:w="1593" w:type="dxa"/>
            <w:noWrap w:val="0"/>
            <w:vAlign w:val="center"/>
          </w:tcPr>
          <w:p w14:paraId="586DA37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10000元/次</w:t>
            </w:r>
          </w:p>
        </w:tc>
        <w:tc>
          <w:tcPr>
            <w:tcW w:w="1660" w:type="dxa"/>
            <w:noWrap w:val="0"/>
            <w:vAlign w:val="center"/>
          </w:tcPr>
          <w:p w14:paraId="6EC8F72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造成事故者依法追究法律责任</w:t>
            </w:r>
          </w:p>
        </w:tc>
      </w:tr>
      <w:tr w14:paraId="271F6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57EC198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163</w:t>
            </w:r>
          </w:p>
        </w:tc>
        <w:tc>
          <w:tcPr>
            <w:tcW w:w="851" w:type="dxa"/>
            <w:noWrap w:val="0"/>
            <w:vAlign w:val="center"/>
          </w:tcPr>
          <w:p w14:paraId="51D6922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16</w:t>
            </w:r>
          </w:p>
        </w:tc>
        <w:tc>
          <w:tcPr>
            <w:tcW w:w="4394" w:type="dxa"/>
            <w:noWrap w:val="0"/>
            <w:vAlign w:val="center"/>
          </w:tcPr>
          <w:p w14:paraId="5229B7C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其他脚手架搭设不符合安全技术规范要求，或不符合方案、交底内容</w:t>
            </w:r>
          </w:p>
        </w:tc>
        <w:tc>
          <w:tcPr>
            <w:tcW w:w="1593" w:type="dxa"/>
            <w:noWrap w:val="0"/>
            <w:vAlign w:val="center"/>
          </w:tcPr>
          <w:p w14:paraId="36D0F16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500元/处</w:t>
            </w:r>
          </w:p>
        </w:tc>
        <w:tc>
          <w:tcPr>
            <w:tcW w:w="1660" w:type="dxa"/>
            <w:noWrap w:val="0"/>
            <w:vAlign w:val="center"/>
          </w:tcPr>
          <w:p w14:paraId="1F8D404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0FF4C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1DBFFBD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164</w:t>
            </w:r>
          </w:p>
        </w:tc>
        <w:tc>
          <w:tcPr>
            <w:tcW w:w="851" w:type="dxa"/>
            <w:noWrap w:val="0"/>
            <w:vAlign w:val="center"/>
          </w:tcPr>
          <w:p w14:paraId="4E78C50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17</w:t>
            </w:r>
          </w:p>
        </w:tc>
        <w:tc>
          <w:tcPr>
            <w:tcW w:w="4394" w:type="dxa"/>
            <w:noWrap w:val="0"/>
            <w:vAlign w:val="center"/>
          </w:tcPr>
          <w:p w14:paraId="756F459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脚手架安装、拆除过程中存在其他重大安全隐患的</w:t>
            </w:r>
          </w:p>
        </w:tc>
        <w:tc>
          <w:tcPr>
            <w:tcW w:w="1593" w:type="dxa"/>
            <w:noWrap w:val="0"/>
            <w:vAlign w:val="center"/>
          </w:tcPr>
          <w:p w14:paraId="52E7BB5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500-2000元/处</w:t>
            </w:r>
          </w:p>
        </w:tc>
        <w:tc>
          <w:tcPr>
            <w:tcW w:w="1660" w:type="dxa"/>
            <w:noWrap w:val="0"/>
            <w:vAlign w:val="center"/>
          </w:tcPr>
          <w:p w14:paraId="331C932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59BC4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315" w:type="dxa"/>
            <w:gridSpan w:val="5"/>
            <w:noWrap w:val="0"/>
            <w:vAlign w:val="center"/>
          </w:tcPr>
          <w:p w14:paraId="0C9A588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十一、起重作业</w:t>
            </w:r>
          </w:p>
        </w:tc>
      </w:tr>
      <w:tr w14:paraId="36EB0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817" w:type="dxa"/>
            <w:noWrap w:val="0"/>
            <w:vAlign w:val="center"/>
          </w:tcPr>
          <w:p w14:paraId="1247FFA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165</w:t>
            </w:r>
          </w:p>
        </w:tc>
        <w:tc>
          <w:tcPr>
            <w:tcW w:w="851" w:type="dxa"/>
            <w:noWrap w:val="0"/>
            <w:vAlign w:val="center"/>
          </w:tcPr>
          <w:p w14:paraId="7F42392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w:t>
            </w:r>
          </w:p>
        </w:tc>
        <w:tc>
          <w:tcPr>
            <w:tcW w:w="4394" w:type="dxa"/>
            <w:noWrap w:val="0"/>
            <w:vAlign w:val="center"/>
          </w:tcPr>
          <w:p w14:paraId="4BC7C5A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无专项施工方案或专项施工方案未批复的情况下，擅自进行起重机械安装、拆卸或大件设备吊装工作</w:t>
            </w:r>
          </w:p>
        </w:tc>
        <w:tc>
          <w:tcPr>
            <w:tcW w:w="1593" w:type="dxa"/>
            <w:noWrap w:val="0"/>
            <w:vAlign w:val="center"/>
          </w:tcPr>
          <w:p w14:paraId="673F37F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w:t>
            </w:r>
          </w:p>
        </w:tc>
        <w:tc>
          <w:tcPr>
            <w:tcW w:w="1660" w:type="dxa"/>
            <w:noWrap w:val="0"/>
            <w:vAlign w:val="center"/>
          </w:tcPr>
          <w:p w14:paraId="0B39364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00F6A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1178E78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166</w:t>
            </w:r>
          </w:p>
        </w:tc>
        <w:tc>
          <w:tcPr>
            <w:tcW w:w="851" w:type="dxa"/>
            <w:noWrap w:val="0"/>
            <w:vAlign w:val="center"/>
          </w:tcPr>
          <w:p w14:paraId="442D268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w:t>
            </w:r>
          </w:p>
        </w:tc>
        <w:tc>
          <w:tcPr>
            <w:tcW w:w="4394" w:type="dxa"/>
            <w:noWrap w:val="0"/>
            <w:vAlign w:val="center"/>
          </w:tcPr>
          <w:p w14:paraId="1E98AFA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起重机械安装、拆拆卸或大件设备吊装过程中作业人员违反施工方案规定</w:t>
            </w:r>
          </w:p>
        </w:tc>
        <w:tc>
          <w:tcPr>
            <w:tcW w:w="1593" w:type="dxa"/>
            <w:noWrap w:val="0"/>
            <w:vAlign w:val="center"/>
          </w:tcPr>
          <w:p w14:paraId="2ED6EC9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w:t>
            </w:r>
          </w:p>
        </w:tc>
        <w:tc>
          <w:tcPr>
            <w:tcW w:w="1660" w:type="dxa"/>
            <w:noWrap w:val="0"/>
            <w:vAlign w:val="center"/>
          </w:tcPr>
          <w:p w14:paraId="768BF8E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06FAE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7911D64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167</w:t>
            </w:r>
          </w:p>
        </w:tc>
        <w:tc>
          <w:tcPr>
            <w:tcW w:w="851" w:type="dxa"/>
            <w:noWrap w:val="0"/>
            <w:vAlign w:val="center"/>
          </w:tcPr>
          <w:p w14:paraId="0AB1F4C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w:t>
            </w:r>
          </w:p>
        </w:tc>
        <w:tc>
          <w:tcPr>
            <w:tcW w:w="4394" w:type="dxa"/>
            <w:noWrap w:val="0"/>
            <w:vAlign w:val="center"/>
          </w:tcPr>
          <w:p w14:paraId="3A79BE7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起吊重物悬在空中，操作人、指挥等擅自离开</w:t>
            </w:r>
          </w:p>
        </w:tc>
        <w:tc>
          <w:tcPr>
            <w:tcW w:w="1593" w:type="dxa"/>
            <w:noWrap w:val="0"/>
            <w:vAlign w:val="center"/>
          </w:tcPr>
          <w:p w14:paraId="688AF70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w:t>
            </w:r>
          </w:p>
        </w:tc>
        <w:tc>
          <w:tcPr>
            <w:tcW w:w="1660" w:type="dxa"/>
            <w:noWrap w:val="0"/>
            <w:vAlign w:val="center"/>
          </w:tcPr>
          <w:p w14:paraId="08770FD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3C6C5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7282393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168</w:t>
            </w:r>
          </w:p>
        </w:tc>
        <w:tc>
          <w:tcPr>
            <w:tcW w:w="851" w:type="dxa"/>
            <w:noWrap w:val="0"/>
            <w:vAlign w:val="center"/>
          </w:tcPr>
          <w:p w14:paraId="2868468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4</w:t>
            </w:r>
          </w:p>
        </w:tc>
        <w:tc>
          <w:tcPr>
            <w:tcW w:w="4394" w:type="dxa"/>
            <w:noWrap w:val="0"/>
            <w:vAlign w:val="center"/>
          </w:tcPr>
          <w:p w14:paraId="6D77011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起重机械未取得合法的使用许可证前投入使用或未经报审批擅自进场作业</w:t>
            </w:r>
          </w:p>
        </w:tc>
        <w:tc>
          <w:tcPr>
            <w:tcW w:w="1593" w:type="dxa"/>
            <w:noWrap w:val="0"/>
            <w:vAlign w:val="center"/>
          </w:tcPr>
          <w:p w14:paraId="65495DB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w:t>
            </w:r>
          </w:p>
        </w:tc>
        <w:tc>
          <w:tcPr>
            <w:tcW w:w="1660" w:type="dxa"/>
            <w:noWrap w:val="0"/>
            <w:vAlign w:val="center"/>
          </w:tcPr>
          <w:p w14:paraId="5AD90D3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586DD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0" w:hRule="atLeast"/>
        </w:trPr>
        <w:tc>
          <w:tcPr>
            <w:tcW w:w="817" w:type="dxa"/>
            <w:noWrap w:val="0"/>
            <w:vAlign w:val="center"/>
          </w:tcPr>
          <w:p w14:paraId="6520B6A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169</w:t>
            </w:r>
          </w:p>
        </w:tc>
        <w:tc>
          <w:tcPr>
            <w:tcW w:w="851" w:type="dxa"/>
            <w:noWrap w:val="0"/>
            <w:vAlign w:val="center"/>
          </w:tcPr>
          <w:p w14:paraId="3369CDB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w:t>
            </w:r>
          </w:p>
        </w:tc>
        <w:tc>
          <w:tcPr>
            <w:tcW w:w="4394" w:type="dxa"/>
            <w:noWrap w:val="0"/>
            <w:vAlign w:val="center"/>
          </w:tcPr>
          <w:p w14:paraId="0DA7E4F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违反“十不吊”相关安全管理规定（包含但不限于：使用起重机械时超载起吊；指挥信号不明，重量不明，光线暗淡起吊；吊索和对象捆绑不牢，不符合安全要求起吊；歪拉斜挂起吊；工件上站人或浮放活动物起吊；埋地物品起吊；违章指挥起吊；带有棱角快口物件没垫好起吊；超过六级以上强风起吊；行车吊挂重物直接进行加工等）</w:t>
            </w:r>
          </w:p>
        </w:tc>
        <w:tc>
          <w:tcPr>
            <w:tcW w:w="1593" w:type="dxa"/>
            <w:noWrap w:val="0"/>
            <w:vAlign w:val="center"/>
          </w:tcPr>
          <w:p w14:paraId="4FB4123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1000元/项</w:t>
            </w:r>
          </w:p>
        </w:tc>
        <w:tc>
          <w:tcPr>
            <w:tcW w:w="1660" w:type="dxa"/>
            <w:noWrap w:val="0"/>
            <w:vAlign w:val="center"/>
          </w:tcPr>
          <w:p w14:paraId="753DECF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42655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79B3E9B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170</w:t>
            </w:r>
          </w:p>
        </w:tc>
        <w:tc>
          <w:tcPr>
            <w:tcW w:w="851" w:type="dxa"/>
            <w:noWrap w:val="0"/>
            <w:vAlign w:val="center"/>
          </w:tcPr>
          <w:p w14:paraId="1107962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6</w:t>
            </w:r>
          </w:p>
        </w:tc>
        <w:tc>
          <w:tcPr>
            <w:tcW w:w="4394" w:type="dxa"/>
            <w:noWrap w:val="0"/>
            <w:vAlign w:val="center"/>
          </w:tcPr>
          <w:p w14:paraId="0C471AD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起重吊装作业区域未挂设警示带进行警示隔离</w:t>
            </w:r>
          </w:p>
        </w:tc>
        <w:tc>
          <w:tcPr>
            <w:tcW w:w="1593" w:type="dxa"/>
            <w:noWrap w:val="0"/>
            <w:vAlign w:val="center"/>
          </w:tcPr>
          <w:p w14:paraId="54632D0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200元/处</w:t>
            </w:r>
          </w:p>
        </w:tc>
        <w:tc>
          <w:tcPr>
            <w:tcW w:w="1660" w:type="dxa"/>
            <w:noWrap w:val="0"/>
            <w:vAlign w:val="center"/>
          </w:tcPr>
          <w:p w14:paraId="03A8FE5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6D9DC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082FDCB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171</w:t>
            </w:r>
          </w:p>
        </w:tc>
        <w:tc>
          <w:tcPr>
            <w:tcW w:w="851" w:type="dxa"/>
            <w:noWrap w:val="0"/>
            <w:vAlign w:val="center"/>
          </w:tcPr>
          <w:p w14:paraId="501BEE4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7</w:t>
            </w:r>
          </w:p>
        </w:tc>
        <w:tc>
          <w:tcPr>
            <w:tcW w:w="4394" w:type="dxa"/>
            <w:noWrap w:val="0"/>
            <w:vAlign w:val="center"/>
          </w:tcPr>
          <w:p w14:paraId="0A6286A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利用现场栏杆、管道等作为吊点进行起重吊装作业</w:t>
            </w:r>
          </w:p>
        </w:tc>
        <w:tc>
          <w:tcPr>
            <w:tcW w:w="1593" w:type="dxa"/>
            <w:noWrap w:val="0"/>
            <w:vAlign w:val="center"/>
          </w:tcPr>
          <w:p w14:paraId="6B97820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w:t>
            </w:r>
          </w:p>
        </w:tc>
        <w:tc>
          <w:tcPr>
            <w:tcW w:w="1660" w:type="dxa"/>
            <w:noWrap w:val="0"/>
            <w:vAlign w:val="center"/>
          </w:tcPr>
          <w:p w14:paraId="661CA2B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590BF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28F6F5C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172</w:t>
            </w:r>
          </w:p>
        </w:tc>
        <w:tc>
          <w:tcPr>
            <w:tcW w:w="851" w:type="dxa"/>
            <w:noWrap w:val="0"/>
            <w:vAlign w:val="center"/>
          </w:tcPr>
          <w:p w14:paraId="0C51A6A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8</w:t>
            </w:r>
          </w:p>
        </w:tc>
        <w:tc>
          <w:tcPr>
            <w:tcW w:w="4394" w:type="dxa"/>
            <w:noWrap w:val="0"/>
            <w:vAlign w:val="center"/>
          </w:tcPr>
          <w:p w14:paraId="3528EFB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使用不合格钢丝绳或吊装带起吊重物</w:t>
            </w:r>
          </w:p>
        </w:tc>
        <w:tc>
          <w:tcPr>
            <w:tcW w:w="1593" w:type="dxa"/>
            <w:noWrap w:val="0"/>
            <w:vAlign w:val="center"/>
          </w:tcPr>
          <w:p w14:paraId="27746EC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w:t>
            </w:r>
          </w:p>
        </w:tc>
        <w:tc>
          <w:tcPr>
            <w:tcW w:w="1660" w:type="dxa"/>
            <w:noWrap w:val="0"/>
            <w:vAlign w:val="center"/>
          </w:tcPr>
          <w:p w14:paraId="7EF635B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79A90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17" w:type="dxa"/>
            <w:noWrap w:val="0"/>
            <w:vAlign w:val="center"/>
          </w:tcPr>
          <w:p w14:paraId="0406E27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173</w:t>
            </w:r>
          </w:p>
        </w:tc>
        <w:tc>
          <w:tcPr>
            <w:tcW w:w="851" w:type="dxa"/>
            <w:noWrap w:val="0"/>
            <w:vAlign w:val="center"/>
          </w:tcPr>
          <w:p w14:paraId="47A0436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9</w:t>
            </w:r>
          </w:p>
        </w:tc>
        <w:tc>
          <w:tcPr>
            <w:tcW w:w="4394" w:type="dxa"/>
            <w:noWrap w:val="0"/>
            <w:vAlign w:val="center"/>
          </w:tcPr>
          <w:p w14:paraId="67013C7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其他违反起重吊装作业规定的</w:t>
            </w:r>
          </w:p>
        </w:tc>
        <w:tc>
          <w:tcPr>
            <w:tcW w:w="1593" w:type="dxa"/>
            <w:noWrap w:val="0"/>
            <w:vAlign w:val="center"/>
          </w:tcPr>
          <w:p w14:paraId="05DA029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500-1000元/次</w:t>
            </w:r>
          </w:p>
        </w:tc>
        <w:tc>
          <w:tcPr>
            <w:tcW w:w="1660" w:type="dxa"/>
            <w:noWrap w:val="0"/>
            <w:vAlign w:val="center"/>
          </w:tcPr>
          <w:p w14:paraId="4EC0AF7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7CA37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3B2B7A1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174</w:t>
            </w:r>
          </w:p>
        </w:tc>
        <w:tc>
          <w:tcPr>
            <w:tcW w:w="851" w:type="dxa"/>
            <w:noWrap w:val="0"/>
            <w:vAlign w:val="center"/>
          </w:tcPr>
          <w:p w14:paraId="2FD5638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w:t>
            </w:r>
          </w:p>
        </w:tc>
        <w:tc>
          <w:tcPr>
            <w:tcW w:w="4394" w:type="dxa"/>
            <w:noWrap w:val="0"/>
            <w:vAlign w:val="center"/>
          </w:tcPr>
          <w:p w14:paraId="6A571CD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违反规定，经劝阻拒不停工的</w:t>
            </w:r>
          </w:p>
        </w:tc>
        <w:tc>
          <w:tcPr>
            <w:tcW w:w="1593" w:type="dxa"/>
            <w:noWrap w:val="0"/>
            <w:vAlign w:val="center"/>
          </w:tcPr>
          <w:p w14:paraId="1FB6DFB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5000元/次</w:t>
            </w:r>
          </w:p>
        </w:tc>
        <w:tc>
          <w:tcPr>
            <w:tcW w:w="1660" w:type="dxa"/>
            <w:noWrap w:val="0"/>
            <w:vAlign w:val="center"/>
          </w:tcPr>
          <w:p w14:paraId="226D216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60883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315" w:type="dxa"/>
            <w:gridSpan w:val="5"/>
            <w:noWrap w:val="0"/>
            <w:vAlign w:val="center"/>
          </w:tcPr>
          <w:p w14:paraId="4F91AEB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十二、高处作业</w:t>
            </w:r>
          </w:p>
        </w:tc>
      </w:tr>
      <w:tr w14:paraId="7DC87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817" w:type="dxa"/>
            <w:noWrap w:val="0"/>
            <w:vAlign w:val="center"/>
          </w:tcPr>
          <w:p w14:paraId="6A334E1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175</w:t>
            </w:r>
          </w:p>
        </w:tc>
        <w:tc>
          <w:tcPr>
            <w:tcW w:w="851" w:type="dxa"/>
            <w:noWrap w:val="0"/>
            <w:vAlign w:val="center"/>
          </w:tcPr>
          <w:p w14:paraId="0C29667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w:t>
            </w:r>
          </w:p>
        </w:tc>
        <w:tc>
          <w:tcPr>
            <w:tcW w:w="4394" w:type="dxa"/>
            <w:noWrap w:val="0"/>
            <w:vAlign w:val="center"/>
          </w:tcPr>
          <w:p w14:paraId="4DD5061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高处作业人员不用绳索传递工具、材料，随手上下抛掷东西，或高空作业的工器具无防坠落措施，且经制止未立即整改</w:t>
            </w:r>
          </w:p>
        </w:tc>
        <w:tc>
          <w:tcPr>
            <w:tcW w:w="1593" w:type="dxa"/>
            <w:noWrap w:val="0"/>
            <w:vAlign w:val="center"/>
          </w:tcPr>
          <w:p w14:paraId="688A9BE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500元/人·次</w:t>
            </w:r>
          </w:p>
        </w:tc>
        <w:tc>
          <w:tcPr>
            <w:tcW w:w="1660" w:type="dxa"/>
            <w:noWrap w:val="0"/>
            <w:vAlign w:val="center"/>
          </w:tcPr>
          <w:p w14:paraId="1854F6D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2F14A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34C4486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176</w:t>
            </w:r>
          </w:p>
        </w:tc>
        <w:tc>
          <w:tcPr>
            <w:tcW w:w="851" w:type="dxa"/>
            <w:noWrap w:val="0"/>
            <w:vAlign w:val="center"/>
          </w:tcPr>
          <w:p w14:paraId="702ACE7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w:t>
            </w:r>
          </w:p>
        </w:tc>
        <w:tc>
          <w:tcPr>
            <w:tcW w:w="4394" w:type="dxa"/>
            <w:noWrap w:val="0"/>
            <w:vAlign w:val="center"/>
          </w:tcPr>
          <w:p w14:paraId="43D8C68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登高作业未穿防滑鞋</w:t>
            </w:r>
          </w:p>
        </w:tc>
        <w:tc>
          <w:tcPr>
            <w:tcW w:w="1593" w:type="dxa"/>
            <w:noWrap w:val="0"/>
            <w:vAlign w:val="center"/>
          </w:tcPr>
          <w:p w14:paraId="1ACC31E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200元/人·次</w:t>
            </w:r>
          </w:p>
        </w:tc>
        <w:tc>
          <w:tcPr>
            <w:tcW w:w="1660" w:type="dxa"/>
            <w:noWrap w:val="0"/>
            <w:vAlign w:val="center"/>
          </w:tcPr>
          <w:p w14:paraId="28D075B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61843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817" w:type="dxa"/>
            <w:noWrap w:val="0"/>
            <w:vAlign w:val="center"/>
          </w:tcPr>
          <w:p w14:paraId="44D73B4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177</w:t>
            </w:r>
          </w:p>
        </w:tc>
        <w:tc>
          <w:tcPr>
            <w:tcW w:w="851" w:type="dxa"/>
            <w:noWrap w:val="0"/>
            <w:vAlign w:val="center"/>
          </w:tcPr>
          <w:p w14:paraId="7AF4210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w:t>
            </w:r>
          </w:p>
        </w:tc>
        <w:tc>
          <w:tcPr>
            <w:tcW w:w="4394" w:type="dxa"/>
            <w:noWrap w:val="0"/>
            <w:vAlign w:val="center"/>
          </w:tcPr>
          <w:p w14:paraId="3628946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高处作业行走区域未按有关规定设置手扶水平安全绳或作业人员不正确使用水平安全绳</w:t>
            </w:r>
          </w:p>
        </w:tc>
        <w:tc>
          <w:tcPr>
            <w:tcW w:w="1593" w:type="dxa"/>
            <w:noWrap w:val="0"/>
            <w:vAlign w:val="center"/>
          </w:tcPr>
          <w:p w14:paraId="7B63EDB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200元/处·次</w:t>
            </w:r>
          </w:p>
        </w:tc>
        <w:tc>
          <w:tcPr>
            <w:tcW w:w="1660" w:type="dxa"/>
            <w:noWrap w:val="0"/>
            <w:vAlign w:val="center"/>
          </w:tcPr>
          <w:p w14:paraId="235C046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6489D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629A880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178</w:t>
            </w:r>
          </w:p>
        </w:tc>
        <w:tc>
          <w:tcPr>
            <w:tcW w:w="851" w:type="dxa"/>
            <w:noWrap w:val="0"/>
            <w:vAlign w:val="center"/>
          </w:tcPr>
          <w:p w14:paraId="5B86F5F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4</w:t>
            </w:r>
          </w:p>
        </w:tc>
        <w:tc>
          <w:tcPr>
            <w:tcW w:w="4394" w:type="dxa"/>
            <w:noWrap w:val="0"/>
            <w:vAlign w:val="center"/>
          </w:tcPr>
          <w:p w14:paraId="655E8B3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高度超过5m垂直攀爬作业，没有设置垂直安全绳</w:t>
            </w:r>
          </w:p>
        </w:tc>
        <w:tc>
          <w:tcPr>
            <w:tcW w:w="1593" w:type="dxa"/>
            <w:noWrap w:val="0"/>
            <w:vAlign w:val="center"/>
          </w:tcPr>
          <w:p w14:paraId="5D365A7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500元/处</w:t>
            </w:r>
          </w:p>
        </w:tc>
        <w:tc>
          <w:tcPr>
            <w:tcW w:w="1660" w:type="dxa"/>
            <w:noWrap w:val="0"/>
            <w:vAlign w:val="center"/>
          </w:tcPr>
          <w:p w14:paraId="7D84AD4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60082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370800D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179</w:t>
            </w:r>
          </w:p>
        </w:tc>
        <w:tc>
          <w:tcPr>
            <w:tcW w:w="851" w:type="dxa"/>
            <w:noWrap w:val="0"/>
            <w:vAlign w:val="center"/>
          </w:tcPr>
          <w:p w14:paraId="55134F2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w:t>
            </w:r>
          </w:p>
        </w:tc>
        <w:tc>
          <w:tcPr>
            <w:tcW w:w="4394" w:type="dxa"/>
            <w:noWrap w:val="0"/>
            <w:vAlign w:val="center"/>
          </w:tcPr>
          <w:p w14:paraId="5ED6A22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竖直攀登超过5m不使用速差自控器或攀登自锁器</w:t>
            </w:r>
          </w:p>
        </w:tc>
        <w:tc>
          <w:tcPr>
            <w:tcW w:w="1593" w:type="dxa"/>
            <w:noWrap w:val="0"/>
            <w:vAlign w:val="center"/>
          </w:tcPr>
          <w:p w14:paraId="1EF007B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500元/人·次</w:t>
            </w:r>
          </w:p>
        </w:tc>
        <w:tc>
          <w:tcPr>
            <w:tcW w:w="1660" w:type="dxa"/>
            <w:noWrap w:val="0"/>
            <w:vAlign w:val="center"/>
          </w:tcPr>
          <w:p w14:paraId="40799DF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42283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5E962E0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180</w:t>
            </w:r>
          </w:p>
        </w:tc>
        <w:tc>
          <w:tcPr>
            <w:tcW w:w="851" w:type="dxa"/>
            <w:noWrap w:val="0"/>
            <w:vAlign w:val="center"/>
          </w:tcPr>
          <w:p w14:paraId="2D6658D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6</w:t>
            </w:r>
          </w:p>
        </w:tc>
        <w:tc>
          <w:tcPr>
            <w:tcW w:w="4394" w:type="dxa"/>
            <w:noWrap w:val="0"/>
            <w:vAlign w:val="center"/>
          </w:tcPr>
          <w:p w14:paraId="1946894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手持工器具等攀爬垂直爬梯</w:t>
            </w:r>
          </w:p>
        </w:tc>
        <w:tc>
          <w:tcPr>
            <w:tcW w:w="1593" w:type="dxa"/>
            <w:noWrap w:val="0"/>
            <w:vAlign w:val="center"/>
          </w:tcPr>
          <w:p w14:paraId="663A22A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500元/人·次</w:t>
            </w:r>
          </w:p>
        </w:tc>
        <w:tc>
          <w:tcPr>
            <w:tcW w:w="1660" w:type="dxa"/>
            <w:noWrap w:val="0"/>
            <w:vAlign w:val="center"/>
          </w:tcPr>
          <w:p w14:paraId="627B3BA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35254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7633903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181</w:t>
            </w:r>
          </w:p>
        </w:tc>
        <w:tc>
          <w:tcPr>
            <w:tcW w:w="851" w:type="dxa"/>
            <w:noWrap w:val="0"/>
            <w:vAlign w:val="center"/>
          </w:tcPr>
          <w:p w14:paraId="69380F3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7</w:t>
            </w:r>
          </w:p>
        </w:tc>
        <w:tc>
          <w:tcPr>
            <w:tcW w:w="4394" w:type="dxa"/>
            <w:noWrap w:val="0"/>
            <w:vAlign w:val="center"/>
          </w:tcPr>
          <w:p w14:paraId="643EE1B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坠落高度基准面 2m 及以上进行屋面临边作业或女儿墙高度不足1.1m时，应在临空一侧设置防护栏杆，屋面临边防护栏杆应为两道横杆，上杆距地面高度应为 1 .2m ，下杆应在上杆和挡脚板中间设置。在坡度大于 1 ：2.2 的屋面上作业，当无临边防护时，应沿屋面整个临边设置不低于 1 .5m 高的防护栏杆，且应采用密目式安全立网全封闭。未按以上要求设置防护栏杆的，予以罚款，1000元/天，可累计叠加处罚。</w:t>
            </w:r>
          </w:p>
        </w:tc>
        <w:tc>
          <w:tcPr>
            <w:tcW w:w="1593" w:type="dxa"/>
            <w:noWrap w:val="0"/>
            <w:vAlign w:val="center"/>
          </w:tcPr>
          <w:p w14:paraId="0B6459D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1000元/天</w:t>
            </w:r>
          </w:p>
        </w:tc>
        <w:tc>
          <w:tcPr>
            <w:tcW w:w="1660" w:type="dxa"/>
            <w:noWrap w:val="0"/>
            <w:vAlign w:val="center"/>
          </w:tcPr>
          <w:p w14:paraId="1DA6B35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p>
        </w:tc>
      </w:tr>
      <w:tr w14:paraId="4A9ACB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315" w:type="dxa"/>
            <w:gridSpan w:val="5"/>
            <w:noWrap w:val="0"/>
            <w:vAlign w:val="center"/>
          </w:tcPr>
          <w:p w14:paraId="21DEAF8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十三、交通安全</w:t>
            </w:r>
          </w:p>
        </w:tc>
      </w:tr>
      <w:tr w14:paraId="6D966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31E38F9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182</w:t>
            </w:r>
          </w:p>
        </w:tc>
        <w:tc>
          <w:tcPr>
            <w:tcW w:w="851" w:type="dxa"/>
            <w:noWrap w:val="0"/>
            <w:vAlign w:val="center"/>
          </w:tcPr>
          <w:p w14:paraId="4D63AE1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w:t>
            </w:r>
          </w:p>
        </w:tc>
        <w:tc>
          <w:tcPr>
            <w:tcW w:w="4394" w:type="dxa"/>
            <w:noWrap w:val="0"/>
            <w:vAlign w:val="center"/>
          </w:tcPr>
          <w:p w14:paraId="7F73AB2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施工车辆未经审批，进场从事施工作业</w:t>
            </w:r>
          </w:p>
        </w:tc>
        <w:tc>
          <w:tcPr>
            <w:tcW w:w="1593" w:type="dxa"/>
            <w:noWrap w:val="0"/>
            <w:vAlign w:val="center"/>
          </w:tcPr>
          <w:p w14:paraId="5CA6EF0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200元/辆·次</w:t>
            </w:r>
          </w:p>
        </w:tc>
        <w:tc>
          <w:tcPr>
            <w:tcW w:w="1660" w:type="dxa"/>
            <w:noWrap w:val="0"/>
            <w:vAlign w:val="center"/>
          </w:tcPr>
          <w:p w14:paraId="0B1CCDE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16B25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676C59A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183</w:t>
            </w:r>
          </w:p>
        </w:tc>
        <w:tc>
          <w:tcPr>
            <w:tcW w:w="851" w:type="dxa"/>
            <w:noWrap w:val="0"/>
            <w:vAlign w:val="center"/>
          </w:tcPr>
          <w:p w14:paraId="477A3F3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w:t>
            </w:r>
          </w:p>
        </w:tc>
        <w:tc>
          <w:tcPr>
            <w:tcW w:w="4394" w:type="dxa"/>
            <w:noWrap w:val="0"/>
            <w:vAlign w:val="center"/>
          </w:tcPr>
          <w:p w14:paraId="739D53F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施工车辆违规装载运输危险化学物品</w:t>
            </w:r>
          </w:p>
        </w:tc>
        <w:tc>
          <w:tcPr>
            <w:tcW w:w="1593" w:type="dxa"/>
            <w:noWrap w:val="0"/>
            <w:vAlign w:val="center"/>
          </w:tcPr>
          <w:p w14:paraId="100A4A7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200元/辆·次</w:t>
            </w:r>
          </w:p>
        </w:tc>
        <w:tc>
          <w:tcPr>
            <w:tcW w:w="1660" w:type="dxa"/>
            <w:noWrap w:val="0"/>
            <w:vAlign w:val="center"/>
          </w:tcPr>
          <w:p w14:paraId="1F4F63F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20E9A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38A6974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184</w:t>
            </w:r>
          </w:p>
        </w:tc>
        <w:tc>
          <w:tcPr>
            <w:tcW w:w="851" w:type="dxa"/>
            <w:noWrap w:val="0"/>
            <w:vAlign w:val="center"/>
          </w:tcPr>
          <w:p w14:paraId="4A87328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w:t>
            </w:r>
          </w:p>
        </w:tc>
        <w:tc>
          <w:tcPr>
            <w:tcW w:w="4394" w:type="dxa"/>
            <w:noWrap w:val="0"/>
            <w:vAlign w:val="center"/>
          </w:tcPr>
          <w:p w14:paraId="4047350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燃油机动车辆没有配备有效的消防器材</w:t>
            </w:r>
          </w:p>
        </w:tc>
        <w:tc>
          <w:tcPr>
            <w:tcW w:w="1593" w:type="dxa"/>
            <w:noWrap w:val="0"/>
            <w:vAlign w:val="center"/>
          </w:tcPr>
          <w:p w14:paraId="5E19E6A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200元/辆·次</w:t>
            </w:r>
          </w:p>
        </w:tc>
        <w:tc>
          <w:tcPr>
            <w:tcW w:w="1660" w:type="dxa"/>
            <w:noWrap w:val="0"/>
            <w:vAlign w:val="center"/>
          </w:tcPr>
          <w:p w14:paraId="2F474DF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20227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2737F63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185</w:t>
            </w:r>
          </w:p>
        </w:tc>
        <w:tc>
          <w:tcPr>
            <w:tcW w:w="851" w:type="dxa"/>
            <w:noWrap w:val="0"/>
            <w:vAlign w:val="center"/>
          </w:tcPr>
          <w:p w14:paraId="3F5626F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4</w:t>
            </w:r>
          </w:p>
        </w:tc>
        <w:tc>
          <w:tcPr>
            <w:tcW w:w="4394" w:type="dxa"/>
            <w:noWrap w:val="0"/>
            <w:vAlign w:val="center"/>
          </w:tcPr>
          <w:p w14:paraId="4CFDAC9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货车装载物超高、超宽、超长</w:t>
            </w:r>
          </w:p>
        </w:tc>
        <w:tc>
          <w:tcPr>
            <w:tcW w:w="1593" w:type="dxa"/>
            <w:noWrap w:val="0"/>
            <w:vAlign w:val="center"/>
          </w:tcPr>
          <w:p w14:paraId="530ADF5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200元/辆·次</w:t>
            </w:r>
          </w:p>
        </w:tc>
        <w:tc>
          <w:tcPr>
            <w:tcW w:w="1660" w:type="dxa"/>
            <w:noWrap w:val="0"/>
            <w:vAlign w:val="center"/>
          </w:tcPr>
          <w:p w14:paraId="118C1CD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20BCA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1944533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186</w:t>
            </w:r>
          </w:p>
        </w:tc>
        <w:tc>
          <w:tcPr>
            <w:tcW w:w="851" w:type="dxa"/>
            <w:noWrap w:val="0"/>
            <w:vAlign w:val="center"/>
          </w:tcPr>
          <w:p w14:paraId="3EB90B7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w:t>
            </w:r>
          </w:p>
        </w:tc>
        <w:tc>
          <w:tcPr>
            <w:tcW w:w="4394" w:type="dxa"/>
            <w:noWrap w:val="0"/>
            <w:vAlign w:val="center"/>
          </w:tcPr>
          <w:p w14:paraId="452E825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车载物捆绑不牢靠</w:t>
            </w:r>
          </w:p>
        </w:tc>
        <w:tc>
          <w:tcPr>
            <w:tcW w:w="1593" w:type="dxa"/>
            <w:noWrap w:val="0"/>
            <w:vAlign w:val="center"/>
          </w:tcPr>
          <w:p w14:paraId="356FF5C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200元/辆·次</w:t>
            </w:r>
          </w:p>
        </w:tc>
        <w:tc>
          <w:tcPr>
            <w:tcW w:w="1660" w:type="dxa"/>
            <w:noWrap w:val="0"/>
            <w:vAlign w:val="center"/>
          </w:tcPr>
          <w:p w14:paraId="56D88E8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0E529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73E1922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187</w:t>
            </w:r>
          </w:p>
        </w:tc>
        <w:tc>
          <w:tcPr>
            <w:tcW w:w="851" w:type="dxa"/>
            <w:noWrap w:val="0"/>
            <w:vAlign w:val="center"/>
          </w:tcPr>
          <w:p w14:paraId="22F0EE7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6</w:t>
            </w:r>
          </w:p>
        </w:tc>
        <w:tc>
          <w:tcPr>
            <w:tcW w:w="4394" w:type="dxa"/>
            <w:noWrap w:val="0"/>
            <w:vAlign w:val="center"/>
          </w:tcPr>
          <w:p w14:paraId="52066FD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车载物捆绑不牢靠，飞落后污染环境</w:t>
            </w:r>
          </w:p>
        </w:tc>
        <w:tc>
          <w:tcPr>
            <w:tcW w:w="1593" w:type="dxa"/>
            <w:noWrap w:val="0"/>
            <w:vAlign w:val="center"/>
          </w:tcPr>
          <w:p w14:paraId="7844773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300元/次</w:t>
            </w:r>
          </w:p>
        </w:tc>
        <w:tc>
          <w:tcPr>
            <w:tcW w:w="1660" w:type="dxa"/>
            <w:noWrap w:val="0"/>
            <w:vAlign w:val="center"/>
          </w:tcPr>
          <w:p w14:paraId="305196A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04237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402B1D1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188</w:t>
            </w:r>
          </w:p>
        </w:tc>
        <w:tc>
          <w:tcPr>
            <w:tcW w:w="851" w:type="dxa"/>
            <w:noWrap w:val="0"/>
            <w:vAlign w:val="center"/>
          </w:tcPr>
          <w:p w14:paraId="417805E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7</w:t>
            </w:r>
          </w:p>
        </w:tc>
        <w:tc>
          <w:tcPr>
            <w:tcW w:w="4394" w:type="dxa"/>
            <w:noWrap w:val="0"/>
            <w:vAlign w:val="center"/>
          </w:tcPr>
          <w:p w14:paraId="01CD83C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酒后驾驶、无证驾驶、超载、超速行驶等违反交通规定</w:t>
            </w:r>
          </w:p>
        </w:tc>
        <w:tc>
          <w:tcPr>
            <w:tcW w:w="1593" w:type="dxa"/>
            <w:noWrap w:val="0"/>
            <w:vAlign w:val="center"/>
          </w:tcPr>
          <w:p w14:paraId="087867A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500元/人·次</w:t>
            </w:r>
          </w:p>
        </w:tc>
        <w:tc>
          <w:tcPr>
            <w:tcW w:w="1660" w:type="dxa"/>
            <w:noWrap w:val="0"/>
            <w:vAlign w:val="center"/>
          </w:tcPr>
          <w:p w14:paraId="780F791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2D68D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17" w:type="dxa"/>
            <w:noWrap w:val="0"/>
            <w:vAlign w:val="center"/>
          </w:tcPr>
          <w:p w14:paraId="0D08BC4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189</w:t>
            </w:r>
          </w:p>
        </w:tc>
        <w:tc>
          <w:tcPr>
            <w:tcW w:w="851" w:type="dxa"/>
            <w:noWrap w:val="0"/>
            <w:vAlign w:val="center"/>
          </w:tcPr>
          <w:p w14:paraId="5656EE9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8</w:t>
            </w:r>
          </w:p>
        </w:tc>
        <w:tc>
          <w:tcPr>
            <w:tcW w:w="4394" w:type="dxa"/>
            <w:noWrap w:val="0"/>
            <w:vAlign w:val="center"/>
          </w:tcPr>
          <w:p w14:paraId="573099F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车辆人货混载、三轮车载人</w:t>
            </w:r>
          </w:p>
        </w:tc>
        <w:tc>
          <w:tcPr>
            <w:tcW w:w="1593" w:type="dxa"/>
            <w:noWrap w:val="0"/>
            <w:vAlign w:val="center"/>
          </w:tcPr>
          <w:p w14:paraId="1D4A78A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1000元/次</w:t>
            </w:r>
          </w:p>
        </w:tc>
        <w:tc>
          <w:tcPr>
            <w:tcW w:w="1660" w:type="dxa"/>
            <w:noWrap w:val="0"/>
            <w:vAlign w:val="center"/>
          </w:tcPr>
          <w:p w14:paraId="2B22CC8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47955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315" w:type="dxa"/>
            <w:gridSpan w:val="5"/>
            <w:noWrap w:val="0"/>
            <w:vAlign w:val="center"/>
          </w:tcPr>
          <w:p w14:paraId="3B0DEB6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十四、职业健康及环境管理</w:t>
            </w:r>
          </w:p>
        </w:tc>
      </w:tr>
      <w:tr w14:paraId="69705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6743CDC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190</w:t>
            </w:r>
          </w:p>
        </w:tc>
        <w:tc>
          <w:tcPr>
            <w:tcW w:w="851" w:type="dxa"/>
            <w:noWrap w:val="0"/>
            <w:vAlign w:val="center"/>
          </w:tcPr>
          <w:p w14:paraId="23C150C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w:t>
            </w:r>
          </w:p>
        </w:tc>
        <w:tc>
          <w:tcPr>
            <w:tcW w:w="4394" w:type="dxa"/>
            <w:noWrap w:val="0"/>
            <w:vAlign w:val="center"/>
          </w:tcPr>
          <w:p w14:paraId="1E468BB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随地乱扔垃圾</w:t>
            </w:r>
          </w:p>
        </w:tc>
        <w:tc>
          <w:tcPr>
            <w:tcW w:w="1593" w:type="dxa"/>
            <w:noWrap w:val="0"/>
            <w:vAlign w:val="center"/>
          </w:tcPr>
          <w:p w14:paraId="0DF1CAD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200元/人·次</w:t>
            </w:r>
          </w:p>
        </w:tc>
        <w:tc>
          <w:tcPr>
            <w:tcW w:w="1660" w:type="dxa"/>
            <w:noWrap w:val="0"/>
            <w:vAlign w:val="center"/>
          </w:tcPr>
          <w:p w14:paraId="115678B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261D8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5F4331B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191</w:t>
            </w:r>
          </w:p>
        </w:tc>
        <w:tc>
          <w:tcPr>
            <w:tcW w:w="851" w:type="dxa"/>
            <w:noWrap w:val="0"/>
            <w:vAlign w:val="center"/>
          </w:tcPr>
          <w:p w14:paraId="4ABFFDC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w:t>
            </w:r>
          </w:p>
        </w:tc>
        <w:tc>
          <w:tcPr>
            <w:tcW w:w="4394" w:type="dxa"/>
            <w:noWrap w:val="0"/>
            <w:vAlign w:val="center"/>
          </w:tcPr>
          <w:p w14:paraId="5398A24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施工区域内材料堆放凌乱，道路不畅，或排水不畅造成大量积水</w:t>
            </w:r>
          </w:p>
        </w:tc>
        <w:tc>
          <w:tcPr>
            <w:tcW w:w="1593" w:type="dxa"/>
            <w:noWrap w:val="0"/>
            <w:vAlign w:val="center"/>
          </w:tcPr>
          <w:p w14:paraId="0CB750D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200元/处</w:t>
            </w:r>
          </w:p>
        </w:tc>
        <w:tc>
          <w:tcPr>
            <w:tcW w:w="1660" w:type="dxa"/>
            <w:noWrap w:val="0"/>
            <w:vAlign w:val="center"/>
          </w:tcPr>
          <w:p w14:paraId="18BB2B4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4F718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17" w:type="dxa"/>
            <w:noWrap w:val="0"/>
            <w:vAlign w:val="center"/>
          </w:tcPr>
          <w:p w14:paraId="4F59AC1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192</w:t>
            </w:r>
          </w:p>
        </w:tc>
        <w:tc>
          <w:tcPr>
            <w:tcW w:w="851" w:type="dxa"/>
            <w:noWrap w:val="0"/>
            <w:vAlign w:val="center"/>
          </w:tcPr>
          <w:p w14:paraId="44F7360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w:t>
            </w:r>
          </w:p>
        </w:tc>
        <w:tc>
          <w:tcPr>
            <w:tcW w:w="4394" w:type="dxa"/>
            <w:noWrap w:val="0"/>
            <w:vAlign w:val="center"/>
          </w:tcPr>
          <w:p w14:paraId="28D8EB0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施工现场随意凌空抛散</w:t>
            </w:r>
          </w:p>
        </w:tc>
        <w:tc>
          <w:tcPr>
            <w:tcW w:w="1593" w:type="dxa"/>
            <w:noWrap w:val="0"/>
            <w:vAlign w:val="center"/>
          </w:tcPr>
          <w:p w14:paraId="4DF46F7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200元/次</w:t>
            </w:r>
          </w:p>
        </w:tc>
        <w:tc>
          <w:tcPr>
            <w:tcW w:w="1660" w:type="dxa"/>
            <w:noWrap w:val="0"/>
            <w:vAlign w:val="center"/>
          </w:tcPr>
          <w:p w14:paraId="4EB3A8C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7A141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597CADC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193</w:t>
            </w:r>
          </w:p>
        </w:tc>
        <w:tc>
          <w:tcPr>
            <w:tcW w:w="851" w:type="dxa"/>
            <w:noWrap w:val="0"/>
            <w:vAlign w:val="center"/>
          </w:tcPr>
          <w:p w14:paraId="22ECB6D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4</w:t>
            </w:r>
          </w:p>
        </w:tc>
        <w:tc>
          <w:tcPr>
            <w:tcW w:w="4394" w:type="dxa"/>
            <w:noWrap w:val="0"/>
            <w:vAlign w:val="center"/>
          </w:tcPr>
          <w:p w14:paraId="25B13AD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施工现场随意倾倒废弃的油料或化学溶剂</w:t>
            </w:r>
          </w:p>
        </w:tc>
        <w:tc>
          <w:tcPr>
            <w:tcW w:w="1593" w:type="dxa"/>
            <w:noWrap w:val="0"/>
            <w:vAlign w:val="center"/>
          </w:tcPr>
          <w:p w14:paraId="5A58AD2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200元/次</w:t>
            </w:r>
          </w:p>
        </w:tc>
        <w:tc>
          <w:tcPr>
            <w:tcW w:w="1660" w:type="dxa"/>
            <w:noWrap w:val="0"/>
            <w:vAlign w:val="center"/>
          </w:tcPr>
          <w:p w14:paraId="0F32B79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09A0E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1580D3B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194</w:t>
            </w:r>
          </w:p>
        </w:tc>
        <w:tc>
          <w:tcPr>
            <w:tcW w:w="851" w:type="dxa"/>
            <w:noWrap w:val="0"/>
            <w:vAlign w:val="center"/>
          </w:tcPr>
          <w:p w14:paraId="764D27B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w:t>
            </w:r>
          </w:p>
        </w:tc>
        <w:tc>
          <w:tcPr>
            <w:tcW w:w="4394" w:type="dxa"/>
            <w:noWrap w:val="0"/>
            <w:vAlign w:val="center"/>
          </w:tcPr>
          <w:p w14:paraId="5FE415B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施工与办公活动产生的废料与垃圾未按规定处理，未及时清理，或随意倾倒</w:t>
            </w:r>
          </w:p>
        </w:tc>
        <w:tc>
          <w:tcPr>
            <w:tcW w:w="1593" w:type="dxa"/>
            <w:noWrap w:val="0"/>
            <w:vAlign w:val="center"/>
          </w:tcPr>
          <w:p w14:paraId="269F7C6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200元/次</w:t>
            </w:r>
          </w:p>
        </w:tc>
        <w:tc>
          <w:tcPr>
            <w:tcW w:w="1660" w:type="dxa"/>
            <w:noWrap w:val="0"/>
            <w:vAlign w:val="center"/>
          </w:tcPr>
          <w:p w14:paraId="5563617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781DA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1148065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195</w:t>
            </w:r>
          </w:p>
        </w:tc>
        <w:tc>
          <w:tcPr>
            <w:tcW w:w="851" w:type="dxa"/>
            <w:noWrap w:val="0"/>
            <w:vAlign w:val="center"/>
          </w:tcPr>
          <w:p w14:paraId="517A3B5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6</w:t>
            </w:r>
          </w:p>
        </w:tc>
        <w:tc>
          <w:tcPr>
            <w:tcW w:w="4394" w:type="dxa"/>
            <w:noWrap w:val="0"/>
            <w:vAlign w:val="center"/>
          </w:tcPr>
          <w:p w14:paraId="285E66F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未按规定采取措施防止或减少粉尘、废气、废水固体废物对人和环境的危害和污染</w:t>
            </w:r>
          </w:p>
        </w:tc>
        <w:tc>
          <w:tcPr>
            <w:tcW w:w="1593" w:type="dxa"/>
            <w:noWrap w:val="0"/>
            <w:vAlign w:val="center"/>
          </w:tcPr>
          <w:p w14:paraId="301BAF0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200元/次</w:t>
            </w:r>
          </w:p>
        </w:tc>
        <w:tc>
          <w:tcPr>
            <w:tcW w:w="1660" w:type="dxa"/>
            <w:noWrap w:val="0"/>
            <w:vAlign w:val="center"/>
          </w:tcPr>
          <w:p w14:paraId="212934E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379FA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52161E1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196</w:t>
            </w:r>
          </w:p>
        </w:tc>
        <w:tc>
          <w:tcPr>
            <w:tcW w:w="851" w:type="dxa"/>
            <w:noWrap w:val="0"/>
            <w:vAlign w:val="center"/>
          </w:tcPr>
          <w:p w14:paraId="2F22241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7</w:t>
            </w:r>
          </w:p>
        </w:tc>
        <w:tc>
          <w:tcPr>
            <w:tcW w:w="4394" w:type="dxa"/>
            <w:noWrap w:val="0"/>
            <w:vAlign w:val="center"/>
          </w:tcPr>
          <w:p w14:paraId="58CE890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不按规定或不按指定地点取土、倒土、倒垃圾者</w:t>
            </w:r>
          </w:p>
        </w:tc>
        <w:tc>
          <w:tcPr>
            <w:tcW w:w="1593" w:type="dxa"/>
            <w:noWrap w:val="0"/>
            <w:vAlign w:val="center"/>
          </w:tcPr>
          <w:p w14:paraId="42D1943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100元/次</w:t>
            </w:r>
          </w:p>
        </w:tc>
        <w:tc>
          <w:tcPr>
            <w:tcW w:w="1660" w:type="dxa"/>
            <w:noWrap w:val="0"/>
            <w:vAlign w:val="center"/>
          </w:tcPr>
          <w:p w14:paraId="1F1AE73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28FED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48C4415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197</w:t>
            </w:r>
          </w:p>
        </w:tc>
        <w:tc>
          <w:tcPr>
            <w:tcW w:w="851" w:type="dxa"/>
            <w:noWrap w:val="0"/>
            <w:vAlign w:val="center"/>
          </w:tcPr>
          <w:p w14:paraId="680AF8D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8</w:t>
            </w:r>
          </w:p>
        </w:tc>
        <w:tc>
          <w:tcPr>
            <w:tcW w:w="4394" w:type="dxa"/>
            <w:noWrap w:val="0"/>
            <w:vAlign w:val="center"/>
          </w:tcPr>
          <w:p w14:paraId="40B9225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未按规定对施工现场的易飞扬物质采取扬尘控制措施、防风防雨措施</w:t>
            </w:r>
          </w:p>
        </w:tc>
        <w:tc>
          <w:tcPr>
            <w:tcW w:w="1593" w:type="dxa"/>
            <w:noWrap w:val="0"/>
            <w:vAlign w:val="center"/>
          </w:tcPr>
          <w:p w14:paraId="1236B57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100元/次</w:t>
            </w:r>
          </w:p>
        </w:tc>
        <w:tc>
          <w:tcPr>
            <w:tcW w:w="1660" w:type="dxa"/>
            <w:noWrap w:val="0"/>
            <w:vAlign w:val="center"/>
          </w:tcPr>
          <w:p w14:paraId="07BFD05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51495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315" w:type="dxa"/>
            <w:gridSpan w:val="5"/>
            <w:noWrap w:val="0"/>
            <w:vAlign w:val="center"/>
          </w:tcPr>
          <w:p w14:paraId="748E13C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十五、组件安装作业</w:t>
            </w:r>
          </w:p>
        </w:tc>
      </w:tr>
      <w:tr w14:paraId="0D887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17" w:type="dxa"/>
            <w:noWrap w:val="0"/>
            <w:vAlign w:val="center"/>
          </w:tcPr>
          <w:p w14:paraId="418F57C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198</w:t>
            </w:r>
          </w:p>
        </w:tc>
        <w:tc>
          <w:tcPr>
            <w:tcW w:w="851" w:type="dxa"/>
            <w:noWrap w:val="0"/>
            <w:vAlign w:val="center"/>
          </w:tcPr>
          <w:p w14:paraId="0A80D0A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w:t>
            </w:r>
          </w:p>
        </w:tc>
        <w:tc>
          <w:tcPr>
            <w:tcW w:w="4394" w:type="dxa"/>
            <w:noWrap w:val="0"/>
            <w:vAlign w:val="center"/>
          </w:tcPr>
          <w:p w14:paraId="729006E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组件存放未按照相关规定落实执行</w:t>
            </w:r>
          </w:p>
        </w:tc>
        <w:tc>
          <w:tcPr>
            <w:tcW w:w="1593" w:type="dxa"/>
            <w:noWrap w:val="0"/>
            <w:vAlign w:val="center"/>
          </w:tcPr>
          <w:p w14:paraId="30BF5D9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1000元/天</w:t>
            </w:r>
          </w:p>
        </w:tc>
        <w:tc>
          <w:tcPr>
            <w:tcW w:w="1660" w:type="dxa"/>
            <w:noWrap w:val="0"/>
            <w:vAlign w:val="center"/>
          </w:tcPr>
          <w:p w14:paraId="1981E7A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组件进场后开始计算</w:t>
            </w:r>
          </w:p>
        </w:tc>
      </w:tr>
      <w:tr w14:paraId="2FB76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17" w:type="dxa"/>
            <w:noWrap w:val="0"/>
            <w:vAlign w:val="center"/>
          </w:tcPr>
          <w:p w14:paraId="18C16A3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199</w:t>
            </w:r>
          </w:p>
        </w:tc>
        <w:tc>
          <w:tcPr>
            <w:tcW w:w="851" w:type="dxa"/>
            <w:noWrap w:val="0"/>
            <w:vAlign w:val="center"/>
          </w:tcPr>
          <w:p w14:paraId="179B725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w:t>
            </w:r>
          </w:p>
        </w:tc>
        <w:tc>
          <w:tcPr>
            <w:tcW w:w="4394" w:type="dxa"/>
            <w:noWrap w:val="0"/>
            <w:vAlign w:val="center"/>
          </w:tcPr>
          <w:p w14:paraId="0845B4D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组件卸货时未做防倾倒措施</w:t>
            </w:r>
          </w:p>
        </w:tc>
        <w:tc>
          <w:tcPr>
            <w:tcW w:w="1593" w:type="dxa"/>
            <w:noWrap w:val="0"/>
            <w:vAlign w:val="center"/>
          </w:tcPr>
          <w:p w14:paraId="2366F12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w:t>
            </w:r>
          </w:p>
        </w:tc>
        <w:tc>
          <w:tcPr>
            <w:tcW w:w="1660" w:type="dxa"/>
            <w:noWrap w:val="0"/>
            <w:vAlign w:val="center"/>
          </w:tcPr>
          <w:p w14:paraId="016638C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2882C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072043C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w:t>
            </w:r>
          </w:p>
        </w:tc>
        <w:tc>
          <w:tcPr>
            <w:tcW w:w="851" w:type="dxa"/>
            <w:noWrap w:val="0"/>
            <w:vAlign w:val="center"/>
          </w:tcPr>
          <w:p w14:paraId="044B5FA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w:t>
            </w:r>
          </w:p>
        </w:tc>
        <w:tc>
          <w:tcPr>
            <w:tcW w:w="4394" w:type="dxa"/>
            <w:noWrap w:val="0"/>
            <w:vAlign w:val="center"/>
          </w:tcPr>
          <w:p w14:paraId="0778F6B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组件倒运时，单人搬运的</w:t>
            </w:r>
          </w:p>
        </w:tc>
        <w:tc>
          <w:tcPr>
            <w:tcW w:w="1593" w:type="dxa"/>
            <w:noWrap w:val="0"/>
            <w:vAlign w:val="center"/>
          </w:tcPr>
          <w:p w14:paraId="7EA6273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200元/人·次</w:t>
            </w:r>
          </w:p>
        </w:tc>
        <w:tc>
          <w:tcPr>
            <w:tcW w:w="1660" w:type="dxa"/>
            <w:noWrap w:val="0"/>
            <w:vAlign w:val="center"/>
          </w:tcPr>
          <w:p w14:paraId="474C150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22C61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16ABB0C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201</w:t>
            </w:r>
          </w:p>
        </w:tc>
        <w:tc>
          <w:tcPr>
            <w:tcW w:w="851" w:type="dxa"/>
            <w:noWrap w:val="0"/>
            <w:vAlign w:val="center"/>
          </w:tcPr>
          <w:p w14:paraId="4E65828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4</w:t>
            </w:r>
          </w:p>
        </w:tc>
        <w:tc>
          <w:tcPr>
            <w:tcW w:w="4394" w:type="dxa"/>
            <w:noWrap w:val="0"/>
            <w:vAlign w:val="center"/>
          </w:tcPr>
          <w:p w14:paraId="621D2E5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组件安装时，脚踩或其他部位按压姿态进行</w:t>
            </w:r>
          </w:p>
        </w:tc>
        <w:tc>
          <w:tcPr>
            <w:tcW w:w="1593" w:type="dxa"/>
            <w:noWrap w:val="0"/>
            <w:vAlign w:val="center"/>
          </w:tcPr>
          <w:p w14:paraId="188BD77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500元/人·次</w:t>
            </w:r>
          </w:p>
        </w:tc>
        <w:tc>
          <w:tcPr>
            <w:tcW w:w="1660" w:type="dxa"/>
            <w:noWrap w:val="0"/>
            <w:vAlign w:val="center"/>
          </w:tcPr>
          <w:p w14:paraId="0E628BE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02BC6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290A563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202</w:t>
            </w:r>
          </w:p>
        </w:tc>
        <w:tc>
          <w:tcPr>
            <w:tcW w:w="851" w:type="dxa"/>
            <w:noWrap w:val="0"/>
            <w:vAlign w:val="center"/>
          </w:tcPr>
          <w:p w14:paraId="794FE6B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w:t>
            </w:r>
          </w:p>
        </w:tc>
        <w:tc>
          <w:tcPr>
            <w:tcW w:w="4394" w:type="dxa"/>
            <w:noWrap w:val="0"/>
            <w:vAlign w:val="center"/>
          </w:tcPr>
          <w:p w14:paraId="3E1D81CA">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组件包装物不及时回收或随意丢弃</w:t>
            </w:r>
          </w:p>
        </w:tc>
        <w:tc>
          <w:tcPr>
            <w:tcW w:w="1593" w:type="dxa"/>
            <w:noWrap w:val="0"/>
            <w:vAlign w:val="center"/>
          </w:tcPr>
          <w:p w14:paraId="62661FF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100元/处</w:t>
            </w:r>
          </w:p>
        </w:tc>
        <w:tc>
          <w:tcPr>
            <w:tcW w:w="1660" w:type="dxa"/>
            <w:noWrap w:val="0"/>
            <w:vAlign w:val="center"/>
          </w:tcPr>
          <w:p w14:paraId="6C687D7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5CFE0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9315" w:type="dxa"/>
            <w:gridSpan w:val="5"/>
            <w:noWrap w:val="0"/>
            <w:vAlign w:val="center"/>
          </w:tcPr>
          <w:p w14:paraId="3A9FC6F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十六、其它安全管理</w:t>
            </w:r>
          </w:p>
        </w:tc>
      </w:tr>
      <w:tr w14:paraId="4081B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4929CCE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203</w:t>
            </w:r>
          </w:p>
        </w:tc>
        <w:tc>
          <w:tcPr>
            <w:tcW w:w="851" w:type="dxa"/>
            <w:noWrap w:val="0"/>
            <w:vAlign w:val="center"/>
          </w:tcPr>
          <w:p w14:paraId="2542FC7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w:t>
            </w:r>
          </w:p>
        </w:tc>
        <w:tc>
          <w:tcPr>
            <w:tcW w:w="4394" w:type="dxa"/>
            <w:noWrap w:val="0"/>
            <w:vAlign w:val="center"/>
          </w:tcPr>
          <w:p w14:paraId="202744F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在安全文件（隐患整改单、隐患标示牌）明确禁止作业的区域内进行施工活动</w:t>
            </w:r>
          </w:p>
        </w:tc>
        <w:tc>
          <w:tcPr>
            <w:tcW w:w="1593" w:type="dxa"/>
            <w:noWrap w:val="0"/>
            <w:vAlign w:val="center"/>
          </w:tcPr>
          <w:p w14:paraId="3D48812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2000元/次</w:t>
            </w:r>
          </w:p>
        </w:tc>
        <w:tc>
          <w:tcPr>
            <w:tcW w:w="1660" w:type="dxa"/>
            <w:noWrap w:val="0"/>
            <w:vAlign w:val="center"/>
          </w:tcPr>
          <w:p w14:paraId="2068E60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1CDB0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817" w:type="dxa"/>
            <w:noWrap w:val="0"/>
            <w:vAlign w:val="center"/>
          </w:tcPr>
          <w:p w14:paraId="09CBCEEB">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204</w:t>
            </w:r>
          </w:p>
        </w:tc>
        <w:tc>
          <w:tcPr>
            <w:tcW w:w="851" w:type="dxa"/>
            <w:noWrap w:val="0"/>
            <w:vAlign w:val="center"/>
          </w:tcPr>
          <w:p w14:paraId="2EF860A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w:t>
            </w:r>
          </w:p>
        </w:tc>
        <w:tc>
          <w:tcPr>
            <w:tcW w:w="4394" w:type="dxa"/>
            <w:noWrap w:val="0"/>
            <w:vAlign w:val="center"/>
          </w:tcPr>
          <w:p w14:paraId="229D1AA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未按规定组织、参加安全检查，或未按规定组织、参加总包、业主程序要求的安全相关活动</w:t>
            </w:r>
          </w:p>
        </w:tc>
        <w:tc>
          <w:tcPr>
            <w:tcW w:w="1593" w:type="dxa"/>
            <w:noWrap w:val="0"/>
            <w:vAlign w:val="center"/>
          </w:tcPr>
          <w:p w14:paraId="1E6C3FA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w:t>
            </w:r>
          </w:p>
        </w:tc>
        <w:tc>
          <w:tcPr>
            <w:tcW w:w="1660" w:type="dxa"/>
            <w:noWrap w:val="0"/>
            <w:vAlign w:val="center"/>
          </w:tcPr>
          <w:p w14:paraId="5B6D685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112C9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6F5AA01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205</w:t>
            </w:r>
          </w:p>
        </w:tc>
        <w:tc>
          <w:tcPr>
            <w:tcW w:w="851" w:type="dxa"/>
            <w:noWrap w:val="0"/>
            <w:vAlign w:val="center"/>
          </w:tcPr>
          <w:p w14:paraId="52D8A91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3</w:t>
            </w:r>
          </w:p>
        </w:tc>
        <w:tc>
          <w:tcPr>
            <w:tcW w:w="4394" w:type="dxa"/>
            <w:noWrap w:val="0"/>
            <w:vAlign w:val="center"/>
          </w:tcPr>
          <w:p w14:paraId="46BAEE5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施工单位不履行业主及监理安全监督检查的签字手续</w:t>
            </w:r>
          </w:p>
        </w:tc>
        <w:tc>
          <w:tcPr>
            <w:tcW w:w="1593" w:type="dxa"/>
            <w:noWrap w:val="0"/>
            <w:vAlign w:val="center"/>
          </w:tcPr>
          <w:p w14:paraId="6E54864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w:t>
            </w:r>
          </w:p>
        </w:tc>
        <w:tc>
          <w:tcPr>
            <w:tcW w:w="1660" w:type="dxa"/>
            <w:noWrap w:val="0"/>
            <w:vAlign w:val="center"/>
          </w:tcPr>
          <w:p w14:paraId="20A4DC6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3B4A9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761C080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206</w:t>
            </w:r>
          </w:p>
        </w:tc>
        <w:tc>
          <w:tcPr>
            <w:tcW w:w="851" w:type="dxa"/>
            <w:noWrap w:val="0"/>
            <w:vAlign w:val="center"/>
          </w:tcPr>
          <w:p w14:paraId="75F7164C">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4</w:t>
            </w:r>
          </w:p>
        </w:tc>
        <w:tc>
          <w:tcPr>
            <w:tcW w:w="4394" w:type="dxa"/>
            <w:noWrap w:val="0"/>
            <w:vAlign w:val="center"/>
          </w:tcPr>
          <w:p w14:paraId="6FB3382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安全大检查及安全专题会议要求实施内容，未落实实施，或在规定时间内未完成</w:t>
            </w:r>
          </w:p>
        </w:tc>
        <w:tc>
          <w:tcPr>
            <w:tcW w:w="1593" w:type="dxa"/>
            <w:noWrap w:val="0"/>
            <w:vAlign w:val="center"/>
          </w:tcPr>
          <w:p w14:paraId="49803EC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500元/次</w:t>
            </w:r>
          </w:p>
        </w:tc>
        <w:tc>
          <w:tcPr>
            <w:tcW w:w="1660" w:type="dxa"/>
            <w:noWrap w:val="0"/>
            <w:vAlign w:val="center"/>
          </w:tcPr>
          <w:p w14:paraId="4A3428C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3CB09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trPr>
        <w:tc>
          <w:tcPr>
            <w:tcW w:w="817" w:type="dxa"/>
            <w:noWrap w:val="0"/>
            <w:vAlign w:val="center"/>
          </w:tcPr>
          <w:p w14:paraId="65A2A50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207</w:t>
            </w:r>
          </w:p>
        </w:tc>
        <w:tc>
          <w:tcPr>
            <w:tcW w:w="851" w:type="dxa"/>
            <w:noWrap w:val="0"/>
            <w:vAlign w:val="center"/>
          </w:tcPr>
          <w:p w14:paraId="37BB6EE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w:t>
            </w:r>
          </w:p>
        </w:tc>
        <w:tc>
          <w:tcPr>
            <w:tcW w:w="4394" w:type="dxa"/>
            <w:noWrap w:val="0"/>
            <w:vAlign w:val="center"/>
          </w:tcPr>
          <w:p w14:paraId="0F73427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对重复发生的违章现象、高风险作业违章现象及不文明施工现象没有采取得力的措施纠正</w:t>
            </w:r>
          </w:p>
        </w:tc>
        <w:tc>
          <w:tcPr>
            <w:tcW w:w="1593" w:type="dxa"/>
            <w:noWrap w:val="0"/>
            <w:vAlign w:val="center"/>
          </w:tcPr>
          <w:p w14:paraId="163FE87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1000元/次</w:t>
            </w:r>
          </w:p>
        </w:tc>
        <w:tc>
          <w:tcPr>
            <w:tcW w:w="1660" w:type="dxa"/>
            <w:noWrap w:val="0"/>
            <w:vAlign w:val="center"/>
          </w:tcPr>
          <w:p w14:paraId="190450A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逐次倍增</w:t>
            </w:r>
          </w:p>
        </w:tc>
      </w:tr>
      <w:tr w14:paraId="55399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17" w:type="dxa"/>
            <w:noWrap w:val="0"/>
            <w:vAlign w:val="center"/>
          </w:tcPr>
          <w:p w14:paraId="3CCEE06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208</w:t>
            </w:r>
          </w:p>
        </w:tc>
        <w:tc>
          <w:tcPr>
            <w:tcW w:w="851" w:type="dxa"/>
            <w:noWrap w:val="0"/>
            <w:vAlign w:val="center"/>
          </w:tcPr>
          <w:p w14:paraId="3079728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6</w:t>
            </w:r>
          </w:p>
        </w:tc>
        <w:tc>
          <w:tcPr>
            <w:tcW w:w="4394" w:type="dxa"/>
            <w:noWrap w:val="0"/>
            <w:vAlign w:val="center"/>
          </w:tcPr>
          <w:p w14:paraId="5DFC272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不按时参加例会</w:t>
            </w:r>
          </w:p>
        </w:tc>
        <w:tc>
          <w:tcPr>
            <w:tcW w:w="1593" w:type="dxa"/>
            <w:noWrap w:val="0"/>
            <w:vAlign w:val="center"/>
          </w:tcPr>
          <w:p w14:paraId="13DAFA6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100元/次</w:t>
            </w:r>
          </w:p>
        </w:tc>
        <w:tc>
          <w:tcPr>
            <w:tcW w:w="1660" w:type="dxa"/>
            <w:noWrap w:val="0"/>
            <w:vAlign w:val="center"/>
          </w:tcPr>
          <w:p w14:paraId="3EDEE18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49DA7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817" w:type="dxa"/>
            <w:noWrap w:val="0"/>
            <w:vAlign w:val="center"/>
          </w:tcPr>
          <w:p w14:paraId="21792C7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209</w:t>
            </w:r>
          </w:p>
        </w:tc>
        <w:tc>
          <w:tcPr>
            <w:tcW w:w="851" w:type="dxa"/>
            <w:noWrap w:val="0"/>
            <w:vAlign w:val="center"/>
          </w:tcPr>
          <w:p w14:paraId="0393C7D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7</w:t>
            </w:r>
          </w:p>
        </w:tc>
        <w:tc>
          <w:tcPr>
            <w:tcW w:w="4394" w:type="dxa"/>
            <w:noWrap w:val="0"/>
            <w:vAlign w:val="center"/>
          </w:tcPr>
          <w:p w14:paraId="4267518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拒绝在隐患单签字</w:t>
            </w:r>
          </w:p>
        </w:tc>
        <w:tc>
          <w:tcPr>
            <w:tcW w:w="1593" w:type="dxa"/>
            <w:noWrap w:val="0"/>
            <w:vAlign w:val="center"/>
          </w:tcPr>
          <w:p w14:paraId="3FBAADC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500元/条</w:t>
            </w:r>
          </w:p>
        </w:tc>
        <w:tc>
          <w:tcPr>
            <w:tcW w:w="1660" w:type="dxa"/>
            <w:noWrap w:val="0"/>
            <w:vAlign w:val="center"/>
          </w:tcPr>
          <w:p w14:paraId="3A855B3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6F2CF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817" w:type="dxa"/>
            <w:noWrap w:val="0"/>
            <w:vAlign w:val="center"/>
          </w:tcPr>
          <w:p w14:paraId="554046F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210</w:t>
            </w:r>
          </w:p>
        </w:tc>
        <w:tc>
          <w:tcPr>
            <w:tcW w:w="851" w:type="dxa"/>
            <w:noWrap w:val="0"/>
            <w:vAlign w:val="center"/>
          </w:tcPr>
          <w:p w14:paraId="5F7A14F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8</w:t>
            </w:r>
          </w:p>
        </w:tc>
        <w:tc>
          <w:tcPr>
            <w:tcW w:w="4394" w:type="dxa"/>
            <w:noWrap w:val="0"/>
            <w:vAlign w:val="center"/>
          </w:tcPr>
          <w:p w14:paraId="50F78AC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拒绝在处罚单上签字者</w:t>
            </w:r>
          </w:p>
        </w:tc>
        <w:tc>
          <w:tcPr>
            <w:tcW w:w="1593" w:type="dxa"/>
            <w:noWrap w:val="0"/>
            <w:vAlign w:val="center"/>
          </w:tcPr>
          <w:p w14:paraId="5347B2D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处罚单金额3倍扣除</w:t>
            </w:r>
          </w:p>
        </w:tc>
        <w:tc>
          <w:tcPr>
            <w:tcW w:w="1660" w:type="dxa"/>
            <w:noWrap w:val="0"/>
            <w:vAlign w:val="center"/>
          </w:tcPr>
          <w:p w14:paraId="14CBC63E">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36CD0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817" w:type="dxa"/>
            <w:noWrap w:val="0"/>
            <w:vAlign w:val="center"/>
          </w:tcPr>
          <w:p w14:paraId="163F3099">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211</w:t>
            </w:r>
          </w:p>
        </w:tc>
        <w:tc>
          <w:tcPr>
            <w:tcW w:w="851" w:type="dxa"/>
            <w:noWrap w:val="0"/>
            <w:vAlign w:val="center"/>
          </w:tcPr>
          <w:p w14:paraId="04EE4FA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9</w:t>
            </w:r>
          </w:p>
        </w:tc>
        <w:tc>
          <w:tcPr>
            <w:tcW w:w="4394" w:type="dxa"/>
            <w:noWrap w:val="0"/>
            <w:vAlign w:val="center"/>
          </w:tcPr>
          <w:p w14:paraId="2B8BDEC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对管理人员进行恐吓、威胁（视情节轻重）</w:t>
            </w:r>
          </w:p>
        </w:tc>
        <w:tc>
          <w:tcPr>
            <w:tcW w:w="1593" w:type="dxa"/>
            <w:noWrap w:val="0"/>
            <w:vAlign w:val="center"/>
          </w:tcPr>
          <w:p w14:paraId="62C5285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5000元/次</w:t>
            </w:r>
          </w:p>
        </w:tc>
        <w:tc>
          <w:tcPr>
            <w:tcW w:w="1660" w:type="dxa"/>
            <w:noWrap w:val="0"/>
            <w:vAlign w:val="center"/>
          </w:tcPr>
          <w:p w14:paraId="2273FDA3">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造成人身伤害的责任单位须付全部医疗费用，必要时追究法律责任</w:t>
            </w:r>
          </w:p>
        </w:tc>
      </w:tr>
      <w:tr w14:paraId="4C9B4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817" w:type="dxa"/>
            <w:noWrap w:val="0"/>
            <w:vAlign w:val="center"/>
          </w:tcPr>
          <w:p w14:paraId="20510A8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212</w:t>
            </w:r>
          </w:p>
        </w:tc>
        <w:tc>
          <w:tcPr>
            <w:tcW w:w="851" w:type="dxa"/>
            <w:noWrap w:val="0"/>
            <w:vAlign w:val="center"/>
          </w:tcPr>
          <w:p w14:paraId="56FD4CD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w:t>
            </w:r>
          </w:p>
        </w:tc>
        <w:tc>
          <w:tcPr>
            <w:tcW w:w="4394" w:type="dxa"/>
            <w:noWrap w:val="0"/>
            <w:vAlign w:val="center"/>
          </w:tcPr>
          <w:p w14:paraId="5B32977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未按要求或未及时购买保险</w:t>
            </w:r>
          </w:p>
        </w:tc>
        <w:tc>
          <w:tcPr>
            <w:tcW w:w="1593" w:type="dxa"/>
            <w:noWrap w:val="0"/>
            <w:vAlign w:val="center"/>
          </w:tcPr>
          <w:p w14:paraId="7FDAC594">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10000元</w:t>
            </w:r>
          </w:p>
        </w:tc>
        <w:tc>
          <w:tcPr>
            <w:tcW w:w="1660" w:type="dxa"/>
            <w:noWrap w:val="0"/>
            <w:vAlign w:val="center"/>
          </w:tcPr>
          <w:p w14:paraId="07CD61C0">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r w14:paraId="7F779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817" w:type="dxa"/>
            <w:noWrap w:val="0"/>
            <w:vAlign w:val="center"/>
          </w:tcPr>
          <w:p w14:paraId="1B37AC8D">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213</w:t>
            </w:r>
          </w:p>
        </w:tc>
        <w:tc>
          <w:tcPr>
            <w:tcW w:w="851" w:type="dxa"/>
            <w:noWrap w:val="0"/>
            <w:vAlign w:val="center"/>
          </w:tcPr>
          <w:p w14:paraId="51F0F0D5">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11</w:t>
            </w:r>
          </w:p>
        </w:tc>
        <w:tc>
          <w:tcPr>
            <w:tcW w:w="4394" w:type="dxa"/>
            <w:noWrap w:val="0"/>
            <w:vAlign w:val="center"/>
          </w:tcPr>
          <w:p w14:paraId="2407D3E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无安措费使用计划、记录，或无相关票据证明已投入的安措费，或安措费投入不足。</w:t>
            </w:r>
          </w:p>
        </w:tc>
        <w:tc>
          <w:tcPr>
            <w:tcW w:w="1593" w:type="dxa"/>
            <w:noWrap w:val="0"/>
            <w:vAlign w:val="center"/>
          </w:tcPr>
          <w:p w14:paraId="204B83C8">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1000元/次</w:t>
            </w:r>
          </w:p>
        </w:tc>
        <w:tc>
          <w:tcPr>
            <w:tcW w:w="1660" w:type="dxa"/>
            <w:noWrap w:val="0"/>
            <w:vAlign w:val="center"/>
          </w:tcPr>
          <w:p w14:paraId="2B794D37">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p>
        </w:tc>
      </w:tr>
      <w:tr w14:paraId="3FD1C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noWrap w:val="0"/>
            <w:vAlign w:val="center"/>
          </w:tcPr>
          <w:p w14:paraId="077BBC8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214</w:t>
            </w:r>
          </w:p>
        </w:tc>
        <w:tc>
          <w:tcPr>
            <w:tcW w:w="851" w:type="dxa"/>
            <w:noWrap w:val="0"/>
            <w:vAlign w:val="center"/>
          </w:tcPr>
          <w:p w14:paraId="57F2AAC6">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12</w:t>
            </w:r>
          </w:p>
        </w:tc>
        <w:tc>
          <w:tcPr>
            <w:tcW w:w="4394" w:type="dxa"/>
            <w:noWrap w:val="0"/>
            <w:vAlign w:val="center"/>
          </w:tcPr>
          <w:p w14:paraId="217FE332">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其它违反相关安全、卫生、环保、职业健康等事项，但非本处理办法内列出者</w:t>
            </w:r>
          </w:p>
        </w:tc>
        <w:tc>
          <w:tcPr>
            <w:tcW w:w="1593" w:type="dxa"/>
            <w:noWrap w:val="0"/>
            <w:vAlign w:val="center"/>
          </w:tcPr>
          <w:p w14:paraId="1A731D0F">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100～2000元/次</w:t>
            </w:r>
          </w:p>
        </w:tc>
        <w:tc>
          <w:tcPr>
            <w:tcW w:w="1660" w:type="dxa"/>
            <w:noWrap w:val="0"/>
            <w:vAlign w:val="center"/>
          </w:tcPr>
          <w:p w14:paraId="58BF8FA1">
            <w:pPr>
              <w:keepNext w:val="0"/>
              <w:keepLines w:val="0"/>
              <w:suppressLineNumbers w:val="0"/>
              <w:spacing w:before="0" w:beforeAutospacing="0" w:after="0" w:afterAutospacing="0" w:line="360" w:lineRule="auto"/>
              <w:ind w:left="0" w:right="0"/>
              <w:rPr>
                <w:rFonts w:hint="eastAsia" w:ascii="宋体" w:hAnsi="宋体" w:cs="宋体"/>
                <w:color w:val="auto"/>
                <w:szCs w:val="21"/>
                <w:highlight w:val="none"/>
              </w:rPr>
            </w:pPr>
            <w:r>
              <w:rPr>
                <w:rFonts w:hint="eastAsia" w:ascii="宋体" w:hAnsi="宋体" w:cs="宋体"/>
                <w:color w:val="auto"/>
                <w:szCs w:val="21"/>
                <w:highlight w:val="none"/>
              </w:rPr>
              <w:t>　</w:t>
            </w:r>
          </w:p>
        </w:tc>
      </w:tr>
    </w:tbl>
    <w:p w14:paraId="2AC66444">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八、协议双方须认真履行本协议所列条款。承包人不履行或不认真履行协议规定条款，经劝告无效，发包人有权提出警告、罚款直至解除承包合同。</w:t>
      </w:r>
    </w:p>
    <w:p w14:paraId="21B026AF">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九、以上条款中发包人的部分职权可由本工程的监理单位的专职安全人员执行。</w:t>
      </w:r>
    </w:p>
    <w:p w14:paraId="5129A664">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十、工程竣工后必须持本协议，经发包人安全部门按照前述条款办理完安全奖惩处理手续后，方可进行结算，否则不予办理结算手续。</w:t>
      </w:r>
    </w:p>
    <w:p w14:paraId="40A8FEDF">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十一、本协议未尽事宜，按国家有关规定，由双方协商解决。</w:t>
      </w:r>
    </w:p>
    <w:p w14:paraId="1AF92055">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十二、本协议正本四份，发包人、承包人各俩份；副本四份，发包人、承包人各执俩份。</w:t>
      </w:r>
    </w:p>
    <w:p w14:paraId="43AD39E3">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十三、协议有效期限：本协议随主合同同时生效，至发包人向承包人颁发最终竣工验收证书后失效。</w:t>
      </w:r>
    </w:p>
    <w:p w14:paraId="1440F441">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十四、本合同工程执行过程中，项目所在地应急管理部门等主管部门如有对发包人关于安全文明施工方面的处罚，或发生安全事故导致的发包人向第三方的赔偿责任，由承包人全额向发包人赔付。同时安全事故将导致发包人行业声誉受损，对发包人后续业务开展将导致重大不利影响，发包人有权按照所有处罚/赔付金额的50%向承包人主张惩罚性违约金。所有处罚/赔付金额以及惩罚性违约金发包人有权从合同款项中直接扣除。</w:t>
      </w:r>
    </w:p>
    <w:p w14:paraId="4B0E79EC">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发包人：_____________________________（盖章）</w:t>
      </w:r>
    </w:p>
    <w:p w14:paraId="325B4822">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法定代表人或授权委托人：</w:t>
      </w:r>
      <w:r>
        <w:rPr>
          <w:rFonts w:hint="eastAsia" w:ascii="宋体" w:hAnsi="宋体" w:cs="宋体"/>
          <w:color w:val="auto"/>
          <w:szCs w:val="21"/>
          <w:highlight w:val="none"/>
        </w:rPr>
        <w:tab/>
      </w:r>
      <w:r>
        <w:rPr>
          <w:rFonts w:hint="eastAsia" w:ascii="宋体" w:hAnsi="宋体" w:cs="宋体"/>
          <w:color w:val="auto"/>
          <w:szCs w:val="21"/>
          <w:highlight w:val="none"/>
        </w:rPr>
        <w:tab/>
      </w:r>
      <w:r>
        <w:rPr>
          <w:rFonts w:hint="eastAsia" w:ascii="宋体" w:hAnsi="宋体" w:cs="宋体"/>
          <w:color w:val="auto"/>
          <w:szCs w:val="21"/>
          <w:highlight w:val="none"/>
        </w:rPr>
        <w:tab/>
      </w:r>
      <w:r>
        <w:rPr>
          <w:rFonts w:hint="eastAsia" w:ascii="宋体" w:hAnsi="宋体" w:cs="宋体"/>
          <w:color w:val="auto"/>
          <w:szCs w:val="21"/>
          <w:highlight w:val="none"/>
        </w:rPr>
        <w:tab/>
      </w:r>
    </w:p>
    <w:p w14:paraId="68890BAF">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发包人：_____________________________（盖章）</w:t>
      </w:r>
    </w:p>
    <w:p w14:paraId="5C1D0CFF">
      <w:pPr>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法定代表人或授权委托人：</w:t>
      </w:r>
    </w:p>
    <w:p w14:paraId="573903D9">
      <w:pPr>
        <w:rPr>
          <w:rFonts w:hint="eastAsia"/>
          <w:color w:val="auto"/>
          <w:highlight w:val="none"/>
        </w:rPr>
      </w:pPr>
    </w:p>
    <w:p w14:paraId="72804949">
      <w:pPr>
        <w:pStyle w:val="2"/>
        <w:rPr>
          <w:rFonts w:hint="eastAsia"/>
          <w:color w:val="auto"/>
          <w:highlight w:val="none"/>
        </w:rPr>
      </w:pPr>
    </w:p>
    <w:p w14:paraId="67207B60">
      <w:pPr>
        <w:adjustRightInd w:val="0"/>
        <w:snapToGrid w:val="0"/>
        <w:spacing w:before="120" w:beforeLines="50" w:after="120" w:afterLines="50" w:line="360" w:lineRule="auto"/>
        <w:jc w:val="center"/>
        <w:rPr>
          <w:rFonts w:hint="eastAsia" w:ascii="宋体" w:hAnsi="宋体" w:cs="宋体"/>
          <w:b/>
          <w:color w:val="auto"/>
          <w:sz w:val="24"/>
          <w:highlight w:val="none"/>
        </w:rPr>
      </w:pPr>
      <w:r>
        <w:rPr>
          <w:rFonts w:hint="eastAsia" w:ascii="宋体" w:hAnsi="宋体" w:cs="宋体"/>
          <w:bCs/>
          <w:color w:val="auto"/>
          <w:sz w:val="24"/>
          <w:highlight w:val="none"/>
        </w:rPr>
        <w:br w:type="page"/>
      </w:r>
      <w:r>
        <w:rPr>
          <w:rFonts w:hint="eastAsia" w:ascii="宋体" w:hAnsi="宋体" w:cs="宋体"/>
          <w:b/>
          <w:color w:val="auto"/>
          <w:sz w:val="24"/>
          <w:highlight w:val="none"/>
        </w:rPr>
        <w:t>工程质量保修书</w:t>
      </w:r>
    </w:p>
    <w:p w14:paraId="066F7673">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发包人（全称）：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14:paraId="43ACC1D9">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承包人（全称）：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14:paraId="244703CE">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发包人和承包人根据《中华人民共和国建筑法》和《建设工程质量管理条例》，经协商一致就_______________（工程全称）签订工程质量保修书。</w:t>
      </w:r>
    </w:p>
    <w:p w14:paraId="2C4BBC6C">
      <w:pPr>
        <w:adjustRightInd w:val="0"/>
        <w:snapToGrid w:val="0"/>
        <w:spacing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一、工程质量保修范围和内容</w:t>
      </w:r>
    </w:p>
    <w:p w14:paraId="061FAF9D">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承包人在质量保修期内，按照有关法律规定和合同约定，承担工程质量保修责任。</w:t>
      </w:r>
    </w:p>
    <w:p w14:paraId="10119D75">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质量保修范围包括地基基础工程、主体结构工程，屋面防水工程、有防水要求的卫生间、房间和外墙面的防渗漏，供热与供冷系统，电气管线、给排水管道、设备安装和装修工程，以及双方约定的其他项目。</w:t>
      </w:r>
    </w:p>
    <w:p w14:paraId="2D891531">
      <w:pPr>
        <w:adjustRightInd w:val="0"/>
        <w:snapToGrid w:val="0"/>
        <w:spacing w:line="360" w:lineRule="auto"/>
        <w:ind w:firstLine="413" w:firstLineChars="196"/>
        <w:rPr>
          <w:rFonts w:hint="eastAsia" w:ascii="宋体" w:hAnsi="宋体" w:cs="宋体"/>
          <w:b/>
          <w:color w:val="auto"/>
          <w:szCs w:val="21"/>
          <w:highlight w:val="none"/>
        </w:rPr>
      </w:pPr>
      <w:r>
        <w:rPr>
          <w:rFonts w:hint="eastAsia" w:ascii="宋体" w:hAnsi="宋体" w:cs="宋体"/>
          <w:b/>
          <w:color w:val="auto"/>
          <w:szCs w:val="21"/>
          <w:highlight w:val="none"/>
        </w:rPr>
        <w:t>二、质量保修期</w:t>
      </w:r>
    </w:p>
    <w:p w14:paraId="055E4460">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根据《建设工程质量管理条例》及有关规定，工程的质量保修期如下：</w:t>
      </w:r>
    </w:p>
    <w:p w14:paraId="2CCCA732">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 地基基础工程和主体结构工程为设计文件规定的工程合理使用年限；</w:t>
      </w:r>
    </w:p>
    <w:p w14:paraId="41650A4E">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 屋面防水工程、有防水要求的卫生间、房间和外墙面的防渗为</w:t>
      </w:r>
      <w:r>
        <w:rPr>
          <w:rFonts w:hint="eastAsia" w:ascii="宋体" w:hAnsi="宋体" w:cs="宋体"/>
          <w:color w:val="auto"/>
          <w:szCs w:val="21"/>
          <w:highlight w:val="none"/>
          <w:u w:val="single"/>
        </w:rPr>
        <w:t>5</w:t>
      </w:r>
      <w:r>
        <w:rPr>
          <w:rFonts w:hint="eastAsia" w:ascii="宋体" w:hAnsi="宋体" w:cs="宋体"/>
          <w:color w:val="auto"/>
          <w:szCs w:val="21"/>
          <w:highlight w:val="none"/>
        </w:rPr>
        <w:t>年；</w:t>
      </w:r>
    </w:p>
    <w:p w14:paraId="23878A66">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 装修工程为</w:t>
      </w:r>
      <w:r>
        <w:rPr>
          <w:rFonts w:hint="eastAsia" w:ascii="宋体" w:hAnsi="宋体" w:cs="宋体"/>
          <w:color w:val="auto"/>
          <w:szCs w:val="21"/>
          <w:highlight w:val="none"/>
          <w:u w:val="single"/>
        </w:rPr>
        <w:t>2</w:t>
      </w:r>
      <w:r>
        <w:rPr>
          <w:rFonts w:hint="eastAsia" w:ascii="宋体" w:hAnsi="宋体" w:cs="宋体"/>
          <w:color w:val="auto"/>
          <w:szCs w:val="21"/>
          <w:highlight w:val="none"/>
        </w:rPr>
        <w:t>年；</w:t>
      </w:r>
    </w:p>
    <w:p w14:paraId="724E2E9B">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 电气管线、给排水管道、设备安装工程为</w:t>
      </w:r>
      <w:r>
        <w:rPr>
          <w:rFonts w:hint="eastAsia" w:ascii="宋体" w:hAnsi="宋体" w:cs="宋体"/>
          <w:color w:val="auto"/>
          <w:szCs w:val="21"/>
          <w:highlight w:val="none"/>
          <w:u w:val="single"/>
        </w:rPr>
        <w:t>2</w:t>
      </w:r>
      <w:r>
        <w:rPr>
          <w:rFonts w:hint="eastAsia" w:ascii="宋体" w:hAnsi="宋体" w:cs="宋体"/>
          <w:color w:val="auto"/>
          <w:szCs w:val="21"/>
          <w:highlight w:val="none"/>
        </w:rPr>
        <w:t>年；</w:t>
      </w:r>
    </w:p>
    <w:p w14:paraId="02D023C2">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 供热与供冷系统为</w:t>
      </w:r>
      <w:r>
        <w:rPr>
          <w:rFonts w:hint="eastAsia" w:ascii="宋体" w:hAnsi="宋体" w:cs="宋体"/>
          <w:color w:val="auto"/>
          <w:szCs w:val="21"/>
          <w:highlight w:val="none"/>
          <w:u w:val="single"/>
        </w:rPr>
        <w:t>2</w:t>
      </w:r>
      <w:r>
        <w:rPr>
          <w:rFonts w:hint="eastAsia" w:ascii="宋体" w:hAnsi="宋体" w:cs="宋体"/>
          <w:color w:val="auto"/>
          <w:szCs w:val="21"/>
          <w:highlight w:val="none"/>
        </w:rPr>
        <w:t>个采暖期、供冷期；</w:t>
      </w:r>
    </w:p>
    <w:p w14:paraId="3692158B">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6. 住宅小区内的给排水设施、道路等配套工程为</w:t>
      </w:r>
      <w:r>
        <w:rPr>
          <w:rFonts w:hint="eastAsia" w:ascii="宋体" w:hAnsi="宋体" w:cs="宋体"/>
          <w:color w:val="auto"/>
          <w:szCs w:val="21"/>
          <w:highlight w:val="none"/>
          <w:u w:val="single"/>
        </w:rPr>
        <w:t>2</w:t>
      </w:r>
      <w:r>
        <w:rPr>
          <w:rFonts w:hint="eastAsia" w:ascii="宋体" w:hAnsi="宋体" w:cs="宋体"/>
          <w:color w:val="auto"/>
          <w:szCs w:val="21"/>
          <w:highlight w:val="none"/>
        </w:rPr>
        <w:t>年；</w:t>
      </w:r>
    </w:p>
    <w:p w14:paraId="4008106A">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7. 其他项目保修期限约定如下：</w:t>
      </w:r>
      <w:r>
        <w:rPr>
          <w:rFonts w:hint="eastAsia" w:ascii="宋体" w:hAnsi="宋体" w:cs="宋体"/>
          <w:color w:val="auto"/>
          <w:szCs w:val="21"/>
          <w:highlight w:val="none"/>
          <w:u w:val="single"/>
        </w:rPr>
        <w:t>保温工程5年</w:t>
      </w:r>
      <w:r>
        <w:rPr>
          <w:rFonts w:hint="eastAsia" w:ascii="宋体" w:hAnsi="宋体" w:cs="宋体"/>
          <w:color w:val="auto"/>
          <w:szCs w:val="21"/>
          <w:highlight w:val="none"/>
        </w:rPr>
        <w:t>。</w:t>
      </w:r>
    </w:p>
    <w:p w14:paraId="0CE6D95B">
      <w:pPr>
        <w:adjustRightInd w:val="0"/>
        <w:snapToGrid w:val="0"/>
        <w:spacing w:line="360" w:lineRule="auto"/>
        <w:ind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8.光伏板产品质保10年、发电量质保25 年、逆变器质保5年，其他电器设备2年质保。</w:t>
      </w:r>
    </w:p>
    <w:p w14:paraId="5DC9C6F8">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质量保修期自工程竣工验收合格之日起计算。</w:t>
      </w:r>
    </w:p>
    <w:p w14:paraId="2469AAF8">
      <w:pPr>
        <w:adjustRightInd w:val="0"/>
        <w:snapToGrid w:val="0"/>
        <w:spacing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三、缺陷责任期</w:t>
      </w:r>
    </w:p>
    <w:p w14:paraId="2AFB0A55">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工程缺陷责任期为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，缺陷责任期自工程竣工验收合格之日起计算。单位工程先于全部工程进行验收，单位工程缺陷责任期自单位工程验收合格之日起算。</w:t>
      </w:r>
    </w:p>
    <w:p w14:paraId="47661177">
      <w:pPr>
        <w:adjustRightInd w:val="0"/>
        <w:snapToGrid w:val="0"/>
        <w:spacing w:line="360" w:lineRule="auto"/>
        <w:ind w:firstLine="420" w:firstLineChars="200"/>
        <w:rPr>
          <w:rFonts w:hint="eastAsia" w:ascii="宋体" w:hAnsi="宋体" w:cs="宋体"/>
          <w:b/>
          <w:color w:val="auto"/>
          <w:szCs w:val="21"/>
          <w:highlight w:val="none"/>
        </w:rPr>
      </w:pPr>
      <w:r>
        <w:rPr>
          <w:rFonts w:hint="eastAsia" w:ascii="宋体" w:hAnsi="宋体" w:cs="宋体"/>
          <w:color w:val="auto"/>
          <w:szCs w:val="21"/>
          <w:highlight w:val="none"/>
        </w:rPr>
        <w:t>缺陷责任期终止后，发包人应退还剩余的质量保证金。</w:t>
      </w:r>
    </w:p>
    <w:p w14:paraId="2FB81FDC">
      <w:pPr>
        <w:adjustRightInd w:val="0"/>
        <w:snapToGrid w:val="0"/>
        <w:spacing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四、质量保修责任</w:t>
      </w:r>
    </w:p>
    <w:p w14:paraId="4AF7BD59">
      <w:pPr>
        <w:adjustRightInd w:val="0"/>
        <w:snapToGrid w:val="0"/>
        <w:spacing w:line="360" w:lineRule="auto"/>
        <w:ind w:firstLine="430" w:firstLineChars="205"/>
        <w:rPr>
          <w:rFonts w:hint="eastAsia" w:ascii="宋体" w:hAnsi="宋体" w:cs="宋体"/>
          <w:color w:val="auto"/>
          <w:szCs w:val="21"/>
          <w:highlight w:val="none"/>
        </w:rPr>
      </w:pPr>
      <w:r>
        <w:rPr>
          <w:rFonts w:hint="eastAsia" w:ascii="宋体" w:hAnsi="宋体" w:cs="宋体"/>
          <w:color w:val="auto"/>
          <w:szCs w:val="21"/>
          <w:highlight w:val="none"/>
        </w:rPr>
        <w:t>1. 属于保修范围、内容的项目，承包人应当在接到保修通知之日起7天内派人保修。承包人不在约定期限内派人保修的，发包人可以委托他人修理。</w:t>
      </w:r>
    </w:p>
    <w:p w14:paraId="4B1AD481">
      <w:pPr>
        <w:adjustRightInd w:val="0"/>
        <w:snapToGrid w:val="0"/>
        <w:spacing w:line="360" w:lineRule="auto"/>
        <w:ind w:firstLine="430" w:firstLineChars="205"/>
        <w:rPr>
          <w:rFonts w:hint="eastAsia" w:ascii="宋体" w:hAnsi="宋体" w:cs="宋体"/>
          <w:color w:val="auto"/>
          <w:szCs w:val="21"/>
          <w:highlight w:val="none"/>
        </w:rPr>
      </w:pPr>
      <w:r>
        <w:rPr>
          <w:rFonts w:hint="eastAsia" w:ascii="宋体" w:hAnsi="宋体" w:cs="宋体"/>
          <w:color w:val="auto"/>
          <w:szCs w:val="21"/>
          <w:highlight w:val="none"/>
        </w:rPr>
        <w:t>2. 发生紧急事故需抢修的，承包人在接到事故通知后，应当立即到达事故现场抢修。</w:t>
      </w:r>
    </w:p>
    <w:p w14:paraId="135DC84C">
      <w:pPr>
        <w:adjustRightInd w:val="0"/>
        <w:snapToGrid w:val="0"/>
        <w:spacing w:line="360" w:lineRule="auto"/>
        <w:ind w:firstLine="430" w:firstLineChars="205"/>
        <w:rPr>
          <w:rFonts w:hint="eastAsia" w:ascii="宋体" w:hAnsi="宋体" w:cs="宋体"/>
          <w:color w:val="auto"/>
          <w:szCs w:val="21"/>
          <w:highlight w:val="none"/>
        </w:rPr>
      </w:pPr>
      <w:r>
        <w:rPr>
          <w:rFonts w:hint="eastAsia" w:ascii="宋体" w:hAnsi="宋体" w:cs="宋体"/>
          <w:color w:val="auto"/>
          <w:szCs w:val="21"/>
          <w:highlight w:val="none"/>
        </w:rPr>
        <w:t>3. 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A941F30">
      <w:pPr>
        <w:adjustRightInd w:val="0"/>
        <w:snapToGrid w:val="0"/>
        <w:spacing w:line="360" w:lineRule="auto"/>
        <w:ind w:firstLine="430" w:firstLineChars="205"/>
        <w:rPr>
          <w:rFonts w:hint="eastAsia" w:ascii="宋体" w:hAnsi="宋体" w:cs="宋体"/>
          <w:color w:val="auto"/>
          <w:szCs w:val="21"/>
          <w:highlight w:val="none"/>
        </w:rPr>
      </w:pPr>
      <w:r>
        <w:rPr>
          <w:rFonts w:hint="eastAsia" w:ascii="宋体" w:hAnsi="宋体" w:cs="宋体"/>
          <w:color w:val="auto"/>
          <w:szCs w:val="21"/>
          <w:highlight w:val="none"/>
        </w:rPr>
        <w:t>4. 质量保修完成后，由发包人组织验收。</w:t>
      </w:r>
    </w:p>
    <w:p w14:paraId="36FF3CEF">
      <w:pPr>
        <w:adjustRightInd w:val="0"/>
        <w:snapToGrid w:val="0"/>
        <w:spacing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五、保修费用</w:t>
      </w:r>
    </w:p>
    <w:p w14:paraId="541386C8">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保修费用由造成质量缺陷的责任方承担。</w:t>
      </w:r>
    </w:p>
    <w:p w14:paraId="1C8F1FBE">
      <w:pPr>
        <w:adjustRightInd w:val="0"/>
        <w:snapToGrid w:val="0"/>
        <w:spacing w:line="360" w:lineRule="auto"/>
        <w:ind w:firstLine="422" w:firstLineChars="200"/>
        <w:rPr>
          <w:rFonts w:hint="eastAsia" w:ascii="宋体" w:hAnsi="宋体" w:cs="宋体"/>
          <w:b/>
          <w:color w:val="auto"/>
          <w:szCs w:val="21"/>
          <w:highlight w:val="none"/>
        </w:rPr>
      </w:pPr>
      <w:r>
        <w:rPr>
          <w:rFonts w:hint="eastAsia" w:ascii="宋体" w:hAnsi="宋体" w:cs="宋体"/>
          <w:b/>
          <w:color w:val="auto"/>
          <w:szCs w:val="21"/>
          <w:highlight w:val="none"/>
        </w:rPr>
        <w:t>六、双方约定的其他工程质量保修事项：</w:t>
      </w:r>
      <w:r>
        <w:rPr>
          <w:rFonts w:hint="eastAsia" w:ascii="宋体" w:hAnsi="宋体" w:cs="宋体"/>
          <w:b/>
          <w:color w:val="auto"/>
          <w:szCs w:val="21"/>
          <w:highlight w:val="none"/>
          <w:u w:val="single"/>
        </w:rPr>
        <w:t xml:space="preserve">             </w:t>
      </w:r>
      <w:r>
        <w:rPr>
          <w:rFonts w:hint="eastAsia" w:ascii="宋体" w:hAnsi="宋体" w:cs="宋体"/>
          <w:b/>
          <w:color w:val="auto"/>
          <w:szCs w:val="21"/>
          <w:highlight w:val="none"/>
        </w:rPr>
        <w:t>。</w:t>
      </w:r>
    </w:p>
    <w:p w14:paraId="36C9E1B9">
      <w:pPr>
        <w:adjustRightInd w:val="0"/>
        <w:snapToGrid w:val="0"/>
        <w:spacing w:line="360" w:lineRule="auto"/>
        <w:ind w:firstLine="399" w:firstLineChars="190"/>
        <w:rPr>
          <w:rFonts w:hint="eastAsia" w:ascii="宋体" w:hAnsi="宋体" w:cs="宋体"/>
          <w:color w:val="auto"/>
          <w:szCs w:val="21"/>
          <w:highlight w:val="none"/>
        </w:rPr>
      </w:pPr>
      <w:r>
        <w:rPr>
          <w:rFonts w:hint="eastAsia" w:ascii="宋体" w:hAnsi="宋体" w:cs="宋体"/>
          <w:color w:val="auto"/>
          <w:szCs w:val="21"/>
          <w:highlight w:val="none"/>
        </w:rPr>
        <w:t>工程质量保修书由发包人、承包人在工程竣工验收前共同签署，作为施工合同附件，其有效期限至保修期满。</w:t>
      </w:r>
    </w:p>
    <w:p w14:paraId="2A4718A8">
      <w:pPr>
        <w:adjustRightInd w:val="0"/>
        <w:snapToGrid w:val="0"/>
        <w:spacing w:line="360" w:lineRule="auto"/>
        <w:ind w:firstLine="420"/>
        <w:rPr>
          <w:rFonts w:hint="eastAsia" w:ascii="宋体" w:hAnsi="宋体" w:cs="宋体"/>
          <w:color w:val="auto"/>
          <w:szCs w:val="21"/>
          <w:highlight w:val="none"/>
        </w:rPr>
      </w:pPr>
    </w:p>
    <w:p w14:paraId="0521E6B4">
      <w:pPr>
        <w:adjustRightInd w:val="0"/>
        <w:snapToGrid w:val="0"/>
        <w:spacing w:line="360" w:lineRule="auto"/>
        <w:ind w:firstLine="420"/>
        <w:rPr>
          <w:rFonts w:hint="eastAsia" w:ascii="宋体" w:hAnsi="宋体" w:cs="宋体"/>
          <w:color w:val="auto"/>
          <w:szCs w:val="21"/>
          <w:highlight w:val="none"/>
        </w:rPr>
      </w:pPr>
    </w:p>
    <w:p w14:paraId="6564E22E">
      <w:pPr>
        <w:adjustRightInd w:val="0"/>
        <w:snapToGrid w:val="0"/>
        <w:spacing w:line="360" w:lineRule="auto"/>
        <w:rPr>
          <w:rFonts w:hint="eastAsia" w:ascii="宋体" w:hAnsi="宋体" w:cs="宋体"/>
          <w:color w:val="auto"/>
          <w:szCs w:val="21"/>
          <w:highlight w:val="none"/>
          <w:u w:val="single"/>
        </w:rPr>
      </w:pPr>
      <w:r>
        <w:rPr>
          <w:rFonts w:hint="eastAsia" w:ascii="宋体" w:hAnsi="宋体" w:cs="宋体"/>
          <w:color w:val="auto"/>
          <w:szCs w:val="21"/>
          <w:highlight w:val="none"/>
        </w:rPr>
        <w:t>发包人(公章)：</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承包人(公章)：</w:t>
      </w:r>
      <w:r>
        <w:rPr>
          <w:rFonts w:hint="eastAsia" w:ascii="宋体" w:hAnsi="宋体" w:cs="宋体"/>
          <w:color w:val="auto"/>
          <w:szCs w:val="21"/>
          <w:highlight w:val="none"/>
          <w:u w:val="single"/>
        </w:rPr>
        <w:t xml:space="preserve">           </w:t>
      </w:r>
    </w:p>
    <w:p w14:paraId="3D297B14">
      <w:pPr>
        <w:adjustRightInd w:val="0"/>
        <w:snapToGrid w:val="0"/>
        <w:spacing w:line="360" w:lineRule="auto"/>
        <w:rPr>
          <w:rFonts w:hint="eastAsia" w:ascii="宋体" w:hAnsi="宋体" w:cs="宋体"/>
          <w:color w:val="auto"/>
          <w:szCs w:val="21"/>
          <w:highlight w:val="none"/>
          <w:u w:val="single"/>
        </w:rPr>
      </w:pPr>
      <w:r>
        <w:rPr>
          <w:rFonts w:hint="eastAsia" w:ascii="宋体" w:hAnsi="宋体" w:cs="宋体"/>
          <w:color w:val="auto"/>
          <w:szCs w:val="21"/>
          <w:highlight w:val="none"/>
        </w:rPr>
        <w:t>地  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地  址：</w:t>
      </w:r>
      <w:r>
        <w:rPr>
          <w:rFonts w:hint="eastAsia" w:ascii="宋体" w:hAnsi="宋体" w:cs="宋体"/>
          <w:color w:val="auto"/>
          <w:szCs w:val="21"/>
          <w:highlight w:val="none"/>
          <w:u w:val="single"/>
        </w:rPr>
        <w:t xml:space="preserve">                    </w:t>
      </w:r>
    </w:p>
    <w:p w14:paraId="335FFD44">
      <w:pPr>
        <w:adjustRightInd w:val="0"/>
        <w:snapToGrid w:val="0"/>
        <w:spacing w:line="360" w:lineRule="auto"/>
        <w:rPr>
          <w:rFonts w:hint="eastAsia" w:ascii="宋体" w:hAnsi="宋体" w:cs="宋体"/>
          <w:color w:val="auto"/>
          <w:szCs w:val="21"/>
          <w:highlight w:val="none"/>
          <w:u w:val="single"/>
        </w:rPr>
      </w:pPr>
      <w:r>
        <w:rPr>
          <w:rFonts w:hint="eastAsia" w:ascii="宋体" w:hAnsi="宋体" w:cs="宋体"/>
          <w:color w:val="auto"/>
          <w:szCs w:val="21"/>
          <w:highlight w:val="none"/>
        </w:rPr>
        <w:t>法定代表人(签字)：</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法定代表人(签字)：</w:t>
      </w:r>
      <w:r>
        <w:rPr>
          <w:rFonts w:hint="eastAsia" w:ascii="宋体" w:hAnsi="宋体" w:cs="宋体"/>
          <w:color w:val="auto"/>
          <w:szCs w:val="21"/>
          <w:highlight w:val="none"/>
          <w:u w:val="single"/>
        </w:rPr>
        <w:t xml:space="preserve">           </w:t>
      </w:r>
    </w:p>
    <w:p w14:paraId="612F52FB">
      <w:pPr>
        <w:adjustRightInd w:val="0"/>
        <w:snapToGrid w:val="0"/>
        <w:spacing w:line="360" w:lineRule="auto"/>
        <w:rPr>
          <w:rFonts w:hint="eastAsia" w:ascii="宋体" w:hAnsi="宋体" w:cs="宋体"/>
          <w:color w:val="auto"/>
          <w:szCs w:val="21"/>
          <w:highlight w:val="none"/>
          <w:u w:val="single"/>
        </w:rPr>
      </w:pPr>
      <w:r>
        <w:rPr>
          <w:rFonts w:hint="eastAsia" w:ascii="宋体" w:hAnsi="宋体" w:cs="宋体"/>
          <w:color w:val="auto"/>
          <w:szCs w:val="21"/>
          <w:highlight w:val="none"/>
        </w:rPr>
        <w:t>委托代理人(签字)：</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委托代理人(签字)：</w:t>
      </w:r>
      <w:r>
        <w:rPr>
          <w:rFonts w:hint="eastAsia" w:ascii="宋体" w:hAnsi="宋体" w:cs="宋体"/>
          <w:color w:val="auto"/>
          <w:szCs w:val="21"/>
          <w:highlight w:val="none"/>
          <w:u w:val="single"/>
        </w:rPr>
        <w:t xml:space="preserve">            </w:t>
      </w:r>
    </w:p>
    <w:p w14:paraId="58BF5F18">
      <w:pPr>
        <w:adjustRightInd w:val="0"/>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电  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rPr>
        <w:t xml:space="preserve">                     </w:t>
      </w:r>
    </w:p>
    <w:p w14:paraId="502E26EE">
      <w:pPr>
        <w:adjustRightInd w:val="0"/>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传  真：</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传  真：</w:t>
      </w:r>
      <w:r>
        <w:rPr>
          <w:rFonts w:hint="eastAsia" w:ascii="宋体" w:hAnsi="宋体" w:cs="宋体"/>
          <w:color w:val="auto"/>
          <w:szCs w:val="21"/>
          <w:highlight w:val="none"/>
          <w:u w:val="single"/>
        </w:rPr>
        <w:t xml:space="preserve">                   </w:t>
      </w:r>
    </w:p>
    <w:p w14:paraId="2BDA2F6F">
      <w:pPr>
        <w:adjustRightInd w:val="0"/>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开户银行：</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开户银行：</w:t>
      </w:r>
      <w:r>
        <w:rPr>
          <w:rFonts w:hint="eastAsia" w:ascii="宋体" w:hAnsi="宋体" w:cs="宋体"/>
          <w:color w:val="auto"/>
          <w:szCs w:val="21"/>
          <w:highlight w:val="none"/>
          <w:u w:val="single"/>
        </w:rPr>
        <w:t xml:space="preserve">                   </w:t>
      </w:r>
    </w:p>
    <w:p w14:paraId="1831A9C5">
      <w:pPr>
        <w:adjustRightInd w:val="0"/>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账  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账  号：</w:t>
      </w:r>
      <w:r>
        <w:rPr>
          <w:rFonts w:hint="eastAsia" w:ascii="宋体" w:hAnsi="宋体" w:cs="宋体"/>
          <w:color w:val="auto"/>
          <w:szCs w:val="21"/>
          <w:highlight w:val="none"/>
          <w:u w:val="single"/>
        </w:rPr>
        <w:t xml:space="preserve">                     </w:t>
      </w:r>
    </w:p>
    <w:p w14:paraId="7AACB53B">
      <w:pPr>
        <w:adjustRightInd w:val="0"/>
        <w:snapToGrid w:val="0"/>
        <w:spacing w:line="360" w:lineRule="auto"/>
        <w:rPr>
          <w:rFonts w:hint="eastAsia" w:ascii="宋体" w:hAnsi="宋体" w:cs="宋体"/>
          <w:color w:val="auto"/>
          <w:sz w:val="24"/>
          <w:highlight w:val="none"/>
        </w:rPr>
      </w:pPr>
      <w:r>
        <w:rPr>
          <w:rFonts w:hint="eastAsia" w:ascii="宋体" w:hAnsi="宋体" w:cs="宋体"/>
          <w:color w:val="auto"/>
          <w:szCs w:val="21"/>
          <w:highlight w:val="none"/>
        </w:rPr>
        <w:t>邮政编码：</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邮政编码：</w:t>
      </w:r>
      <w:r>
        <w:rPr>
          <w:rFonts w:hint="eastAsia" w:ascii="宋体" w:hAnsi="宋体" w:cs="宋体"/>
          <w:color w:val="auto"/>
          <w:szCs w:val="21"/>
          <w:highlight w:val="none"/>
          <w:u w:val="single"/>
        </w:rPr>
        <w:t xml:space="preserve">                   </w:t>
      </w:r>
    </w:p>
    <w:p w14:paraId="09D7AFA8">
      <w:pPr>
        <w:widowControl/>
        <w:jc w:val="left"/>
        <w:rPr>
          <w:rFonts w:hint="eastAsia" w:ascii="宋体" w:hAnsi="宋体" w:cs="宋体"/>
          <w:b/>
          <w:color w:val="auto"/>
          <w:sz w:val="24"/>
          <w:highlight w:val="none"/>
        </w:rPr>
      </w:pPr>
    </w:p>
    <w:p w14:paraId="4F8037FD">
      <w:pPr>
        <w:pStyle w:val="2"/>
        <w:rPr>
          <w:rFonts w:hint="eastAsia"/>
          <w:color w:val="auto"/>
          <w:highlight w:val="none"/>
        </w:rPr>
      </w:pPr>
    </w:p>
    <w:p w14:paraId="4A7718FF">
      <w:pPr>
        <w:rPr>
          <w:rFonts w:hint="eastAsia"/>
          <w:color w:val="auto"/>
          <w:highlight w:val="none"/>
        </w:rPr>
      </w:pPr>
    </w:p>
    <w:p w14:paraId="10D5DC67">
      <w:pPr>
        <w:keepNext/>
        <w:keepLines/>
        <w:spacing w:before="120" w:after="120" w:line="360" w:lineRule="auto"/>
        <w:jc w:val="left"/>
        <w:outlineLvl w:val="2"/>
        <w:rPr>
          <w:rFonts w:hint="eastAsia" w:ascii="宋体" w:hAnsi="宋体" w:cs="宋体"/>
          <w:bCs/>
          <w:color w:val="auto"/>
          <w:sz w:val="24"/>
          <w:highlight w:val="none"/>
        </w:rPr>
      </w:pPr>
      <w:r>
        <w:rPr>
          <w:rFonts w:hint="eastAsia" w:ascii="宋体" w:hAnsi="宋体" w:cs="宋体"/>
          <w:bCs/>
          <w:color w:val="auto"/>
          <w:sz w:val="24"/>
          <w:highlight w:val="none"/>
        </w:rPr>
        <w:t>附件：承包人用于本工程施工的机械设备表</w:t>
      </w:r>
    </w:p>
    <w:p w14:paraId="26840D53">
      <w:pPr>
        <w:spacing w:before="120" w:beforeLines="50" w:after="120" w:afterLines="50"/>
        <w:jc w:val="center"/>
        <w:rPr>
          <w:rFonts w:hint="eastAsia" w:ascii="宋体" w:hAnsi="宋体" w:cs="宋体"/>
          <w:color w:val="auto"/>
          <w:szCs w:val="21"/>
          <w:highlight w:val="none"/>
        </w:rPr>
      </w:pPr>
      <w:r>
        <w:rPr>
          <w:rFonts w:hint="eastAsia" w:ascii="宋体" w:hAnsi="宋体" w:cs="宋体"/>
          <w:color w:val="auto"/>
          <w:szCs w:val="21"/>
          <w:highlight w:val="none"/>
        </w:rPr>
        <w:t>承包人用于本工程施工的机械设备表</w:t>
      </w:r>
    </w:p>
    <w:tbl>
      <w:tblPr>
        <w:tblStyle w:val="46"/>
        <w:tblW w:w="8959"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737"/>
        <w:gridCol w:w="1418"/>
        <w:gridCol w:w="850"/>
        <w:gridCol w:w="709"/>
        <w:gridCol w:w="850"/>
        <w:gridCol w:w="963"/>
        <w:gridCol w:w="1480"/>
        <w:gridCol w:w="1020"/>
        <w:gridCol w:w="932"/>
      </w:tblGrid>
      <w:tr w14:paraId="662C50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737" w:type="dxa"/>
            <w:tcBorders>
              <w:top w:val="single" w:color="auto" w:sz="12" w:space="0"/>
              <w:bottom w:val="double" w:color="auto" w:sz="6" w:space="0"/>
            </w:tcBorders>
            <w:noWrap w:val="0"/>
            <w:vAlign w:val="center"/>
          </w:tcPr>
          <w:p w14:paraId="506FA1F9">
            <w:pPr>
              <w:keepNext/>
              <w:keepLines w:val="0"/>
              <w:suppressLineNumbers w:val="0"/>
              <w:spacing w:before="0" w:beforeAutospacing="0" w:after="0" w:afterAutospacing="0"/>
              <w:ind w:left="0" w:right="0"/>
              <w:rPr>
                <w:rFonts w:hint="eastAsia" w:ascii="宋体" w:hAnsi="宋体" w:cs="宋体"/>
                <w:color w:val="auto"/>
                <w:szCs w:val="21"/>
                <w:highlight w:val="none"/>
              </w:rPr>
            </w:pPr>
            <w:r>
              <w:rPr>
                <w:rFonts w:hint="eastAsia" w:ascii="宋体" w:hAnsi="宋体" w:cs="宋体"/>
                <w:color w:val="auto"/>
                <w:szCs w:val="21"/>
                <w:highlight w:val="none"/>
              </w:rPr>
              <w:t>序号</w:t>
            </w:r>
          </w:p>
        </w:tc>
        <w:tc>
          <w:tcPr>
            <w:tcW w:w="1418" w:type="dxa"/>
            <w:tcBorders>
              <w:top w:val="single" w:color="auto" w:sz="12" w:space="0"/>
              <w:bottom w:val="double" w:color="auto" w:sz="6" w:space="0"/>
            </w:tcBorders>
            <w:noWrap w:val="0"/>
            <w:vAlign w:val="center"/>
          </w:tcPr>
          <w:p w14:paraId="08897237">
            <w:pPr>
              <w:keepNext/>
              <w:keepLines w:val="0"/>
              <w:suppressLineNumbers w:val="0"/>
              <w:spacing w:before="0" w:beforeAutospacing="0" w:after="0" w:afterAutospacing="0"/>
              <w:ind w:left="0" w:right="0"/>
              <w:rPr>
                <w:rFonts w:hint="eastAsia" w:ascii="宋体" w:hAnsi="宋体" w:cs="宋体"/>
                <w:color w:val="auto"/>
                <w:szCs w:val="21"/>
                <w:highlight w:val="none"/>
              </w:rPr>
            </w:pPr>
            <w:r>
              <w:rPr>
                <w:rFonts w:hint="eastAsia" w:ascii="宋体" w:hAnsi="宋体" w:cs="宋体"/>
                <w:color w:val="auto"/>
                <w:szCs w:val="21"/>
                <w:highlight w:val="none"/>
              </w:rPr>
              <w:t>机械或设备名称</w:t>
            </w:r>
          </w:p>
        </w:tc>
        <w:tc>
          <w:tcPr>
            <w:tcW w:w="850" w:type="dxa"/>
            <w:tcBorders>
              <w:top w:val="single" w:color="auto" w:sz="12" w:space="0"/>
              <w:bottom w:val="double" w:color="auto" w:sz="6" w:space="0"/>
            </w:tcBorders>
            <w:noWrap w:val="0"/>
            <w:vAlign w:val="center"/>
          </w:tcPr>
          <w:p w14:paraId="429C6BE2">
            <w:pPr>
              <w:keepNext/>
              <w:keepLines w:val="0"/>
              <w:suppressLineNumbers w:val="0"/>
              <w:spacing w:before="0" w:beforeAutospacing="0" w:after="0" w:afterAutospacing="0"/>
              <w:ind w:left="0" w:right="0"/>
              <w:rPr>
                <w:rFonts w:hint="eastAsia" w:ascii="宋体" w:hAnsi="宋体" w:cs="宋体"/>
                <w:color w:val="auto"/>
                <w:szCs w:val="21"/>
                <w:highlight w:val="none"/>
              </w:rPr>
            </w:pPr>
            <w:r>
              <w:rPr>
                <w:rFonts w:hint="eastAsia" w:ascii="宋体" w:hAnsi="宋体" w:cs="宋体"/>
                <w:color w:val="auto"/>
                <w:szCs w:val="21"/>
                <w:highlight w:val="none"/>
              </w:rPr>
              <w:t>规格型号</w:t>
            </w:r>
          </w:p>
        </w:tc>
        <w:tc>
          <w:tcPr>
            <w:tcW w:w="709" w:type="dxa"/>
            <w:tcBorders>
              <w:top w:val="single" w:color="auto" w:sz="12" w:space="0"/>
              <w:bottom w:val="double" w:color="auto" w:sz="6" w:space="0"/>
            </w:tcBorders>
            <w:noWrap w:val="0"/>
            <w:vAlign w:val="center"/>
          </w:tcPr>
          <w:p w14:paraId="4F2C13E8">
            <w:pPr>
              <w:keepNext/>
              <w:keepLines w:val="0"/>
              <w:suppressLineNumbers w:val="0"/>
              <w:spacing w:before="0" w:beforeAutospacing="0" w:after="0" w:afterAutospacing="0"/>
              <w:ind w:left="0" w:right="0"/>
              <w:rPr>
                <w:rFonts w:hint="eastAsia" w:ascii="宋体" w:hAnsi="宋体" w:cs="宋体"/>
                <w:color w:val="auto"/>
                <w:szCs w:val="21"/>
                <w:highlight w:val="none"/>
              </w:rPr>
            </w:pPr>
            <w:r>
              <w:rPr>
                <w:rFonts w:hint="eastAsia" w:ascii="宋体" w:hAnsi="宋体" w:cs="宋体"/>
                <w:color w:val="auto"/>
                <w:szCs w:val="21"/>
                <w:highlight w:val="none"/>
              </w:rPr>
              <w:t>数量</w:t>
            </w:r>
          </w:p>
        </w:tc>
        <w:tc>
          <w:tcPr>
            <w:tcW w:w="850" w:type="dxa"/>
            <w:tcBorders>
              <w:top w:val="single" w:color="auto" w:sz="12" w:space="0"/>
              <w:bottom w:val="double" w:color="auto" w:sz="6" w:space="0"/>
            </w:tcBorders>
            <w:noWrap w:val="0"/>
            <w:vAlign w:val="center"/>
          </w:tcPr>
          <w:p w14:paraId="2C6E50EA">
            <w:pPr>
              <w:keepNext/>
              <w:keepLines w:val="0"/>
              <w:suppressLineNumbers w:val="0"/>
              <w:spacing w:before="0" w:beforeAutospacing="0" w:after="0" w:afterAutospacing="0"/>
              <w:ind w:left="0" w:right="0"/>
              <w:rPr>
                <w:rFonts w:hint="eastAsia" w:ascii="宋体" w:hAnsi="宋体" w:cs="宋体"/>
                <w:color w:val="auto"/>
                <w:szCs w:val="21"/>
                <w:highlight w:val="none"/>
              </w:rPr>
            </w:pPr>
            <w:r>
              <w:rPr>
                <w:rFonts w:hint="eastAsia" w:ascii="宋体" w:hAnsi="宋体" w:cs="宋体"/>
                <w:color w:val="auto"/>
                <w:szCs w:val="21"/>
                <w:highlight w:val="none"/>
              </w:rPr>
              <w:t>产地</w:t>
            </w:r>
          </w:p>
        </w:tc>
        <w:tc>
          <w:tcPr>
            <w:tcW w:w="963" w:type="dxa"/>
            <w:tcBorders>
              <w:top w:val="single" w:color="auto" w:sz="12" w:space="0"/>
              <w:bottom w:val="double" w:color="auto" w:sz="6" w:space="0"/>
            </w:tcBorders>
            <w:noWrap w:val="0"/>
            <w:vAlign w:val="center"/>
          </w:tcPr>
          <w:p w14:paraId="5D3CA3BE">
            <w:pPr>
              <w:keepNext/>
              <w:keepLines w:val="0"/>
              <w:suppressLineNumbers w:val="0"/>
              <w:spacing w:before="0" w:beforeAutospacing="0" w:after="0" w:afterAutospacing="0"/>
              <w:ind w:left="0" w:right="0"/>
              <w:rPr>
                <w:rFonts w:hint="eastAsia" w:ascii="宋体" w:hAnsi="宋体" w:cs="宋体"/>
                <w:color w:val="auto"/>
                <w:szCs w:val="21"/>
                <w:highlight w:val="none"/>
              </w:rPr>
            </w:pPr>
            <w:r>
              <w:rPr>
                <w:rFonts w:hint="eastAsia" w:ascii="宋体" w:hAnsi="宋体" w:cs="宋体"/>
                <w:color w:val="auto"/>
                <w:szCs w:val="21"/>
                <w:highlight w:val="none"/>
              </w:rPr>
              <w:t>制造年份</w:t>
            </w:r>
          </w:p>
        </w:tc>
        <w:tc>
          <w:tcPr>
            <w:tcW w:w="1480" w:type="dxa"/>
            <w:tcBorders>
              <w:top w:val="single" w:color="auto" w:sz="12" w:space="0"/>
              <w:bottom w:val="double" w:color="auto" w:sz="6" w:space="0"/>
            </w:tcBorders>
            <w:noWrap w:val="0"/>
            <w:vAlign w:val="center"/>
          </w:tcPr>
          <w:p w14:paraId="7588D37C">
            <w:pPr>
              <w:keepNext/>
              <w:keepLines w:val="0"/>
              <w:suppressLineNumbers w:val="0"/>
              <w:spacing w:before="0" w:beforeAutospacing="0" w:after="0" w:afterAutospacing="0"/>
              <w:ind w:left="0" w:right="0"/>
              <w:rPr>
                <w:rFonts w:hint="eastAsia" w:ascii="宋体" w:hAnsi="宋体" w:cs="宋体"/>
                <w:color w:val="auto"/>
                <w:szCs w:val="21"/>
                <w:highlight w:val="none"/>
              </w:rPr>
            </w:pPr>
            <w:r>
              <w:rPr>
                <w:rFonts w:hint="eastAsia" w:ascii="宋体" w:hAnsi="宋体" w:cs="宋体"/>
                <w:color w:val="auto"/>
                <w:szCs w:val="21"/>
                <w:highlight w:val="none"/>
              </w:rPr>
              <w:t>额定功率(kW)</w:t>
            </w:r>
          </w:p>
        </w:tc>
        <w:tc>
          <w:tcPr>
            <w:tcW w:w="1020" w:type="dxa"/>
            <w:tcBorders>
              <w:top w:val="single" w:color="auto" w:sz="12" w:space="0"/>
              <w:bottom w:val="double" w:color="auto" w:sz="6" w:space="0"/>
            </w:tcBorders>
            <w:noWrap w:val="0"/>
            <w:vAlign w:val="center"/>
          </w:tcPr>
          <w:p w14:paraId="08E88D7D">
            <w:pPr>
              <w:keepNext/>
              <w:keepLines w:val="0"/>
              <w:suppressLineNumbers w:val="0"/>
              <w:spacing w:before="0" w:beforeAutospacing="0" w:after="0" w:afterAutospacing="0"/>
              <w:ind w:left="0" w:right="0"/>
              <w:rPr>
                <w:rFonts w:hint="eastAsia" w:ascii="宋体" w:hAnsi="宋体" w:cs="宋体"/>
                <w:color w:val="auto"/>
                <w:szCs w:val="21"/>
                <w:highlight w:val="none"/>
              </w:rPr>
            </w:pPr>
            <w:r>
              <w:rPr>
                <w:rFonts w:hint="eastAsia" w:ascii="宋体" w:hAnsi="宋体" w:cs="宋体"/>
                <w:color w:val="auto"/>
                <w:szCs w:val="21"/>
                <w:highlight w:val="none"/>
              </w:rPr>
              <w:t>生产能力</w:t>
            </w:r>
          </w:p>
        </w:tc>
        <w:tc>
          <w:tcPr>
            <w:tcW w:w="932" w:type="dxa"/>
            <w:tcBorders>
              <w:top w:val="single" w:color="auto" w:sz="12" w:space="0"/>
              <w:bottom w:val="double" w:color="auto" w:sz="6" w:space="0"/>
            </w:tcBorders>
            <w:noWrap w:val="0"/>
            <w:vAlign w:val="center"/>
          </w:tcPr>
          <w:p w14:paraId="0AC51DF6">
            <w:pPr>
              <w:keepNext/>
              <w:keepLines w:val="0"/>
              <w:suppressLineNumbers w:val="0"/>
              <w:spacing w:before="0" w:beforeAutospacing="0" w:after="0" w:afterAutospacing="0"/>
              <w:ind w:left="0" w:right="0"/>
              <w:rPr>
                <w:rFonts w:hint="eastAsia" w:ascii="宋体" w:hAnsi="宋体" w:cs="宋体"/>
                <w:color w:val="auto"/>
                <w:szCs w:val="21"/>
                <w:highlight w:val="none"/>
              </w:rPr>
            </w:pPr>
            <w:r>
              <w:rPr>
                <w:rFonts w:hint="eastAsia" w:ascii="宋体" w:hAnsi="宋体" w:cs="宋体"/>
                <w:color w:val="auto"/>
                <w:szCs w:val="21"/>
                <w:highlight w:val="none"/>
              </w:rPr>
              <w:t>备注</w:t>
            </w:r>
          </w:p>
        </w:tc>
      </w:tr>
      <w:tr w14:paraId="639931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737" w:type="dxa"/>
            <w:tcBorders>
              <w:top w:val="double" w:color="auto" w:sz="6" w:space="0"/>
            </w:tcBorders>
            <w:noWrap w:val="0"/>
            <w:vAlign w:val="center"/>
          </w:tcPr>
          <w:p w14:paraId="0923A3C0">
            <w:pPr>
              <w:keepNext/>
              <w:keepLines w:val="0"/>
              <w:suppressLineNumbers w:val="0"/>
              <w:spacing w:before="0" w:beforeAutospacing="0" w:after="0" w:afterAutospacing="0"/>
              <w:ind w:left="0" w:right="0"/>
              <w:rPr>
                <w:rFonts w:hint="eastAsia" w:ascii="宋体" w:hAnsi="宋体" w:cs="宋体"/>
                <w:color w:val="auto"/>
                <w:szCs w:val="21"/>
                <w:highlight w:val="none"/>
              </w:rPr>
            </w:pPr>
          </w:p>
        </w:tc>
        <w:tc>
          <w:tcPr>
            <w:tcW w:w="1418" w:type="dxa"/>
            <w:tcBorders>
              <w:top w:val="double" w:color="auto" w:sz="6" w:space="0"/>
            </w:tcBorders>
            <w:noWrap w:val="0"/>
            <w:vAlign w:val="center"/>
          </w:tcPr>
          <w:p w14:paraId="335BDEDD">
            <w:pPr>
              <w:keepNext/>
              <w:keepLines w:val="0"/>
              <w:suppressLineNumbers w:val="0"/>
              <w:spacing w:before="0" w:beforeAutospacing="0" w:after="0" w:afterAutospacing="0"/>
              <w:ind w:left="0" w:right="0"/>
              <w:rPr>
                <w:rFonts w:hint="eastAsia" w:ascii="宋体" w:hAnsi="宋体" w:cs="宋体"/>
                <w:color w:val="auto"/>
                <w:szCs w:val="21"/>
                <w:highlight w:val="none"/>
              </w:rPr>
            </w:pPr>
          </w:p>
        </w:tc>
        <w:tc>
          <w:tcPr>
            <w:tcW w:w="850" w:type="dxa"/>
            <w:tcBorders>
              <w:top w:val="double" w:color="auto" w:sz="6" w:space="0"/>
            </w:tcBorders>
            <w:noWrap w:val="0"/>
            <w:vAlign w:val="center"/>
          </w:tcPr>
          <w:p w14:paraId="2B88317E">
            <w:pPr>
              <w:keepNext/>
              <w:keepLines w:val="0"/>
              <w:suppressLineNumbers w:val="0"/>
              <w:spacing w:before="0" w:beforeAutospacing="0" w:after="0" w:afterAutospacing="0"/>
              <w:ind w:left="0" w:right="0"/>
              <w:rPr>
                <w:rFonts w:hint="eastAsia" w:ascii="宋体" w:hAnsi="宋体" w:cs="宋体"/>
                <w:color w:val="auto"/>
                <w:szCs w:val="21"/>
                <w:highlight w:val="none"/>
              </w:rPr>
            </w:pPr>
          </w:p>
        </w:tc>
        <w:tc>
          <w:tcPr>
            <w:tcW w:w="709" w:type="dxa"/>
            <w:tcBorders>
              <w:top w:val="double" w:color="auto" w:sz="6" w:space="0"/>
            </w:tcBorders>
            <w:noWrap w:val="0"/>
            <w:vAlign w:val="center"/>
          </w:tcPr>
          <w:p w14:paraId="1A9A7C2F">
            <w:pPr>
              <w:keepNext/>
              <w:keepLines w:val="0"/>
              <w:suppressLineNumbers w:val="0"/>
              <w:spacing w:before="0" w:beforeAutospacing="0" w:after="0" w:afterAutospacing="0"/>
              <w:ind w:left="0" w:right="0"/>
              <w:rPr>
                <w:rFonts w:hint="eastAsia" w:ascii="宋体" w:hAnsi="宋体" w:cs="宋体"/>
                <w:color w:val="auto"/>
                <w:szCs w:val="21"/>
                <w:highlight w:val="none"/>
              </w:rPr>
            </w:pPr>
          </w:p>
        </w:tc>
        <w:tc>
          <w:tcPr>
            <w:tcW w:w="850" w:type="dxa"/>
            <w:tcBorders>
              <w:top w:val="double" w:color="auto" w:sz="6" w:space="0"/>
            </w:tcBorders>
            <w:noWrap w:val="0"/>
            <w:vAlign w:val="center"/>
          </w:tcPr>
          <w:p w14:paraId="4346945C">
            <w:pPr>
              <w:keepNext/>
              <w:keepLines w:val="0"/>
              <w:suppressLineNumbers w:val="0"/>
              <w:spacing w:before="0" w:beforeAutospacing="0" w:after="0" w:afterAutospacing="0"/>
              <w:ind w:left="0" w:right="0"/>
              <w:rPr>
                <w:rFonts w:hint="eastAsia" w:ascii="宋体" w:hAnsi="宋体" w:cs="宋体"/>
                <w:color w:val="auto"/>
                <w:szCs w:val="21"/>
                <w:highlight w:val="none"/>
              </w:rPr>
            </w:pPr>
          </w:p>
        </w:tc>
        <w:tc>
          <w:tcPr>
            <w:tcW w:w="963" w:type="dxa"/>
            <w:tcBorders>
              <w:top w:val="double" w:color="auto" w:sz="6" w:space="0"/>
            </w:tcBorders>
            <w:noWrap w:val="0"/>
            <w:vAlign w:val="center"/>
          </w:tcPr>
          <w:p w14:paraId="3F97A6A0">
            <w:pPr>
              <w:keepNext/>
              <w:keepLines w:val="0"/>
              <w:suppressLineNumbers w:val="0"/>
              <w:spacing w:before="0" w:beforeAutospacing="0" w:after="0" w:afterAutospacing="0"/>
              <w:ind w:left="0" w:right="0"/>
              <w:rPr>
                <w:rFonts w:hint="eastAsia" w:ascii="宋体" w:hAnsi="宋体" w:cs="宋体"/>
                <w:color w:val="auto"/>
                <w:szCs w:val="21"/>
                <w:highlight w:val="none"/>
              </w:rPr>
            </w:pPr>
          </w:p>
        </w:tc>
        <w:tc>
          <w:tcPr>
            <w:tcW w:w="1480" w:type="dxa"/>
            <w:tcBorders>
              <w:top w:val="double" w:color="auto" w:sz="6" w:space="0"/>
            </w:tcBorders>
            <w:noWrap w:val="0"/>
            <w:vAlign w:val="center"/>
          </w:tcPr>
          <w:p w14:paraId="4178F450">
            <w:pPr>
              <w:keepNext/>
              <w:keepLines w:val="0"/>
              <w:suppressLineNumbers w:val="0"/>
              <w:spacing w:before="0" w:beforeAutospacing="0" w:after="0" w:afterAutospacing="0"/>
              <w:ind w:left="0" w:right="0"/>
              <w:rPr>
                <w:rFonts w:hint="eastAsia" w:ascii="宋体" w:hAnsi="宋体" w:cs="宋体"/>
                <w:color w:val="auto"/>
                <w:szCs w:val="21"/>
                <w:highlight w:val="none"/>
              </w:rPr>
            </w:pPr>
          </w:p>
        </w:tc>
        <w:tc>
          <w:tcPr>
            <w:tcW w:w="1020" w:type="dxa"/>
            <w:tcBorders>
              <w:top w:val="double" w:color="auto" w:sz="6" w:space="0"/>
            </w:tcBorders>
            <w:noWrap w:val="0"/>
            <w:vAlign w:val="center"/>
          </w:tcPr>
          <w:p w14:paraId="4C885F58">
            <w:pPr>
              <w:keepNext/>
              <w:keepLines w:val="0"/>
              <w:suppressLineNumbers w:val="0"/>
              <w:spacing w:before="0" w:beforeAutospacing="0" w:after="0" w:afterAutospacing="0"/>
              <w:ind w:left="0" w:right="0"/>
              <w:rPr>
                <w:rFonts w:hint="eastAsia" w:ascii="宋体" w:hAnsi="宋体" w:cs="宋体"/>
                <w:color w:val="auto"/>
                <w:szCs w:val="21"/>
                <w:highlight w:val="none"/>
              </w:rPr>
            </w:pPr>
          </w:p>
        </w:tc>
        <w:tc>
          <w:tcPr>
            <w:tcW w:w="932" w:type="dxa"/>
            <w:tcBorders>
              <w:top w:val="double" w:color="auto" w:sz="6" w:space="0"/>
            </w:tcBorders>
            <w:noWrap w:val="0"/>
            <w:vAlign w:val="center"/>
          </w:tcPr>
          <w:p w14:paraId="22073854">
            <w:pPr>
              <w:keepNext/>
              <w:keepLines w:val="0"/>
              <w:suppressLineNumbers w:val="0"/>
              <w:spacing w:before="0" w:beforeAutospacing="0" w:after="0" w:afterAutospacing="0"/>
              <w:ind w:left="0" w:right="0"/>
              <w:rPr>
                <w:rFonts w:hint="eastAsia" w:ascii="宋体" w:hAnsi="宋体" w:cs="宋体"/>
                <w:color w:val="auto"/>
                <w:szCs w:val="21"/>
                <w:highlight w:val="none"/>
              </w:rPr>
            </w:pPr>
          </w:p>
        </w:tc>
      </w:tr>
      <w:tr w14:paraId="54C81F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737" w:type="dxa"/>
            <w:tcBorders>
              <w:top w:val="nil"/>
            </w:tcBorders>
            <w:noWrap w:val="0"/>
            <w:vAlign w:val="center"/>
          </w:tcPr>
          <w:p w14:paraId="3C8E70FA">
            <w:pPr>
              <w:keepNext/>
              <w:keepLines w:val="0"/>
              <w:suppressLineNumbers w:val="0"/>
              <w:spacing w:before="0" w:beforeAutospacing="0" w:after="0" w:afterAutospacing="0"/>
              <w:ind w:left="0" w:right="0"/>
              <w:rPr>
                <w:rFonts w:hint="eastAsia" w:ascii="宋体" w:hAnsi="宋体" w:cs="宋体"/>
                <w:color w:val="auto"/>
                <w:szCs w:val="21"/>
                <w:highlight w:val="none"/>
              </w:rPr>
            </w:pPr>
          </w:p>
        </w:tc>
        <w:tc>
          <w:tcPr>
            <w:tcW w:w="1418" w:type="dxa"/>
            <w:tcBorders>
              <w:top w:val="nil"/>
            </w:tcBorders>
            <w:noWrap w:val="0"/>
            <w:vAlign w:val="center"/>
          </w:tcPr>
          <w:p w14:paraId="5B358A23">
            <w:pPr>
              <w:keepNext/>
              <w:keepLines w:val="0"/>
              <w:suppressLineNumbers w:val="0"/>
              <w:spacing w:before="0" w:beforeAutospacing="0" w:after="0" w:afterAutospacing="0"/>
              <w:ind w:left="0" w:right="0"/>
              <w:rPr>
                <w:rFonts w:hint="eastAsia" w:ascii="宋体" w:hAnsi="宋体" w:cs="宋体"/>
                <w:color w:val="auto"/>
                <w:szCs w:val="21"/>
                <w:highlight w:val="none"/>
              </w:rPr>
            </w:pPr>
          </w:p>
        </w:tc>
        <w:tc>
          <w:tcPr>
            <w:tcW w:w="850" w:type="dxa"/>
            <w:tcBorders>
              <w:top w:val="nil"/>
            </w:tcBorders>
            <w:noWrap w:val="0"/>
            <w:vAlign w:val="center"/>
          </w:tcPr>
          <w:p w14:paraId="3A2A506C">
            <w:pPr>
              <w:keepNext/>
              <w:keepLines w:val="0"/>
              <w:suppressLineNumbers w:val="0"/>
              <w:spacing w:before="0" w:beforeAutospacing="0" w:after="0" w:afterAutospacing="0"/>
              <w:ind w:left="0" w:right="0"/>
              <w:rPr>
                <w:rFonts w:hint="eastAsia" w:ascii="宋体" w:hAnsi="宋体" w:cs="宋体"/>
                <w:color w:val="auto"/>
                <w:szCs w:val="21"/>
                <w:highlight w:val="none"/>
              </w:rPr>
            </w:pPr>
          </w:p>
        </w:tc>
        <w:tc>
          <w:tcPr>
            <w:tcW w:w="709" w:type="dxa"/>
            <w:tcBorders>
              <w:top w:val="nil"/>
            </w:tcBorders>
            <w:noWrap w:val="0"/>
            <w:vAlign w:val="center"/>
          </w:tcPr>
          <w:p w14:paraId="61ADBFE1">
            <w:pPr>
              <w:keepNext/>
              <w:keepLines w:val="0"/>
              <w:suppressLineNumbers w:val="0"/>
              <w:spacing w:before="0" w:beforeAutospacing="0" w:after="0" w:afterAutospacing="0"/>
              <w:ind w:left="0" w:right="0"/>
              <w:rPr>
                <w:rFonts w:hint="eastAsia" w:ascii="宋体" w:hAnsi="宋体" w:cs="宋体"/>
                <w:color w:val="auto"/>
                <w:szCs w:val="21"/>
                <w:highlight w:val="none"/>
              </w:rPr>
            </w:pPr>
          </w:p>
        </w:tc>
        <w:tc>
          <w:tcPr>
            <w:tcW w:w="850" w:type="dxa"/>
            <w:tcBorders>
              <w:top w:val="nil"/>
            </w:tcBorders>
            <w:noWrap w:val="0"/>
            <w:vAlign w:val="center"/>
          </w:tcPr>
          <w:p w14:paraId="61DB014E">
            <w:pPr>
              <w:keepNext/>
              <w:keepLines w:val="0"/>
              <w:suppressLineNumbers w:val="0"/>
              <w:spacing w:before="0" w:beforeAutospacing="0" w:after="0" w:afterAutospacing="0"/>
              <w:ind w:left="0" w:right="0"/>
              <w:rPr>
                <w:rFonts w:hint="eastAsia" w:ascii="宋体" w:hAnsi="宋体" w:cs="宋体"/>
                <w:color w:val="auto"/>
                <w:szCs w:val="21"/>
                <w:highlight w:val="none"/>
              </w:rPr>
            </w:pPr>
          </w:p>
        </w:tc>
        <w:tc>
          <w:tcPr>
            <w:tcW w:w="963" w:type="dxa"/>
            <w:tcBorders>
              <w:top w:val="nil"/>
            </w:tcBorders>
            <w:noWrap w:val="0"/>
            <w:vAlign w:val="center"/>
          </w:tcPr>
          <w:p w14:paraId="21F48E7E">
            <w:pPr>
              <w:keepNext/>
              <w:keepLines w:val="0"/>
              <w:suppressLineNumbers w:val="0"/>
              <w:spacing w:before="0" w:beforeAutospacing="0" w:after="0" w:afterAutospacing="0"/>
              <w:ind w:left="0" w:right="0"/>
              <w:rPr>
                <w:rFonts w:hint="eastAsia" w:ascii="宋体" w:hAnsi="宋体" w:cs="宋体"/>
                <w:color w:val="auto"/>
                <w:szCs w:val="21"/>
                <w:highlight w:val="none"/>
              </w:rPr>
            </w:pPr>
          </w:p>
        </w:tc>
        <w:tc>
          <w:tcPr>
            <w:tcW w:w="1480" w:type="dxa"/>
            <w:tcBorders>
              <w:top w:val="nil"/>
            </w:tcBorders>
            <w:noWrap w:val="0"/>
            <w:vAlign w:val="center"/>
          </w:tcPr>
          <w:p w14:paraId="46F23E2A">
            <w:pPr>
              <w:keepNext/>
              <w:keepLines w:val="0"/>
              <w:suppressLineNumbers w:val="0"/>
              <w:spacing w:before="0" w:beforeAutospacing="0" w:after="0" w:afterAutospacing="0"/>
              <w:ind w:left="0" w:right="0"/>
              <w:rPr>
                <w:rFonts w:hint="eastAsia" w:ascii="宋体" w:hAnsi="宋体" w:cs="宋体"/>
                <w:color w:val="auto"/>
                <w:szCs w:val="21"/>
                <w:highlight w:val="none"/>
              </w:rPr>
            </w:pPr>
          </w:p>
        </w:tc>
        <w:tc>
          <w:tcPr>
            <w:tcW w:w="1020" w:type="dxa"/>
            <w:tcBorders>
              <w:top w:val="nil"/>
            </w:tcBorders>
            <w:noWrap w:val="0"/>
            <w:vAlign w:val="center"/>
          </w:tcPr>
          <w:p w14:paraId="73C7EFD2">
            <w:pPr>
              <w:keepNext/>
              <w:keepLines w:val="0"/>
              <w:suppressLineNumbers w:val="0"/>
              <w:spacing w:before="0" w:beforeAutospacing="0" w:after="0" w:afterAutospacing="0"/>
              <w:ind w:left="0" w:right="0"/>
              <w:rPr>
                <w:rFonts w:hint="eastAsia" w:ascii="宋体" w:hAnsi="宋体" w:cs="宋体"/>
                <w:color w:val="auto"/>
                <w:szCs w:val="21"/>
                <w:highlight w:val="none"/>
              </w:rPr>
            </w:pPr>
          </w:p>
        </w:tc>
        <w:tc>
          <w:tcPr>
            <w:tcW w:w="932" w:type="dxa"/>
            <w:tcBorders>
              <w:top w:val="nil"/>
            </w:tcBorders>
            <w:noWrap w:val="0"/>
            <w:vAlign w:val="center"/>
          </w:tcPr>
          <w:p w14:paraId="1BB34904">
            <w:pPr>
              <w:keepNext/>
              <w:keepLines w:val="0"/>
              <w:suppressLineNumbers w:val="0"/>
              <w:spacing w:before="0" w:beforeAutospacing="0" w:after="0" w:afterAutospacing="0"/>
              <w:ind w:left="0" w:right="0"/>
              <w:rPr>
                <w:rFonts w:hint="eastAsia" w:ascii="宋体" w:hAnsi="宋体" w:cs="宋体"/>
                <w:color w:val="auto"/>
                <w:szCs w:val="21"/>
                <w:highlight w:val="none"/>
              </w:rPr>
            </w:pPr>
          </w:p>
        </w:tc>
      </w:tr>
      <w:tr w14:paraId="1BC782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737" w:type="dxa"/>
            <w:noWrap w:val="0"/>
            <w:vAlign w:val="top"/>
          </w:tcPr>
          <w:p w14:paraId="7A7AA400">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1418" w:type="dxa"/>
            <w:noWrap w:val="0"/>
            <w:vAlign w:val="top"/>
          </w:tcPr>
          <w:p w14:paraId="6213689C">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850" w:type="dxa"/>
            <w:noWrap w:val="0"/>
            <w:vAlign w:val="top"/>
          </w:tcPr>
          <w:p w14:paraId="21500968">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709" w:type="dxa"/>
            <w:noWrap w:val="0"/>
            <w:vAlign w:val="top"/>
          </w:tcPr>
          <w:p w14:paraId="01758B2C">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850" w:type="dxa"/>
            <w:noWrap w:val="0"/>
            <w:vAlign w:val="top"/>
          </w:tcPr>
          <w:p w14:paraId="0D93177E">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963" w:type="dxa"/>
            <w:noWrap w:val="0"/>
            <w:vAlign w:val="top"/>
          </w:tcPr>
          <w:p w14:paraId="2A3C7811">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1480" w:type="dxa"/>
            <w:noWrap w:val="0"/>
            <w:vAlign w:val="top"/>
          </w:tcPr>
          <w:p w14:paraId="16F8CF00">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1020" w:type="dxa"/>
            <w:noWrap w:val="0"/>
            <w:vAlign w:val="top"/>
          </w:tcPr>
          <w:p w14:paraId="66B49375">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932" w:type="dxa"/>
            <w:noWrap w:val="0"/>
            <w:vAlign w:val="top"/>
          </w:tcPr>
          <w:p w14:paraId="7C9277F1">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r>
      <w:tr w14:paraId="59D713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737" w:type="dxa"/>
            <w:noWrap w:val="0"/>
            <w:vAlign w:val="top"/>
          </w:tcPr>
          <w:p w14:paraId="7DD94E9A">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1418" w:type="dxa"/>
            <w:noWrap w:val="0"/>
            <w:vAlign w:val="top"/>
          </w:tcPr>
          <w:p w14:paraId="32E28D2D">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850" w:type="dxa"/>
            <w:noWrap w:val="0"/>
            <w:vAlign w:val="top"/>
          </w:tcPr>
          <w:p w14:paraId="5FBC55CE">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709" w:type="dxa"/>
            <w:noWrap w:val="0"/>
            <w:vAlign w:val="top"/>
          </w:tcPr>
          <w:p w14:paraId="63CA5E8F">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850" w:type="dxa"/>
            <w:noWrap w:val="0"/>
            <w:vAlign w:val="top"/>
          </w:tcPr>
          <w:p w14:paraId="1E67BE89">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963" w:type="dxa"/>
            <w:noWrap w:val="0"/>
            <w:vAlign w:val="top"/>
          </w:tcPr>
          <w:p w14:paraId="413A68CE">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1480" w:type="dxa"/>
            <w:noWrap w:val="0"/>
            <w:vAlign w:val="top"/>
          </w:tcPr>
          <w:p w14:paraId="155D4612">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1020" w:type="dxa"/>
            <w:noWrap w:val="0"/>
            <w:vAlign w:val="top"/>
          </w:tcPr>
          <w:p w14:paraId="39B4D966">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932" w:type="dxa"/>
            <w:noWrap w:val="0"/>
            <w:vAlign w:val="top"/>
          </w:tcPr>
          <w:p w14:paraId="77F4EFB7">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r>
      <w:tr w14:paraId="1C8819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737" w:type="dxa"/>
            <w:tcBorders>
              <w:bottom w:val="single" w:color="auto" w:sz="12" w:space="0"/>
            </w:tcBorders>
            <w:noWrap w:val="0"/>
            <w:vAlign w:val="top"/>
          </w:tcPr>
          <w:p w14:paraId="0FDC2EBB">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1418" w:type="dxa"/>
            <w:tcBorders>
              <w:bottom w:val="single" w:color="auto" w:sz="12" w:space="0"/>
            </w:tcBorders>
            <w:noWrap w:val="0"/>
            <w:vAlign w:val="top"/>
          </w:tcPr>
          <w:p w14:paraId="6B348B64">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850" w:type="dxa"/>
            <w:tcBorders>
              <w:bottom w:val="single" w:color="auto" w:sz="12" w:space="0"/>
            </w:tcBorders>
            <w:noWrap w:val="0"/>
            <w:vAlign w:val="top"/>
          </w:tcPr>
          <w:p w14:paraId="3C8EAC5F">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709" w:type="dxa"/>
            <w:tcBorders>
              <w:bottom w:val="single" w:color="auto" w:sz="12" w:space="0"/>
            </w:tcBorders>
            <w:noWrap w:val="0"/>
            <w:vAlign w:val="top"/>
          </w:tcPr>
          <w:p w14:paraId="7ABC2EB3">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850" w:type="dxa"/>
            <w:tcBorders>
              <w:bottom w:val="single" w:color="auto" w:sz="12" w:space="0"/>
            </w:tcBorders>
            <w:noWrap w:val="0"/>
            <w:vAlign w:val="top"/>
          </w:tcPr>
          <w:p w14:paraId="47478CF1">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963" w:type="dxa"/>
            <w:tcBorders>
              <w:bottom w:val="single" w:color="auto" w:sz="12" w:space="0"/>
            </w:tcBorders>
            <w:noWrap w:val="0"/>
            <w:vAlign w:val="top"/>
          </w:tcPr>
          <w:p w14:paraId="1085FC7B">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1480" w:type="dxa"/>
            <w:tcBorders>
              <w:bottom w:val="single" w:color="auto" w:sz="12" w:space="0"/>
            </w:tcBorders>
            <w:noWrap w:val="0"/>
            <w:vAlign w:val="top"/>
          </w:tcPr>
          <w:p w14:paraId="19F8E099">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1020" w:type="dxa"/>
            <w:tcBorders>
              <w:bottom w:val="single" w:color="auto" w:sz="12" w:space="0"/>
            </w:tcBorders>
            <w:noWrap w:val="0"/>
            <w:vAlign w:val="top"/>
          </w:tcPr>
          <w:p w14:paraId="0382E3EF">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c>
          <w:tcPr>
            <w:tcW w:w="932" w:type="dxa"/>
            <w:tcBorders>
              <w:bottom w:val="single" w:color="auto" w:sz="12" w:space="0"/>
            </w:tcBorders>
            <w:noWrap w:val="0"/>
            <w:vAlign w:val="top"/>
          </w:tcPr>
          <w:p w14:paraId="3F4AACC3">
            <w:pPr>
              <w:keepNext w:val="0"/>
              <w:keepLines w:val="0"/>
              <w:suppressLineNumbers w:val="0"/>
              <w:spacing w:before="0" w:beforeAutospacing="0" w:after="0" w:afterAutospacing="0"/>
              <w:ind w:left="0" w:right="0"/>
              <w:rPr>
                <w:rFonts w:hint="eastAsia" w:ascii="宋体" w:hAnsi="宋体" w:cs="宋体"/>
                <w:color w:val="auto"/>
                <w:szCs w:val="21"/>
                <w:highlight w:val="none"/>
              </w:rPr>
            </w:pPr>
          </w:p>
        </w:tc>
      </w:tr>
    </w:tbl>
    <w:p w14:paraId="60A77ED6">
      <w:pPr>
        <w:rPr>
          <w:rFonts w:hint="eastAsia" w:ascii="宋体" w:hAnsi="宋体" w:cs="宋体"/>
          <w:color w:val="auto"/>
          <w:szCs w:val="21"/>
          <w:highlight w:val="none"/>
        </w:rPr>
      </w:pPr>
    </w:p>
    <w:p w14:paraId="74C8101E">
      <w:pPr>
        <w:widowControl/>
        <w:spacing w:line="360" w:lineRule="auto"/>
        <w:jc w:val="center"/>
        <w:rPr>
          <w:rFonts w:hint="eastAsia" w:ascii="宋体" w:hAnsi="宋体" w:cs="宋体"/>
          <w:color w:val="auto"/>
          <w:sz w:val="24"/>
          <w:highlight w:val="none"/>
        </w:rPr>
      </w:pPr>
      <w:r>
        <w:rPr>
          <w:rFonts w:hint="eastAsia" w:ascii="宋体" w:hAnsi="宋体" w:cs="宋体"/>
          <w:color w:val="auto"/>
          <w:szCs w:val="21"/>
          <w:highlight w:val="none"/>
        </w:rPr>
        <w:br w:type="page"/>
      </w:r>
    </w:p>
    <w:p w14:paraId="039D4840">
      <w:pPr>
        <w:keepNext/>
        <w:keepLines/>
        <w:spacing w:before="120" w:after="120" w:line="360" w:lineRule="auto"/>
        <w:jc w:val="left"/>
        <w:outlineLvl w:val="2"/>
        <w:rPr>
          <w:rFonts w:hint="eastAsia" w:ascii="宋体" w:hAnsi="宋体" w:cs="宋体"/>
          <w:bCs/>
          <w:color w:val="auto"/>
          <w:sz w:val="24"/>
          <w:highlight w:val="none"/>
        </w:rPr>
      </w:pPr>
      <w:r>
        <w:rPr>
          <w:rFonts w:hint="eastAsia" w:ascii="宋体" w:hAnsi="宋体" w:cs="宋体"/>
          <w:bCs/>
          <w:color w:val="auto"/>
          <w:sz w:val="24"/>
          <w:highlight w:val="none"/>
        </w:rPr>
        <w:t>附件：承包人主要施工管理人员表</w:t>
      </w:r>
    </w:p>
    <w:p w14:paraId="6DE8AD26">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承包人主要施工管理人员表</w:t>
      </w:r>
    </w:p>
    <w:tbl>
      <w:tblPr>
        <w:tblStyle w:val="46"/>
        <w:tblW w:w="5113"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954"/>
        <w:gridCol w:w="1306"/>
        <w:gridCol w:w="1046"/>
        <w:gridCol w:w="1046"/>
        <w:gridCol w:w="2664"/>
        <w:gridCol w:w="2400"/>
      </w:tblGrid>
      <w:tr w14:paraId="1B1E40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tcBorders>
              <w:top w:val="single" w:color="auto" w:sz="12" w:space="0"/>
              <w:bottom w:val="double" w:color="auto" w:sz="6" w:space="0"/>
            </w:tcBorders>
            <w:noWrap w:val="0"/>
            <w:vAlign w:val="center"/>
          </w:tcPr>
          <w:p w14:paraId="17437C24">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名    称</w:t>
            </w:r>
          </w:p>
        </w:tc>
        <w:tc>
          <w:tcPr>
            <w:tcW w:w="627" w:type="pct"/>
            <w:tcBorders>
              <w:top w:val="single" w:color="auto" w:sz="12" w:space="0"/>
              <w:bottom w:val="double" w:color="auto" w:sz="6" w:space="0"/>
            </w:tcBorders>
            <w:noWrap w:val="0"/>
            <w:vAlign w:val="center"/>
          </w:tcPr>
          <w:p w14:paraId="170C4D68">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姓名</w:t>
            </w:r>
          </w:p>
        </w:tc>
        <w:tc>
          <w:tcPr>
            <w:tcW w:w="502" w:type="pct"/>
            <w:tcBorders>
              <w:top w:val="single" w:color="auto" w:sz="12" w:space="0"/>
              <w:bottom w:val="double" w:color="auto" w:sz="6" w:space="0"/>
            </w:tcBorders>
            <w:noWrap w:val="0"/>
            <w:vAlign w:val="center"/>
          </w:tcPr>
          <w:p w14:paraId="10FAD77D">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职务</w:t>
            </w:r>
          </w:p>
        </w:tc>
        <w:tc>
          <w:tcPr>
            <w:tcW w:w="502" w:type="pct"/>
            <w:tcBorders>
              <w:top w:val="single" w:color="auto" w:sz="12" w:space="0"/>
              <w:bottom w:val="double" w:color="auto" w:sz="6" w:space="0"/>
            </w:tcBorders>
            <w:noWrap w:val="0"/>
            <w:vAlign w:val="center"/>
          </w:tcPr>
          <w:p w14:paraId="4C1E2CD8">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职称</w:t>
            </w:r>
          </w:p>
        </w:tc>
        <w:tc>
          <w:tcPr>
            <w:tcW w:w="1279" w:type="pct"/>
            <w:tcBorders>
              <w:top w:val="single" w:color="auto" w:sz="12" w:space="0"/>
              <w:bottom w:val="double" w:color="auto" w:sz="6" w:space="0"/>
            </w:tcBorders>
            <w:noWrap w:val="0"/>
            <w:vAlign w:val="center"/>
          </w:tcPr>
          <w:p w14:paraId="64CC975F">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主要资历、经验及承担过的项目</w:t>
            </w:r>
          </w:p>
        </w:tc>
        <w:tc>
          <w:tcPr>
            <w:tcW w:w="1153" w:type="pct"/>
            <w:tcBorders>
              <w:top w:val="single" w:color="auto" w:sz="12" w:space="0"/>
              <w:bottom w:val="double" w:color="auto" w:sz="6" w:space="0"/>
            </w:tcBorders>
            <w:noWrap w:val="0"/>
            <w:vAlign w:val="top"/>
          </w:tcPr>
          <w:p w14:paraId="18238D3F">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身份证号码</w:t>
            </w:r>
          </w:p>
        </w:tc>
      </w:tr>
      <w:tr w14:paraId="7794AB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3847" w:type="pct"/>
            <w:gridSpan w:val="5"/>
            <w:tcBorders>
              <w:top w:val="double" w:color="auto" w:sz="6" w:space="0"/>
            </w:tcBorders>
            <w:noWrap w:val="0"/>
            <w:vAlign w:val="center"/>
          </w:tcPr>
          <w:p w14:paraId="5A8A58B7">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一、总部人员</w:t>
            </w:r>
          </w:p>
        </w:tc>
        <w:tc>
          <w:tcPr>
            <w:tcW w:w="1153" w:type="pct"/>
            <w:tcBorders>
              <w:top w:val="double" w:color="auto" w:sz="6" w:space="0"/>
            </w:tcBorders>
            <w:noWrap w:val="0"/>
            <w:vAlign w:val="top"/>
          </w:tcPr>
          <w:p w14:paraId="017C205F">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r>
      <w:tr w14:paraId="70B4F4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tcBorders>
              <w:top w:val="nil"/>
              <w:bottom w:val="nil"/>
            </w:tcBorders>
            <w:noWrap w:val="0"/>
            <w:vAlign w:val="center"/>
          </w:tcPr>
          <w:p w14:paraId="43517FE5">
            <w:pPr>
              <w:keepNext w:val="0"/>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项目主管</w:t>
            </w:r>
          </w:p>
        </w:tc>
        <w:tc>
          <w:tcPr>
            <w:tcW w:w="627" w:type="pct"/>
            <w:tcBorders>
              <w:top w:val="nil"/>
            </w:tcBorders>
            <w:noWrap w:val="0"/>
            <w:vAlign w:val="center"/>
          </w:tcPr>
          <w:p w14:paraId="0FD297E8">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tcBorders>
              <w:top w:val="nil"/>
            </w:tcBorders>
            <w:noWrap w:val="0"/>
            <w:vAlign w:val="center"/>
          </w:tcPr>
          <w:p w14:paraId="17C1D278">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tcBorders>
              <w:top w:val="nil"/>
            </w:tcBorders>
            <w:noWrap w:val="0"/>
            <w:vAlign w:val="center"/>
          </w:tcPr>
          <w:p w14:paraId="55C81B79">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279" w:type="pct"/>
            <w:tcBorders>
              <w:top w:val="nil"/>
            </w:tcBorders>
            <w:noWrap w:val="0"/>
            <w:vAlign w:val="center"/>
          </w:tcPr>
          <w:p w14:paraId="2B6B88BC">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153" w:type="pct"/>
            <w:tcBorders>
              <w:top w:val="nil"/>
            </w:tcBorders>
            <w:noWrap w:val="0"/>
            <w:vAlign w:val="top"/>
          </w:tcPr>
          <w:p w14:paraId="77E4EC6C">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r>
      <w:tr w14:paraId="5D56E9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tcBorders>
              <w:bottom w:val="nil"/>
            </w:tcBorders>
            <w:noWrap w:val="0"/>
            <w:vAlign w:val="center"/>
          </w:tcPr>
          <w:p w14:paraId="5AAC7FFE">
            <w:pPr>
              <w:keepNext w:val="0"/>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627" w:type="pct"/>
            <w:noWrap w:val="0"/>
            <w:vAlign w:val="center"/>
          </w:tcPr>
          <w:p w14:paraId="469549A9">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noWrap w:val="0"/>
            <w:vAlign w:val="center"/>
          </w:tcPr>
          <w:p w14:paraId="3B226D8A">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noWrap w:val="0"/>
            <w:vAlign w:val="center"/>
          </w:tcPr>
          <w:p w14:paraId="0069AD07">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279" w:type="pct"/>
            <w:noWrap w:val="0"/>
            <w:vAlign w:val="center"/>
          </w:tcPr>
          <w:p w14:paraId="35019AC1">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153" w:type="pct"/>
            <w:noWrap w:val="0"/>
            <w:vAlign w:val="top"/>
          </w:tcPr>
          <w:p w14:paraId="46B58CE9">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r>
      <w:tr w14:paraId="710717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tcBorders>
              <w:top w:val="nil"/>
              <w:bottom w:val="nil"/>
            </w:tcBorders>
            <w:noWrap w:val="0"/>
            <w:vAlign w:val="center"/>
          </w:tcPr>
          <w:p w14:paraId="353D0678">
            <w:pPr>
              <w:keepNext w:val="0"/>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其他人员</w:t>
            </w:r>
          </w:p>
        </w:tc>
        <w:tc>
          <w:tcPr>
            <w:tcW w:w="627" w:type="pct"/>
            <w:noWrap w:val="0"/>
            <w:vAlign w:val="center"/>
          </w:tcPr>
          <w:p w14:paraId="2C1CDA4F">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noWrap w:val="0"/>
            <w:vAlign w:val="center"/>
          </w:tcPr>
          <w:p w14:paraId="7EF8DBBF">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noWrap w:val="0"/>
            <w:vAlign w:val="center"/>
          </w:tcPr>
          <w:p w14:paraId="4A75D7A2">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279" w:type="pct"/>
            <w:noWrap w:val="0"/>
            <w:vAlign w:val="center"/>
          </w:tcPr>
          <w:p w14:paraId="11D9B4B9">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153" w:type="pct"/>
            <w:noWrap w:val="0"/>
            <w:vAlign w:val="top"/>
          </w:tcPr>
          <w:p w14:paraId="22884224">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r>
      <w:tr w14:paraId="45D9BD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tcBorders>
              <w:top w:val="nil"/>
              <w:bottom w:val="nil"/>
            </w:tcBorders>
            <w:noWrap w:val="0"/>
            <w:vAlign w:val="center"/>
          </w:tcPr>
          <w:p w14:paraId="672B7780">
            <w:pPr>
              <w:keepNext w:val="0"/>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627" w:type="pct"/>
            <w:noWrap w:val="0"/>
            <w:vAlign w:val="center"/>
          </w:tcPr>
          <w:p w14:paraId="06D4FC59">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noWrap w:val="0"/>
            <w:vAlign w:val="center"/>
          </w:tcPr>
          <w:p w14:paraId="7F109BCB">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noWrap w:val="0"/>
            <w:vAlign w:val="center"/>
          </w:tcPr>
          <w:p w14:paraId="587ADE81">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279" w:type="pct"/>
            <w:noWrap w:val="0"/>
            <w:vAlign w:val="center"/>
          </w:tcPr>
          <w:p w14:paraId="3810B8DE">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153" w:type="pct"/>
            <w:noWrap w:val="0"/>
            <w:vAlign w:val="top"/>
          </w:tcPr>
          <w:p w14:paraId="577C5DFB">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r>
      <w:tr w14:paraId="7AE8D1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3847" w:type="pct"/>
            <w:gridSpan w:val="5"/>
            <w:noWrap w:val="0"/>
            <w:vAlign w:val="center"/>
          </w:tcPr>
          <w:p w14:paraId="221E3A9B">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二、现场人员</w:t>
            </w:r>
          </w:p>
        </w:tc>
        <w:tc>
          <w:tcPr>
            <w:tcW w:w="1153" w:type="pct"/>
            <w:noWrap w:val="0"/>
            <w:vAlign w:val="top"/>
          </w:tcPr>
          <w:p w14:paraId="40010B69">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r>
      <w:tr w14:paraId="1D750D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noWrap w:val="0"/>
            <w:vAlign w:val="center"/>
          </w:tcPr>
          <w:p w14:paraId="28339F62">
            <w:pPr>
              <w:keepNext w:val="0"/>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项目经理</w:t>
            </w:r>
          </w:p>
        </w:tc>
        <w:tc>
          <w:tcPr>
            <w:tcW w:w="627" w:type="pct"/>
            <w:noWrap w:val="0"/>
            <w:vAlign w:val="center"/>
          </w:tcPr>
          <w:p w14:paraId="1EA07003">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noWrap w:val="0"/>
            <w:vAlign w:val="center"/>
          </w:tcPr>
          <w:p w14:paraId="02E08D0F">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noWrap w:val="0"/>
            <w:vAlign w:val="center"/>
          </w:tcPr>
          <w:p w14:paraId="76C04F66">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279" w:type="pct"/>
            <w:noWrap w:val="0"/>
            <w:vAlign w:val="center"/>
          </w:tcPr>
          <w:p w14:paraId="594CC0EA">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153" w:type="pct"/>
            <w:noWrap w:val="0"/>
            <w:vAlign w:val="top"/>
          </w:tcPr>
          <w:p w14:paraId="5CADC986">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r>
      <w:tr w14:paraId="16D572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noWrap w:val="0"/>
            <w:vAlign w:val="center"/>
          </w:tcPr>
          <w:p w14:paraId="785991B5">
            <w:pPr>
              <w:keepNext w:val="0"/>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项目副经理</w:t>
            </w:r>
          </w:p>
        </w:tc>
        <w:tc>
          <w:tcPr>
            <w:tcW w:w="627" w:type="pct"/>
            <w:noWrap w:val="0"/>
            <w:vAlign w:val="center"/>
          </w:tcPr>
          <w:p w14:paraId="1A8C23CD">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noWrap w:val="0"/>
            <w:vAlign w:val="center"/>
          </w:tcPr>
          <w:p w14:paraId="36EC8A6E">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noWrap w:val="0"/>
            <w:vAlign w:val="center"/>
          </w:tcPr>
          <w:p w14:paraId="51BED35B">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279" w:type="pct"/>
            <w:noWrap w:val="0"/>
            <w:vAlign w:val="center"/>
          </w:tcPr>
          <w:p w14:paraId="0C3F6DAD">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153" w:type="pct"/>
            <w:noWrap w:val="0"/>
            <w:vAlign w:val="top"/>
          </w:tcPr>
          <w:p w14:paraId="3E1BA596">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r>
      <w:tr w14:paraId="0EF5E1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noWrap w:val="0"/>
            <w:vAlign w:val="center"/>
          </w:tcPr>
          <w:p w14:paraId="716959A2">
            <w:pPr>
              <w:keepNext w:val="0"/>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项目技术负责人</w:t>
            </w:r>
          </w:p>
        </w:tc>
        <w:tc>
          <w:tcPr>
            <w:tcW w:w="627" w:type="pct"/>
            <w:noWrap w:val="0"/>
            <w:vAlign w:val="center"/>
          </w:tcPr>
          <w:p w14:paraId="08DCC539">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noWrap w:val="0"/>
            <w:vAlign w:val="center"/>
          </w:tcPr>
          <w:p w14:paraId="0E75F463">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noWrap w:val="0"/>
            <w:vAlign w:val="center"/>
          </w:tcPr>
          <w:p w14:paraId="09132F1F">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279" w:type="pct"/>
            <w:noWrap w:val="0"/>
            <w:vAlign w:val="center"/>
          </w:tcPr>
          <w:p w14:paraId="2F777F69">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153" w:type="pct"/>
            <w:noWrap w:val="0"/>
            <w:vAlign w:val="top"/>
          </w:tcPr>
          <w:p w14:paraId="0567005C">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r>
      <w:tr w14:paraId="50771D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noWrap w:val="0"/>
            <w:vAlign w:val="center"/>
          </w:tcPr>
          <w:p w14:paraId="34DD25F2">
            <w:pPr>
              <w:keepNext w:val="0"/>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施工员</w:t>
            </w:r>
          </w:p>
        </w:tc>
        <w:tc>
          <w:tcPr>
            <w:tcW w:w="627" w:type="pct"/>
            <w:noWrap w:val="0"/>
            <w:vAlign w:val="center"/>
          </w:tcPr>
          <w:p w14:paraId="09A92A0E">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noWrap w:val="0"/>
            <w:vAlign w:val="center"/>
          </w:tcPr>
          <w:p w14:paraId="78EF5EC8">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noWrap w:val="0"/>
            <w:vAlign w:val="center"/>
          </w:tcPr>
          <w:p w14:paraId="152E4A57">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279" w:type="pct"/>
            <w:noWrap w:val="0"/>
            <w:vAlign w:val="center"/>
          </w:tcPr>
          <w:p w14:paraId="15854E78">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153" w:type="pct"/>
            <w:noWrap w:val="0"/>
            <w:vAlign w:val="top"/>
          </w:tcPr>
          <w:p w14:paraId="25C7DA76">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r>
      <w:tr w14:paraId="3AE6CC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noWrap w:val="0"/>
            <w:vAlign w:val="center"/>
          </w:tcPr>
          <w:p w14:paraId="1AB7D217">
            <w:pPr>
              <w:keepNext w:val="0"/>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质检员（质量员）</w:t>
            </w:r>
          </w:p>
        </w:tc>
        <w:tc>
          <w:tcPr>
            <w:tcW w:w="627" w:type="pct"/>
            <w:noWrap w:val="0"/>
            <w:vAlign w:val="center"/>
          </w:tcPr>
          <w:p w14:paraId="3C34F7FB">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noWrap w:val="0"/>
            <w:vAlign w:val="center"/>
          </w:tcPr>
          <w:p w14:paraId="24E6AD72">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noWrap w:val="0"/>
            <w:vAlign w:val="center"/>
          </w:tcPr>
          <w:p w14:paraId="14AA864D">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279" w:type="pct"/>
            <w:noWrap w:val="0"/>
            <w:vAlign w:val="center"/>
          </w:tcPr>
          <w:p w14:paraId="2B64825F">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153" w:type="pct"/>
            <w:noWrap w:val="0"/>
            <w:vAlign w:val="top"/>
          </w:tcPr>
          <w:p w14:paraId="7553DC85">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r>
      <w:tr w14:paraId="7E31E9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noWrap w:val="0"/>
            <w:vAlign w:val="center"/>
          </w:tcPr>
          <w:p w14:paraId="4A4B7999">
            <w:pPr>
              <w:keepNext w:val="0"/>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安全员</w:t>
            </w:r>
          </w:p>
        </w:tc>
        <w:tc>
          <w:tcPr>
            <w:tcW w:w="627" w:type="pct"/>
            <w:noWrap w:val="0"/>
            <w:vAlign w:val="center"/>
          </w:tcPr>
          <w:p w14:paraId="21ADB6F0">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noWrap w:val="0"/>
            <w:vAlign w:val="center"/>
          </w:tcPr>
          <w:p w14:paraId="7C56A526">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noWrap w:val="0"/>
            <w:vAlign w:val="center"/>
          </w:tcPr>
          <w:p w14:paraId="31BCEF29">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279" w:type="pct"/>
            <w:noWrap w:val="0"/>
            <w:vAlign w:val="center"/>
          </w:tcPr>
          <w:p w14:paraId="50744D33">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153" w:type="pct"/>
            <w:noWrap w:val="0"/>
            <w:vAlign w:val="top"/>
          </w:tcPr>
          <w:p w14:paraId="0A1647A6">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r>
      <w:tr w14:paraId="1994CE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noWrap w:val="0"/>
            <w:vAlign w:val="center"/>
          </w:tcPr>
          <w:p w14:paraId="1E66AC65">
            <w:pPr>
              <w:keepNext w:val="0"/>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资料员</w:t>
            </w:r>
          </w:p>
        </w:tc>
        <w:tc>
          <w:tcPr>
            <w:tcW w:w="627" w:type="pct"/>
            <w:noWrap w:val="0"/>
            <w:vAlign w:val="center"/>
          </w:tcPr>
          <w:p w14:paraId="718D4081">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noWrap w:val="0"/>
            <w:vAlign w:val="center"/>
          </w:tcPr>
          <w:p w14:paraId="25BE330A">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noWrap w:val="0"/>
            <w:vAlign w:val="center"/>
          </w:tcPr>
          <w:p w14:paraId="0A8A3114">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279" w:type="pct"/>
            <w:noWrap w:val="0"/>
            <w:vAlign w:val="center"/>
          </w:tcPr>
          <w:p w14:paraId="2521C6C2">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153" w:type="pct"/>
            <w:noWrap w:val="0"/>
            <w:vAlign w:val="top"/>
          </w:tcPr>
          <w:p w14:paraId="30C26D95">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r>
      <w:tr w14:paraId="42A2E1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vMerge w:val="restart"/>
            <w:noWrap w:val="0"/>
            <w:vAlign w:val="center"/>
          </w:tcPr>
          <w:p w14:paraId="06314CCE">
            <w:pPr>
              <w:keepNext w:val="0"/>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其他人员</w:t>
            </w:r>
          </w:p>
        </w:tc>
        <w:tc>
          <w:tcPr>
            <w:tcW w:w="627" w:type="pct"/>
            <w:noWrap w:val="0"/>
            <w:vAlign w:val="center"/>
          </w:tcPr>
          <w:p w14:paraId="4884D5C4">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noWrap w:val="0"/>
            <w:vAlign w:val="center"/>
          </w:tcPr>
          <w:p w14:paraId="60B61127">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noWrap w:val="0"/>
            <w:vAlign w:val="center"/>
          </w:tcPr>
          <w:p w14:paraId="6D2A8922">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279" w:type="pct"/>
            <w:noWrap w:val="0"/>
            <w:vAlign w:val="center"/>
          </w:tcPr>
          <w:p w14:paraId="306398EF">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153" w:type="pct"/>
            <w:noWrap w:val="0"/>
            <w:vAlign w:val="top"/>
          </w:tcPr>
          <w:p w14:paraId="7F0259CC">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r>
      <w:tr w14:paraId="3F6AC8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vMerge w:val="continue"/>
            <w:noWrap w:val="0"/>
            <w:vAlign w:val="center"/>
          </w:tcPr>
          <w:p w14:paraId="10246243">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627" w:type="pct"/>
            <w:tcBorders>
              <w:bottom w:val="nil"/>
            </w:tcBorders>
            <w:noWrap w:val="0"/>
            <w:vAlign w:val="center"/>
          </w:tcPr>
          <w:p w14:paraId="6EB2D120">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tcBorders>
              <w:bottom w:val="nil"/>
            </w:tcBorders>
            <w:noWrap w:val="0"/>
            <w:vAlign w:val="center"/>
          </w:tcPr>
          <w:p w14:paraId="36A45DED">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tcBorders>
              <w:bottom w:val="nil"/>
            </w:tcBorders>
            <w:noWrap w:val="0"/>
            <w:vAlign w:val="center"/>
          </w:tcPr>
          <w:p w14:paraId="181ADB64">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279" w:type="pct"/>
            <w:tcBorders>
              <w:bottom w:val="nil"/>
            </w:tcBorders>
            <w:noWrap w:val="0"/>
            <w:vAlign w:val="center"/>
          </w:tcPr>
          <w:p w14:paraId="70192DF0">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153" w:type="pct"/>
            <w:tcBorders>
              <w:bottom w:val="nil"/>
            </w:tcBorders>
            <w:noWrap w:val="0"/>
            <w:vAlign w:val="top"/>
          </w:tcPr>
          <w:p w14:paraId="05E6B81C">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r>
      <w:tr w14:paraId="061E7F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vMerge w:val="continue"/>
            <w:noWrap w:val="0"/>
            <w:vAlign w:val="center"/>
          </w:tcPr>
          <w:p w14:paraId="1FD3BA21">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627" w:type="pct"/>
            <w:noWrap w:val="0"/>
            <w:vAlign w:val="center"/>
          </w:tcPr>
          <w:p w14:paraId="7675DDE0">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noWrap w:val="0"/>
            <w:vAlign w:val="center"/>
          </w:tcPr>
          <w:p w14:paraId="24891DBB">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noWrap w:val="0"/>
            <w:vAlign w:val="center"/>
          </w:tcPr>
          <w:p w14:paraId="1E2E540C">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279" w:type="pct"/>
            <w:noWrap w:val="0"/>
            <w:vAlign w:val="center"/>
          </w:tcPr>
          <w:p w14:paraId="4410EC9C">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153" w:type="pct"/>
            <w:noWrap w:val="0"/>
            <w:vAlign w:val="top"/>
          </w:tcPr>
          <w:p w14:paraId="002ECE2A">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r>
      <w:tr w14:paraId="4FE26D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vMerge w:val="continue"/>
            <w:noWrap w:val="0"/>
            <w:vAlign w:val="center"/>
          </w:tcPr>
          <w:p w14:paraId="3AAAC671">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627" w:type="pct"/>
            <w:noWrap w:val="0"/>
            <w:vAlign w:val="center"/>
          </w:tcPr>
          <w:p w14:paraId="7B60044A">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noWrap w:val="0"/>
            <w:vAlign w:val="center"/>
          </w:tcPr>
          <w:p w14:paraId="516E03C2">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noWrap w:val="0"/>
            <w:vAlign w:val="center"/>
          </w:tcPr>
          <w:p w14:paraId="5F9E81F8">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279" w:type="pct"/>
            <w:noWrap w:val="0"/>
            <w:vAlign w:val="center"/>
          </w:tcPr>
          <w:p w14:paraId="0C276DC6">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153" w:type="pct"/>
            <w:noWrap w:val="0"/>
            <w:vAlign w:val="top"/>
          </w:tcPr>
          <w:p w14:paraId="45E9396D">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r>
      <w:tr w14:paraId="05AB78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vMerge w:val="continue"/>
            <w:noWrap w:val="0"/>
            <w:vAlign w:val="center"/>
          </w:tcPr>
          <w:p w14:paraId="0BC22428">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627" w:type="pct"/>
            <w:noWrap w:val="0"/>
            <w:vAlign w:val="center"/>
          </w:tcPr>
          <w:p w14:paraId="7F65ECBA">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noWrap w:val="0"/>
            <w:vAlign w:val="center"/>
          </w:tcPr>
          <w:p w14:paraId="21B7AB88">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noWrap w:val="0"/>
            <w:vAlign w:val="center"/>
          </w:tcPr>
          <w:p w14:paraId="016B2FFD">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279" w:type="pct"/>
            <w:noWrap w:val="0"/>
            <w:vAlign w:val="center"/>
          </w:tcPr>
          <w:p w14:paraId="48453130">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153" w:type="pct"/>
            <w:noWrap w:val="0"/>
            <w:vAlign w:val="top"/>
          </w:tcPr>
          <w:p w14:paraId="22A8736D">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r>
      <w:tr w14:paraId="578DBE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8" w:type="pct"/>
            <w:vMerge w:val="continue"/>
            <w:tcBorders>
              <w:bottom w:val="single" w:color="auto" w:sz="12" w:space="0"/>
            </w:tcBorders>
            <w:noWrap w:val="0"/>
            <w:vAlign w:val="center"/>
          </w:tcPr>
          <w:p w14:paraId="1EF09873">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627" w:type="pct"/>
            <w:tcBorders>
              <w:bottom w:val="single" w:color="auto" w:sz="12" w:space="0"/>
            </w:tcBorders>
            <w:noWrap w:val="0"/>
            <w:vAlign w:val="center"/>
          </w:tcPr>
          <w:p w14:paraId="7396FF72">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tcBorders>
              <w:bottom w:val="single" w:color="auto" w:sz="12" w:space="0"/>
            </w:tcBorders>
            <w:noWrap w:val="0"/>
            <w:vAlign w:val="center"/>
          </w:tcPr>
          <w:p w14:paraId="21A4DED4">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502" w:type="pct"/>
            <w:tcBorders>
              <w:bottom w:val="single" w:color="auto" w:sz="12" w:space="0"/>
            </w:tcBorders>
            <w:noWrap w:val="0"/>
            <w:vAlign w:val="center"/>
          </w:tcPr>
          <w:p w14:paraId="022BF49D">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279" w:type="pct"/>
            <w:tcBorders>
              <w:bottom w:val="single" w:color="auto" w:sz="12" w:space="0"/>
            </w:tcBorders>
            <w:noWrap w:val="0"/>
            <w:vAlign w:val="center"/>
          </w:tcPr>
          <w:p w14:paraId="36E2DCD9">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c>
          <w:tcPr>
            <w:tcW w:w="1153" w:type="pct"/>
            <w:tcBorders>
              <w:bottom w:val="single" w:color="auto" w:sz="12" w:space="0"/>
            </w:tcBorders>
            <w:noWrap w:val="0"/>
            <w:vAlign w:val="top"/>
          </w:tcPr>
          <w:p w14:paraId="43F0AB1F">
            <w:pPr>
              <w:keepNext/>
              <w:keepLines w:val="0"/>
              <w:suppressLineNumbers w:val="0"/>
              <w:spacing w:before="0" w:beforeAutospacing="0" w:after="0" w:afterAutospacing="0" w:line="360" w:lineRule="auto"/>
              <w:ind w:left="0" w:right="0"/>
              <w:jc w:val="center"/>
              <w:rPr>
                <w:rFonts w:hint="eastAsia" w:ascii="宋体" w:hAnsi="宋体" w:cs="宋体"/>
                <w:color w:val="auto"/>
                <w:szCs w:val="21"/>
                <w:highlight w:val="none"/>
              </w:rPr>
            </w:pPr>
          </w:p>
        </w:tc>
      </w:tr>
    </w:tbl>
    <w:p w14:paraId="47D7C78E">
      <w:pPr>
        <w:keepNext/>
        <w:keepLines/>
        <w:spacing w:before="120" w:after="120" w:line="360" w:lineRule="auto"/>
        <w:jc w:val="left"/>
        <w:outlineLvl w:val="0"/>
        <w:rPr>
          <w:rFonts w:hint="eastAsia" w:ascii="宋体" w:hAnsi="宋体" w:cs="宋体"/>
          <w:bCs/>
          <w:color w:val="auto"/>
          <w:sz w:val="24"/>
          <w:highlight w:val="none"/>
        </w:rPr>
      </w:pPr>
      <w:r>
        <w:rPr>
          <w:rFonts w:hint="eastAsia" w:ascii="宋体" w:hAnsi="宋体" w:cs="宋体"/>
          <w:bCs/>
          <w:color w:val="auto"/>
          <w:sz w:val="24"/>
          <w:highlight w:val="none"/>
        </w:rPr>
        <w:br w:type="page"/>
      </w:r>
      <w:r>
        <w:rPr>
          <w:rFonts w:hint="eastAsia" w:ascii="宋体" w:hAnsi="宋体" w:cs="宋体"/>
          <w:bCs/>
          <w:color w:val="auto"/>
          <w:sz w:val="24"/>
          <w:highlight w:val="none"/>
        </w:rPr>
        <w:t>附件：廉政协议</w:t>
      </w:r>
    </w:p>
    <w:p w14:paraId="1A303012">
      <w:pPr>
        <w:widowControl/>
        <w:spacing w:line="360" w:lineRule="auto"/>
        <w:ind w:firstLine="643"/>
        <w:jc w:val="center"/>
        <w:outlineLvl w:val="0"/>
        <w:rPr>
          <w:rFonts w:hint="eastAsia"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廉 政 协 议</w:t>
      </w:r>
    </w:p>
    <w:p w14:paraId="597C1357">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为促进双方诚信经营、廉洁从业，防范商业贿赂，保护国家、集体和当事人的合法权益，根据国家有关法律法规和安徽省、项目所在地廉政建设的规定，</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(以下称甲方)与</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(以下称乙方)，特此订立本协议共同遵照执行。</w:t>
      </w:r>
    </w:p>
    <w:p w14:paraId="417FE2BF">
      <w:pPr>
        <w:widowControl/>
        <w:spacing w:line="360" w:lineRule="auto"/>
        <w:ind w:firstLine="420" w:firstLineChars="200"/>
        <w:jc w:val="left"/>
        <w:outlineLvl w:val="0"/>
        <w:rPr>
          <w:rFonts w:hint="eastAsia" w:ascii="宋体" w:hAnsi="宋体" w:cs="宋体"/>
          <w:color w:val="auto"/>
          <w:kern w:val="0"/>
          <w:szCs w:val="21"/>
          <w:highlight w:val="none"/>
        </w:rPr>
      </w:pPr>
      <w:r>
        <w:rPr>
          <w:rFonts w:hint="eastAsia" w:ascii="宋体" w:hAnsi="宋体" w:cs="宋体"/>
          <w:color w:val="auto"/>
          <w:kern w:val="0"/>
          <w:szCs w:val="21"/>
          <w:highlight w:val="none"/>
        </w:rPr>
        <w:t>第一条 甲乙双方的权利和义务</w:t>
      </w:r>
    </w:p>
    <w:p w14:paraId="2E70AE93">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一）甲乙双方自觉遵守《中华人民共和国反不正当竞争法》、国家工商行政管理局《关于禁止商业贿赂行为的暂行规定》、国家最高人民检察院、最高人民法院《关于办理受贿刑事案件适用法律若干问题的意见》及相关法律法规和廉政建设的规定。</w:t>
      </w:r>
    </w:p>
    <w:p w14:paraId="4DC66CC3">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（二）严格执行</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的合同要求，自觉履行合同约定的相关义务。</w:t>
      </w:r>
    </w:p>
    <w:p w14:paraId="3E07BEEE">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（三）在业务活动中坚持公开、公正、诚信、透明的原则，不得损害国家、集体利益。</w:t>
      </w:r>
    </w:p>
    <w:p w14:paraId="52BF4A66">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（四）建立健全廉政制度，开展廉政教育，公布举报电话，监督并认真查处违法违纪行为。</w:t>
      </w:r>
    </w:p>
    <w:p w14:paraId="1BA56143">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（五）发现对方在业务活动中有违反廉政规定的行为，应及时提醒对方纠正。情节严重的，应向其上级有关部门举报、建议给予处理，并有权要求告知处理结果。</w:t>
      </w:r>
    </w:p>
    <w:p w14:paraId="7CC350D8">
      <w:pPr>
        <w:widowControl/>
        <w:spacing w:line="360" w:lineRule="auto"/>
        <w:ind w:firstLine="420" w:firstLineChars="200"/>
        <w:jc w:val="left"/>
        <w:outlineLvl w:val="0"/>
        <w:rPr>
          <w:rFonts w:hint="eastAsia" w:ascii="宋体" w:hAnsi="宋体" w:cs="宋体"/>
          <w:color w:val="auto"/>
          <w:kern w:val="0"/>
          <w:szCs w:val="21"/>
          <w:highlight w:val="none"/>
        </w:rPr>
      </w:pPr>
      <w:r>
        <w:rPr>
          <w:rFonts w:hint="eastAsia" w:ascii="宋体" w:hAnsi="宋体" w:cs="宋体"/>
          <w:color w:val="auto"/>
          <w:kern w:val="0"/>
          <w:szCs w:val="21"/>
          <w:highlight w:val="none"/>
        </w:rPr>
        <w:t>第二条 甲方的义务</w:t>
      </w:r>
    </w:p>
    <w:p w14:paraId="1E13EB2C">
      <w:pPr>
        <w:widowControl/>
        <w:spacing w:line="360" w:lineRule="auto"/>
        <w:ind w:firstLine="525" w:firstLineChars="25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(一)甲方及其工作人员不得索要或接受乙方的礼金、有价证券和贵重物品，不得在乙方报销任何应由甲方单位或个人支付的费用等。</w:t>
      </w:r>
    </w:p>
    <w:p w14:paraId="471574E9">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二）甲方工作人员不得参加乙方安排的可能影响相关业务公开、公正、公平性的宴请和娱乐活动；不得参与任何形式的赌博，严禁通过赌博方式取得乙方及其工作人员的财物；不得接受乙方提供的通讯工具和高档办公用品等。</w:t>
      </w:r>
    </w:p>
    <w:p w14:paraId="283ADA60">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（三） 甲方及其工作人员不得要求或者接受乙方为其住房装修、婚丧嫁娶活动、配偶子女工作安排以及出国出境、旅游等提供方便等。</w:t>
      </w:r>
    </w:p>
    <w:p w14:paraId="05DF70D0">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（四） 甲方工作人员不得在乙方有股权关联的企业兼职，不得向乙方介绍家属或者亲友从事与甲方业务有关的经济活动。</w:t>
      </w:r>
    </w:p>
    <w:p w14:paraId="0A6D334E">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（五）甲方工作人员不得以明显低于市场的价格向乙方购买房屋、汽车等物品；不得以明显高于市场的价格向乙方出售房屋、汽车等物品；不得以其他交易形式非法收受请托人财物。</w:t>
      </w:r>
    </w:p>
    <w:p w14:paraId="435E8761">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（六）甲方工作人员不得利用职务之便收受乙方以回扣、手续费、加班费、咨询费、劳务费、协调费、辛苦费等各种名义给予或赠送的钱物。</w:t>
      </w:r>
    </w:p>
    <w:p w14:paraId="620A9DBD">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（七）甲方工作人员不得接受乙方给予或赠送的干股或红利。</w:t>
      </w:r>
    </w:p>
    <w:p w14:paraId="59E3A68A">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（八）甲方任何人不得以个人的名义向乙方推荐设备、部件等供货商以及其他合作单位。</w:t>
      </w:r>
    </w:p>
    <w:p w14:paraId="082F451B">
      <w:pPr>
        <w:widowControl/>
        <w:spacing w:line="360" w:lineRule="auto"/>
        <w:ind w:firstLine="420" w:firstLineChars="200"/>
        <w:jc w:val="left"/>
        <w:outlineLvl w:val="0"/>
        <w:rPr>
          <w:rFonts w:hint="eastAsia" w:ascii="宋体" w:hAnsi="宋体" w:cs="宋体"/>
          <w:color w:val="auto"/>
          <w:kern w:val="0"/>
          <w:szCs w:val="21"/>
          <w:highlight w:val="none"/>
        </w:rPr>
      </w:pPr>
      <w:r>
        <w:rPr>
          <w:rFonts w:hint="eastAsia" w:ascii="宋体" w:hAnsi="宋体" w:cs="宋体"/>
          <w:color w:val="auto"/>
          <w:kern w:val="0"/>
          <w:szCs w:val="21"/>
          <w:highlight w:val="none"/>
        </w:rPr>
        <w:t>第三条 乙方的义务</w:t>
      </w:r>
    </w:p>
    <w:p w14:paraId="536AA4F3">
      <w:pPr>
        <w:widowControl/>
        <w:spacing w:line="360" w:lineRule="auto"/>
        <w:ind w:firstLine="525" w:firstLineChars="25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(一)乙方不得以任何理由向甲方及其工作人员行贿或馈赠礼金、有价证券、贵重礼品。</w:t>
      </w:r>
    </w:p>
    <w:p w14:paraId="1903A19A">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（二)乙方不得以任何名义为甲方及其工作人员报销应由甲方单位或个人支付的任何费用。</w:t>
      </w:r>
    </w:p>
    <w:p w14:paraId="7A752EF5">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(三)乙方不得以任何理由安排甲方工作人员参加可能影响相关业务公开、公正、公平性的宴请及娱乐活动。</w:t>
      </w:r>
    </w:p>
    <w:p w14:paraId="21BA5792">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（四）乙方不得为甲方单位和个人购置或提供通讯工具和高档办公用品等物品，也不得为甲方提供与工作无关的房屋、汽车等。</w:t>
      </w:r>
    </w:p>
    <w:p w14:paraId="1862E3A3">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（五）乙方不得与甲方工作人员就合同中的质量、数量、价格、工程量、验收等条款进行私下商谈或者达成默契。</w:t>
      </w:r>
    </w:p>
    <w:p w14:paraId="68FFBC38">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（六）乙方不得以回扣、手续费、加班费、咨询费、劳务费、协调费、辛苦费等各种名义向甲方工作人员给予或赠送钱物。</w:t>
      </w:r>
    </w:p>
    <w:p w14:paraId="7266537A">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（七）乙方不得向甲方工作人员提供干股或红利。</w:t>
      </w:r>
    </w:p>
    <w:p w14:paraId="6951D424">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（八）乙方须按</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专项纪检监察工作组(如有)要求开展相关工作。</w:t>
      </w:r>
    </w:p>
    <w:p w14:paraId="7E23489D">
      <w:pPr>
        <w:widowControl/>
        <w:spacing w:line="360" w:lineRule="auto"/>
        <w:ind w:firstLine="420" w:firstLineChars="200"/>
        <w:jc w:val="left"/>
        <w:outlineLvl w:val="0"/>
        <w:rPr>
          <w:rFonts w:hint="eastAsia" w:ascii="宋体" w:hAnsi="宋体" w:cs="宋体"/>
          <w:color w:val="auto"/>
          <w:kern w:val="0"/>
          <w:szCs w:val="21"/>
          <w:highlight w:val="none"/>
        </w:rPr>
      </w:pPr>
      <w:r>
        <w:rPr>
          <w:rFonts w:hint="eastAsia" w:ascii="宋体" w:hAnsi="宋体" w:cs="宋体"/>
          <w:color w:val="auto"/>
          <w:kern w:val="0"/>
          <w:szCs w:val="21"/>
          <w:highlight w:val="none"/>
        </w:rPr>
        <w:t>第四条 违约责任</w:t>
      </w:r>
    </w:p>
    <w:p w14:paraId="102BCE4D">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一）甲方及其工作人员违反本协议第一、二条规定。甲方按管理权限，对相关责任人依据有关规定给予党纪、政纪处分或组织处理；涉嫌犯罪的，移交司法机关追究刑事责任；给乙方单位造成经济损失的，应予以赔偿。</w:t>
      </w:r>
    </w:p>
    <w:p w14:paraId="3B824E0F">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甲方投诉联系部门：</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，联系电话：</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14:paraId="79AAF7A2">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（二）乙方及其工作人员违反本协议第一、三条规定。根据具体情节和造成的后果，甲方有权对乙方采取以下一种或多种处理办法：</w:t>
      </w:r>
    </w:p>
    <w:p w14:paraId="7B1C7202">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1. 全额收取乙方合同履约保证金不予退还； </w:t>
      </w:r>
    </w:p>
    <w:p w14:paraId="751A5E92">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2. 追究乙方其他违约责任；</w:t>
      </w:r>
    </w:p>
    <w:p w14:paraId="5877B673">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 终止或解除双方已签订的包括本合同在内的所有合同；</w:t>
      </w:r>
    </w:p>
    <w:p w14:paraId="66E20D9E">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4. 乙方一定期限内（6个月至3年，具体由甲方根据情况而定）不得参与甲方作为发包人（业主）的工程项目投标。</w:t>
      </w:r>
    </w:p>
    <w:p w14:paraId="2FDD33C3">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甲方作出的处理意见，乙方应无条件接受并承担给甲方造成的损失，全额返还通过不正当手段从甲方获取的非法所得，并承担相应的法律责任。</w:t>
      </w:r>
    </w:p>
    <w:p w14:paraId="46926EBA">
      <w:pPr>
        <w:widowControl/>
        <w:spacing w:line="360" w:lineRule="auto"/>
        <w:ind w:firstLine="420" w:firstLineChars="200"/>
        <w:jc w:val="left"/>
        <w:outlineLvl w:val="0"/>
        <w:rPr>
          <w:rFonts w:hint="eastAsia" w:ascii="宋体" w:hAnsi="宋体" w:cs="宋体"/>
          <w:color w:val="auto"/>
          <w:kern w:val="0"/>
          <w:szCs w:val="21"/>
          <w:highlight w:val="none"/>
        </w:rPr>
      </w:pPr>
      <w:r>
        <w:rPr>
          <w:rFonts w:hint="eastAsia" w:ascii="宋体" w:hAnsi="宋体" w:cs="宋体"/>
          <w:color w:val="auto"/>
          <w:kern w:val="0"/>
          <w:szCs w:val="21"/>
          <w:highlight w:val="none"/>
        </w:rPr>
        <w:t>第五条 双方约定</w:t>
      </w:r>
    </w:p>
    <w:p w14:paraId="6A43DC06">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本协议由双方或双方上级单位负责监督。可由甲方或甲方上级单位的纪检监察部门约请乙方或乙方上级单位的纪检监察部门对本协议履行情况进行检查，提出在本协议规定范围内的裁定意见。</w:t>
      </w:r>
    </w:p>
    <w:p w14:paraId="2E16A428">
      <w:pPr>
        <w:widowControl/>
        <w:spacing w:line="360" w:lineRule="auto"/>
        <w:ind w:firstLine="420" w:firstLineChars="200"/>
        <w:jc w:val="left"/>
        <w:outlineLvl w:val="0"/>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第六条  本协议有效期为甲乙双方签署之日起至合同终止。  </w:t>
      </w:r>
    </w:p>
    <w:p w14:paraId="2BC48733">
      <w:pPr>
        <w:widowControl/>
        <w:spacing w:line="360" w:lineRule="auto"/>
        <w:ind w:firstLine="420" w:firstLineChars="200"/>
        <w:jc w:val="left"/>
        <w:outlineLvl w:val="0"/>
        <w:rPr>
          <w:rFonts w:hint="eastAsia" w:ascii="宋体" w:hAnsi="宋体" w:cs="宋体"/>
          <w:color w:val="auto"/>
          <w:kern w:val="0"/>
          <w:szCs w:val="21"/>
          <w:highlight w:val="none"/>
        </w:rPr>
      </w:pPr>
      <w:r>
        <w:rPr>
          <w:rFonts w:hint="eastAsia" w:ascii="宋体" w:hAnsi="宋体" w:cs="宋体"/>
          <w:color w:val="auto"/>
          <w:kern w:val="0"/>
          <w:szCs w:val="21"/>
          <w:highlight w:val="none"/>
        </w:rPr>
        <w:t>第七条  本协议作为合同的附件，与本合同具有同等法律效力。</w:t>
      </w:r>
    </w:p>
    <w:p w14:paraId="5EF62A24">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 </w:t>
      </w:r>
    </w:p>
    <w:p w14:paraId="7ABCB902">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甲方（盖章）：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乙方（盖章）：</w:t>
      </w:r>
      <w:r>
        <w:rPr>
          <w:rFonts w:hint="eastAsia" w:ascii="宋体" w:hAnsi="宋体" w:cs="宋体"/>
          <w:color w:val="auto"/>
          <w:kern w:val="0"/>
          <w:szCs w:val="21"/>
          <w:highlight w:val="none"/>
          <w:u w:val="single"/>
        </w:rPr>
        <w:t xml:space="preserve">                      </w:t>
      </w:r>
    </w:p>
    <w:p w14:paraId="3CBC7FFC">
      <w:pPr>
        <w:widowControl/>
        <w:spacing w:line="360" w:lineRule="auto"/>
        <w:ind w:firstLine="420" w:firstLineChars="200"/>
        <w:jc w:val="left"/>
        <w:rPr>
          <w:rFonts w:hint="eastAsia" w:ascii="宋体" w:hAnsi="宋体" w:cs="宋体"/>
          <w:color w:val="auto"/>
          <w:kern w:val="0"/>
          <w:szCs w:val="21"/>
          <w:highlight w:val="none"/>
        </w:rPr>
      </w:pPr>
    </w:p>
    <w:p w14:paraId="14ABDFA7">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法定代表人或                                法定代表人或</w:t>
      </w:r>
    </w:p>
    <w:p w14:paraId="03DE86D9">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授权代表：</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(职务)              授权代表：</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(职务)</w:t>
      </w:r>
    </w:p>
    <w:p w14:paraId="02CFB343">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姓名：</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姓名：</w:t>
      </w:r>
      <w:r>
        <w:rPr>
          <w:rFonts w:hint="eastAsia" w:ascii="宋体" w:hAnsi="宋体" w:cs="宋体"/>
          <w:color w:val="auto"/>
          <w:kern w:val="0"/>
          <w:szCs w:val="21"/>
          <w:highlight w:val="none"/>
          <w:u w:val="single"/>
        </w:rPr>
        <w:t xml:space="preserve">             </w:t>
      </w:r>
    </w:p>
    <w:p w14:paraId="648CC4FB">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签字：</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签字：</w:t>
      </w:r>
      <w:r>
        <w:rPr>
          <w:rFonts w:hint="eastAsia" w:ascii="宋体" w:hAnsi="宋体" w:cs="宋体"/>
          <w:color w:val="auto"/>
          <w:kern w:val="0"/>
          <w:szCs w:val="21"/>
          <w:highlight w:val="none"/>
          <w:u w:val="single"/>
        </w:rPr>
        <w:t xml:space="preserve">             </w:t>
      </w:r>
    </w:p>
    <w:p w14:paraId="7272DDE1">
      <w:pPr>
        <w:widowControl/>
        <w:spacing w:line="360" w:lineRule="auto"/>
        <w:ind w:firstLine="420" w:firstLineChars="200"/>
        <w:jc w:val="left"/>
        <w:rPr>
          <w:rFonts w:hint="eastAsia" w:ascii="宋体" w:hAnsi="宋体" w:cs="宋体"/>
          <w:color w:val="auto"/>
          <w:kern w:val="0"/>
          <w:szCs w:val="21"/>
          <w:highlight w:val="none"/>
        </w:rPr>
      </w:pPr>
    </w:p>
    <w:p w14:paraId="69F3C833">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廉政监督联系人                              廉政监督联系人</w:t>
      </w:r>
    </w:p>
    <w:p w14:paraId="4BCF6F33">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姓名：</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姓名：</w:t>
      </w:r>
      <w:r>
        <w:rPr>
          <w:rFonts w:hint="eastAsia" w:ascii="宋体" w:hAnsi="宋体" w:cs="宋体"/>
          <w:color w:val="auto"/>
          <w:kern w:val="0"/>
          <w:szCs w:val="21"/>
          <w:highlight w:val="none"/>
          <w:u w:val="single"/>
        </w:rPr>
        <w:t xml:space="preserve">                       </w:t>
      </w:r>
    </w:p>
    <w:p w14:paraId="094C6991">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签字：</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签字：</w:t>
      </w:r>
      <w:r>
        <w:rPr>
          <w:rFonts w:hint="eastAsia" w:ascii="宋体" w:hAnsi="宋体" w:cs="宋体"/>
          <w:color w:val="auto"/>
          <w:kern w:val="0"/>
          <w:szCs w:val="21"/>
          <w:highlight w:val="none"/>
          <w:u w:val="single"/>
        </w:rPr>
        <w:t xml:space="preserve">                       </w:t>
      </w:r>
    </w:p>
    <w:p w14:paraId="55BD0FFB">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电话：</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电话：</w:t>
      </w:r>
      <w:r>
        <w:rPr>
          <w:rFonts w:hint="eastAsia" w:ascii="宋体" w:hAnsi="宋体" w:cs="宋体"/>
          <w:color w:val="auto"/>
          <w:kern w:val="0"/>
          <w:szCs w:val="21"/>
          <w:highlight w:val="none"/>
          <w:u w:val="single"/>
        </w:rPr>
        <w:t xml:space="preserve">                       </w:t>
      </w:r>
    </w:p>
    <w:p w14:paraId="0150D245">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地址：</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地址：</w:t>
      </w:r>
      <w:r>
        <w:rPr>
          <w:rFonts w:hint="eastAsia" w:ascii="宋体" w:hAnsi="宋体" w:cs="宋体"/>
          <w:color w:val="auto"/>
          <w:kern w:val="0"/>
          <w:szCs w:val="21"/>
          <w:highlight w:val="none"/>
          <w:u w:val="single"/>
        </w:rPr>
        <w:t xml:space="preserve">                       </w:t>
      </w:r>
    </w:p>
    <w:p w14:paraId="27B4D8C4">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日期：</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日期：</w:t>
      </w:r>
      <w:r>
        <w:rPr>
          <w:rFonts w:hint="eastAsia" w:ascii="宋体" w:hAnsi="宋体" w:cs="宋体"/>
          <w:color w:val="auto"/>
          <w:kern w:val="0"/>
          <w:szCs w:val="21"/>
          <w:highlight w:val="none"/>
          <w:u w:val="single"/>
        </w:rPr>
        <w:t xml:space="preserve">                       </w:t>
      </w:r>
    </w:p>
    <w:p w14:paraId="6CD2D413">
      <w:pPr>
        <w:keepNext/>
        <w:keepLines/>
        <w:spacing w:before="120" w:after="120" w:line="360" w:lineRule="auto"/>
        <w:jc w:val="left"/>
        <w:outlineLvl w:val="2"/>
        <w:rPr>
          <w:rFonts w:hint="eastAsia" w:ascii="宋体" w:hAnsi="宋体" w:cs="宋体"/>
          <w:color w:val="auto"/>
          <w:szCs w:val="21"/>
          <w:highlight w:val="none"/>
        </w:rPr>
      </w:pPr>
      <w:r>
        <w:rPr>
          <w:rFonts w:hint="eastAsia" w:ascii="宋体" w:hAnsi="宋体" w:cs="宋体"/>
          <w:bCs/>
          <w:color w:val="auto"/>
          <w:kern w:val="0"/>
          <w:sz w:val="24"/>
          <w:szCs w:val="21"/>
          <w:highlight w:val="none"/>
        </w:rPr>
        <w:br w:type="page"/>
      </w:r>
      <w:r>
        <w:rPr>
          <w:rFonts w:hint="eastAsia" w:ascii="宋体" w:hAnsi="宋体" w:cs="宋体"/>
          <w:bCs/>
          <w:color w:val="auto"/>
          <w:sz w:val="24"/>
          <w:highlight w:val="none"/>
        </w:rPr>
        <w:t>附件：履约保证金</w:t>
      </w:r>
    </w:p>
    <w:p w14:paraId="163CA750">
      <w:pPr>
        <w:adjustRightInd w:val="0"/>
        <w:snapToGrid w:val="0"/>
        <w:spacing w:line="360" w:lineRule="auto"/>
        <w:jc w:val="center"/>
        <w:outlineLvl w:val="0"/>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履约保函示范文本</w:t>
      </w:r>
    </w:p>
    <w:p w14:paraId="3B8C942B">
      <w:pPr>
        <w:wordWrap w:val="0"/>
        <w:adjustRightInd w:val="0"/>
        <w:snapToGrid w:val="0"/>
        <w:spacing w:line="360" w:lineRule="auto"/>
        <w:jc w:val="right"/>
        <w:rPr>
          <w:rFonts w:hint="eastAsia" w:ascii="宋体" w:hAnsi="宋体" w:cs="宋体"/>
          <w:color w:val="auto"/>
          <w:szCs w:val="21"/>
          <w:highlight w:val="none"/>
        </w:rPr>
      </w:pPr>
      <w:r>
        <w:rPr>
          <w:rFonts w:hint="eastAsia" w:ascii="宋体" w:hAnsi="宋体" w:cs="宋体"/>
          <w:color w:val="auto"/>
          <w:szCs w:val="21"/>
          <w:highlight w:val="none"/>
        </w:rPr>
        <w:t xml:space="preserve">编号：           </w:t>
      </w:r>
    </w:p>
    <w:p w14:paraId="702A516A">
      <w:pPr>
        <w:adjustRightInd w:val="0"/>
        <w:snapToGrid w:val="0"/>
        <w:spacing w:line="360" w:lineRule="auto"/>
        <w:rPr>
          <w:rFonts w:hint="eastAsia" w:ascii="宋体" w:hAnsi="宋体" w:cs="宋体"/>
          <w:color w:val="auto"/>
          <w:szCs w:val="21"/>
          <w:highlight w:val="none"/>
        </w:rPr>
      </w:pPr>
    </w:p>
    <w:p w14:paraId="72269BCE">
      <w:pPr>
        <w:adjustRightInd w:val="0"/>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（受益人名称）： </w:t>
      </w:r>
    </w:p>
    <w:p w14:paraId="5C1FA13B">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鉴于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（以下简称“受益人”）与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（以下简称“申请人”）于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日就</w:t>
      </w: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rPr>
        <w:t>（标段编号）的</w:t>
      </w: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rPr>
        <w:t>（标段名称）</w:t>
      </w:r>
      <w:r>
        <w:rPr>
          <w:rFonts w:hint="eastAsia" w:ascii="宋体" w:hAnsi="宋体" w:cs="宋体"/>
          <w:color w:val="auto"/>
          <w:szCs w:val="21"/>
          <w:highlight w:val="none"/>
        </w:rPr>
        <w:t>有关事项协商一致共同签订</w:t>
      </w:r>
      <w:r>
        <w:rPr>
          <w:rFonts w:hint="eastAsia" w:ascii="宋体" w:hAnsi="宋体" w:cs="宋体"/>
          <w:color w:val="auto"/>
          <w:szCs w:val="21"/>
          <w:highlight w:val="none"/>
          <w:u w:val="single"/>
        </w:rPr>
        <w:t>《        》</w:t>
      </w:r>
      <w:r>
        <w:rPr>
          <w:rFonts w:hint="eastAsia" w:ascii="宋体" w:hAnsi="宋体" w:cs="宋体"/>
          <w:color w:val="auto"/>
          <w:szCs w:val="21"/>
          <w:highlight w:val="none"/>
        </w:rPr>
        <w:t xml:space="preserve">（以下简称“基础合同”），开立人根据基础合同了解到申请人为基础合同项下之承包人，受益人为基础合同项下之发包人，基于申请人的请求，开立人同意就申请人履行与受益人签订的基础合同项下的义务，向受益人提供不可撤销、不可转让的见索即付独立保函（以下简称“本保函”）。 </w:t>
      </w:r>
    </w:p>
    <w:p w14:paraId="1D000902">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一、本保函担保范围：承包人未按照基础合同的约定履行义务，应当向受益人承担的违约责任和赔偿因此造成的损失、利息、律师费、诉讼费用等实现债权的费用。</w:t>
      </w:r>
    </w:p>
    <w:p w14:paraId="5A923F9A">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二、本保函担保金额最高不超过人民币（大写）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14:paraId="2582DFD8">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三、本保函有效期自开立之日起至基础合同约定的缺陷责任期满之日止。 </w:t>
      </w:r>
    </w:p>
    <w:p w14:paraId="140C5AF1">
      <w:pPr>
        <w:adjustRightInd w:val="0"/>
        <w:snapToGrid w:val="0"/>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四、开立人承诺，在收到受益人发来的书面付款通知后的七日内无条件支付，前述书面付款通知即为付款要求之单据，且应满足以下要求：</w:t>
      </w:r>
    </w:p>
    <w:p w14:paraId="53D2006C">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（1）付款通知到达的日期在本保函的有效期内；</w:t>
      </w:r>
    </w:p>
    <w:p w14:paraId="1F10186E">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（2）载明要求支付的金额；</w:t>
      </w:r>
    </w:p>
    <w:p w14:paraId="560884B3">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（3）载明申请人违反合同义务的条款和内容；</w:t>
      </w:r>
    </w:p>
    <w:p w14:paraId="03F550E9">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（4）声明不存在合同文件约定或我国法律规定免除申请人或开立人支付责任的情形；</w:t>
      </w:r>
    </w:p>
    <w:p w14:paraId="4B0FDFED">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（5）付款通知应在本保函有效期内到达的地址是：</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139CDDF6">
      <w:pPr>
        <w:adjustRightInd w:val="0"/>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 xml:space="preserve">    受益人发出的书面付款通知应由其法定代表人（负责人）或授权代理人签字并加盖公章。</w:t>
      </w:r>
    </w:p>
    <w:p w14:paraId="3FBD3EAA">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五、本保函项下的权利不得转让，不得设定担保。受益人未经我方书面同意转让本保函或其项下任何权利，对我方不发生法律效力。 </w:t>
      </w:r>
    </w:p>
    <w:p w14:paraId="6AEEB2FB">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六、与本保函有关的基础合同不成立、不生效、无效、被撤销、被解除，不影响本保函的独立有效。 </w:t>
      </w:r>
    </w:p>
    <w:p w14:paraId="64C3CBA1">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七、本保函金额将随我行按贵方索赔通知要求分次支付而相应递减。</w:t>
      </w:r>
    </w:p>
    <w:p w14:paraId="3BE98A46">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八、</w:t>
      </w:r>
      <w:r>
        <w:rPr>
          <w:rFonts w:hint="eastAsia" w:ascii="宋体" w:hAnsi="宋体" w:cs="宋体"/>
          <w:color w:val="auto"/>
          <w:szCs w:val="21"/>
          <w:highlight w:val="none"/>
        </w:rPr>
        <w:t xml:space="preserve">本保函项下的义务和责任均在保函有效期到期后自动消灭。 </w:t>
      </w:r>
    </w:p>
    <w:p w14:paraId="2A475832">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九、本保函适用的法律为中华人民共和国法律，因本保函产生的纠纷案件，由受益人所在地人民法院管辖。 </w:t>
      </w:r>
    </w:p>
    <w:p w14:paraId="1C20FE93">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十</w:t>
      </w:r>
      <w:r>
        <w:rPr>
          <w:rFonts w:hint="eastAsia" w:ascii="宋体" w:hAnsi="宋体" w:cs="宋体"/>
          <w:color w:val="auto"/>
          <w:szCs w:val="21"/>
          <w:highlight w:val="none"/>
        </w:rPr>
        <w:t xml:space="preserve">、本保函自我方法定代表人或授权代表签字并加盖公章之日起生效。 </w:t>
      </w:r>
    </w:p>
    <w:p w14:paraId="608A9593">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开 立 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（公章） </w:t>
      </w:r>
    </w:p>
    <w:p w14:paraId="18A62E2F">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法定代表人（或授权代表）：</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（签字） </w:t>
      </w:r>
    </w:p>
    <w:p w14:paraId="2B7B8372">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地    址：</w:t>
      </w:r>
      <w:r>
        <w:rPr>
          <w:rFonts w:hint="eastAsia" w:ascii="宋体" w:hAnsi="宋体" w:cs="宋体"/>
          <w:color w:val="auto"/>
          <w:szCs w:val="21"/>
          <w:highlight w:val="none"/>
          <w:u w:val="single"/>
        </w:rPr>
        <w:t xml:space="preserve">                                       </w:t>
      </w:r>
    </w:p>
    <w:p w14:paraId="7CD9735B">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邮政编码：</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电    话：</w:t>
      </w:r>
      <w:r>
        <w:rPr>
          <w:rFonts w:hint="eastAsia" w:ascii="宋体" w:hAnsi="宋体" w:cs="宋体"/>
          <w:color w:val="auto"/>
          <w:szCs w:val="21"/>
          <w:highlight w:val="none"/>
          <w:u w:val="single"/>
        </w:rPr>
        <w:t xml:space="preserve">                 </w:t>
      </w:r>
    </w:p>
    <w:p w14:paraId="58DD0FF4">
      <w:pPr>
        <w:adjustRightInd w:val="0"/>
        <w:snapToGrid w:val="0"/>
        <w:spacing w:line="360" w:lineRule="auto"/>
        <w:ind w:left="0" w:leftChars="0" w:firstLine="420" w:firstLineChars="200"/>
        <w:rPr>
          <w:rFonts w:hint="eastAsia" w:ascii="宋体" w:hAnsi="宋体" w:cs="宋体"/>
          <w:color w:val="auto"/>
          <w:szCs w:val="21"/>
          <w:highlight w:val="none"/>
        </w:rPr>
      </w:pPr>
      <w:r>
        <w:rPr>
          <w:rFonts w:hint="eastAsia" w:ascii="宋体" w:hAnsi="宋体" w:cs="宋体"/>
          <w:color w:val="auto"/>
          <w:szCs w:val="21"/>
          <w:highlight w:val="none"/>
        </w:rPr>
        <w:t>传    真：</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开立时间：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14:paraId="71413F5F">
      <w:pPr>
        <w:spacing w:line="360" w:lineRule="auto"/>
        <w:ind w:left="1329" w:hanging="1329" w:hangingChars="633"/>
        <w:rPr>
          <w:rFonts w:hint="eastAsia" w:ascii="宋体" w:hAnsi="宋体" w:cs="宋体"/>
          <w:color w:val="auto"/>
          <w:szCs w:val="21"/>
          <w:highlight w:val="none"/>
        </w:rPr>
      </w:pPr>
    </w:p>
    <w:p w14:paraId="1F047D90">
      <w:pPr>
        <w:keepNext/>
        <w:keepLines/>
        <w:spacing w:before="120" w:after="120" w:line="360" w:lineRule="auto"/>
        <w:jc w:val="left"/>
        <w:outlineLvl w:val="0"/>
        <w:rPr>
          <w:rFonts w:hint="eastAsia" w:ascii="宋体" w:hAnsi="宋体" w:cs="宋体"/>
          <w:bCs/>
          <w:color w:val="auto"/>
          <w:sz w:val="24"/>
          <w:highlight w:val="none"/>
        </w:rPr>
      </w:pPr>
      <w:r>
        <w:rPr>
          <w:rFonts w:hint="eastAsia" w:ascii="宋体" w:hAnsi="宋体" w:cs="宋体"/>
          <w:bCs/>
          <w:color w:val="auto"/>
          <w:sz w:val="24"/>
          <w:highlight w:val="none"/>
        </w:rPr>
        <w:t>附件：预付款担保</w:t>
      </w:r>
    </w:p>
    <w:p w14:paraId="2A88884F">
      <w:pPr>
        <w:adjustRightInd w:val="0"/>
        <w:snapToGrid w:val="0"/>
        <w:spacing w:line="360" w:lineRule="auto"/>
        <w:jc w:val="center"/>
        <w:outlineLvl w:val="0"/>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预付款保函示范文本</w:t>
      </w:r>
    </w:p>
    <w:p w14:paraId="5EE37103">
      <w:pPr>
        <w:wordWrap w:val="0"/>
        <w:adjustRightInd w:val="0"/>
        <w:snapToGrid w:val="0"/>
        <w:spacing w:line="360" w:lineRule="auto"/>
        <w:jc w:val="right"/>
        <w:rPr>
          <w:rFonts w:hint="eastAsia" w:ascii="宋体" w:hAnsi="宋体" w:cs="宋体"/>
          <w:color w:val="auto"/>
          <w:szCs w:val="21"/>
          <w:highlight w:val="none"/>
        </w:rPr>
      </w:pPr>
      <w:r>
        <w:rPr>
          <w:rFonts w:hint="eastAsia" w:ascii="宋体" w:hAnsi="宋体" w:cs="宋体"/>
          <w:color w:val="auto"/>
          <w:szCs w:val="21"/>
          <w:highlight w:val="none"/>
        </w:rPr>
        <w:t xml:space="preserve">编号：           </w:t>
      </w:r>
    </w:p>
    <w:p w14:paraId="2F189679">
      <w:pPr>
        <w:adjustRightInd w:val="0"/>
        <w:snapToGrid w:val="0"/>
        <w:spacing w:line="360" w:lineRule="auto"/>
        <w:rPr>
          <w:rFonts w:hint="eastAsia" w:ascii="宋体" w:hAnsi="宋体" w:cs="宋体"/>
          <w:color w:val="auto"/>
          <w:szCs w:val="21"/>
          <w:highlight w:val="none"/>
        </w:rPr>
      </w:pPr>
    </w:p>
    <w:p w14:paraId="3E491DBA">
      <w:pPr>
        <w:adjustRightInd w:val="0"/>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（受益人名称）： </w:t>
      </w:r>
    </w:p>
    <w:p w14:paraId="059E466E">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鉴于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（以下简称“受益人”）与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（以下简称“申请人”）于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日就</w:t>
      </w: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rPr>
        <w:t>（标段编号）的</w:t>
      </w: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rPr>
        <w:t>（标段名称）</w:t>
      </w:r>
      <w:r>
        <w:rPr>
          <w:rFonts w:hint="eastAsia" w:ascii="宋体" w:hAnsi="宋体" w:cs="宋体"/>
          <w:color w:val="auto"/>
          <w:szCs w:val="21"/>
          <w:highlight w:val="none"/>
        </w:rPr>
        <w:t>有关事项协商一致共同签订</w:t>
      </w:r>
      <w:r>
        <w:rPr>
          <w:rFonts w:hint="eastAsia" w:ascii="宋体" w:hAnsi="宋体" w:cs="宋体"/>
          <w:color w:val="auto"/>
          <w:szCs w:val="21"/>
          <w:highlight w:val="none"/>
          <w:u w:val="single"/>
        </w:rPr>
        <w:t>《        》</w:t>
      </w:r>
      <w:r>
        <w:rPr>
          <w:rFonts w:hint="eastAsia" w:ascii="宋体" w:hAnsi="宋体" w:cs="宋体"/>
          <w:color w:val="auto"/>
          <w:szCs w:val="21"/>
          <w:highlight w:val="none"/>
        </w:rPr>
        <w:t xml:space="preserve">（以下简称“基础合同”），开立人根据主合同了解到申请人为主合同项下之承包人，受益人为主合同项下之发包人，基于申请人的请求，开立人同意就申请人按照合同约定正确和合理地为合同目的使用预付款，向受益人提供不可撤销、不可转让的见索即付独立保函（以下简称“本保函”）。 </w:t>
      </w:r>
    </w:p>
    <w:p w14:paraId="61D80E4F">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一、本保函担保范围：申请人未按照合同约定正确和合理地为合同目的使用预付款，应当向受益人承担的违约责任和赔偿因此造成的损失、利息、律师费、诉讼费用等实现债权的费用。</w:t>
      </w:r>
    </w:p>
    <w:p w14:paraId="10C9738A">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二、本保函担保金额最高不超过人民币（大写）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14:paraId="11D34377">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三、本保函有效期自开立之日起至发包人全额扣回预付款之日止。</w:t>
      </w:r>
    </w:p>
    <w:p w14:paraId="08F1D47E">
      <w:pPr>
        <w:adjustRightInd w:val="0"/>
        <w:snapToGrid w:val="0"/>
        <w:spacing w:line="360" w:lineRule="auto"/>
        <w:ind w:firstLine="480"/>
        <w:rPr>
          <w:rFonts w:hint="eastAsia" w:ascii="宋体" w:hAnsi="宋体" w:cs="宋体"/>
          <w:color w:val="auto"/>
          <w:szCs w:val="21"/>
          <w:highlight w:val="none"/>
        </w:rPr>
      </w:pPr>
      <w:r>
        <w:rPr>
          <w:rFonts w:hint="eastAsia" w:ascii="宋体" w:hAnsi="宋体" w:cs="宋体"/>
          <w:color w:val="auto"/>
          <w:szCs w:val="21"/>
          <w:highlight w:val="none"/>
        </w:rPr>
        <w:t>四、开立人承诺，在收到受益人发来的书面付款通知后的七日内无条件支付，前述书面付款通知即为付款要求之单据，且应满足以下要求：</w:t>
      </w:r>
    </w:p>
    <w:p w14:paraId="23E9F170">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（1）付款通知到达的日期在本保函的有效期内；</w:t>
      </w:r>
    </w:p>
    <w:p w14:paraId="485F8BBA">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（2）载明要求支付的金额；</w:t>
      </w:r>
    </w:p>
    <w:p w14:paraId="4E378BD7">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（3）载明申请人违反合同义务的条款和内容；</w:t>
      </w:r>
    </w:p>
    <w:p w14:paraId="533138B6">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（4）声明不存在合同文件约定或我国法律规定免除申请人或开立人支付责任的情形；</w:t>
      </w:r>
    </w:p>
    <w:p w14:paraId="66D89ACC">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（5）付款通知应在本保函有效期内到达的地址是：</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14:paraId="724359AD">
      <w:pPr>
        <w:adjustRightInd w:val="0"/>
        <w:snapToGrid w:val="0"/>
        <w:spacing w:line="360" w:lineRule="auto"/>
        <w:rPr>
          <w:rFonts w:hint="eastAsia" w:ascii="宋体" w:hAnsi="宋体" w:cs="宋体"/>
          <w:color w:val="auto"/>
          <w:szCs w:val="21"/>
          <w:highlight w:val="none"/>
        </w:rPr>
      </w:pPr>
      <w:r>
        <w:rPr>
          <w:rFonts w:hint="eastAsia" w:ascii="宋体" w:hAnsi="宋体" w:cs="宋体"/>
          <w:color w:val="auto"/>
          <w:szCs w:val="21"/>
          <w:highlight w:val="none"/>
        </w:rPr>
        <w:t xml:space="preserve">    受益人发出的书面付款通知应由其法定代表人（负责人）或授权代理人签字并加盖公章。</w:t>
      </w:r>
    </w:p>
    <w:p w14:paraId="17AF0A49">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五、本保函项下的权利不得转让，不得设定担保。受益人未经开立人书面同意转让本保函或其项下任何权利，对开立人不发生法律效力。 </w:t>
      </w:r>
    </w:p>
    <w:p w14:paraId="15620C01">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六、本保函项下的基础交易不成立、不生效、无效、被撤销、被解除，不影响本保函的独立有效。</w:t>
      </w:r>
    </w:p>
    <w:p w14:paraId="6ED8E371">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七、本保函金额将随我行按贵方索赔通知要求分次支付而相应递减。</w:t>
      </w:r>
    </w:p>
    <w:p w14:paraId="0BF6FAA2">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八、本保函项下的义务和责任均在保函有效期到期后自动消灭。 </w:t>
      </w:r>
    </w:p>
    <w:p w14:paraId="5ACDB67C">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九、本保函适用的法律为中华人民共和国法律，因本保函产生的纠纷案件，由受益人所在地人民法院管辖。 </w:t>
      </w:r>
    </w:p>
    <w:p w14:paraId="0DDF7443">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十、</w:t>
      </w:r>
      <w:r>
        <w:rPr>
          <w:rFonts w:hint="eastAsia" w:ascii="宋体" w:hAnsi="宋体" w:cs="宋体"/>
          <w:color w:val="auto"/>
          <w:szCs w:val="21"/>
          <w:highlight w:val="none"/>
        </w:rPr>
        <w:t xml:space="preserve">本保函自我方法定代表人或授权代表签字并加盖公章之日起生效。 </w:t>
      </w:r>
    </w:p>
    <w:p w14:paraId="7F89EBD7">
      <w:pPr>
        <w:adjustRightInd w:val="0"/>
        <w:snapToGrid w:val="0"/>
        <w:spacing w:line="360" w:lineRule="auto"/>
        <w:ind w:firstLine="420" w:firstLineChars="200"/>
        <w:rPr>
          <w:rFonts w:hint="eastAsia" w:ascii="宋体" w:hAnsi="宋体" w:cs="宋体"/>
          <w:color w:val="auto"/>
          <w:szCs w:val="21"/>
          <w:highlight w:val="none"/>
        </w:rPr>
      </w:pPr>
    </w:p>
    <w:p w14:paraId="40BD86DC">
      <w:pPr>
        <w:adjustRightInd w:val="0"/>
        <w:snapToGrid w:val="0"/>
        <w:spacing w:line="360" w:lineRule="auto"/>
        <w:ind w:firstLine="420" w:firstLineChars="200"/>
        <w:rPr>
          <w:rFonts w:hint="eastAsia" w:ascii="宋体" w:hAnsi="宋体" w:cs="宋体"/>
          <w:color w:val="auto"/>
          <w:szCs w:val="21"/>
          <w:highlight w:val="none"/>
        </w:rPr>
      </w:pPr>
    </w:p>
    <w:p w14:paraId="285F7162">
      <w:pPr>
        <w:adjustRightInd w:val="0"/>
        <w:snapToGrid w:val="0"/>
        <w:spacing w:line="360" w:lineRule="auto"/>
        <w:ind w:firstLine="420" w:firstLineChars="200"/>
        <w:rPr>
          <w:rFonts w:hint="eastAsia" w:ascii="宋体" w:hAnsi="宋体" w:cs="宋体"/>
          <w:color w:val="auto"/>
          <w:szCs w:val="21"/>
          <w:highlight w:val="none"/>
        </w:rPr>
      </w:pPr>
    </w:p>
    <w:p w14:paraId="616EED7C">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开 立 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（公章） </w:t>
      </w:r>
    </w:p>
    <w:p w14:paraId="76F07E76">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法定代表人（或授权代表）：</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（签字） </w:t>
      </w:r>
    </w:p>
    <w:p w14:paraId="0635E4DC">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地    址：</w:t>
      </w:r>
      <w:r>
        <w:rPr>
          <w:rFonts w:hint="eastAsia" w:ascii="宋体" w:hAnsi="宋体" w:cs="宋体"/>
          <w:color w:val="auto"/>
          <w:szCs w:val="21"/>
          <w:highlight w:val="none"/>
          <w:u w:val="single"/>
        </w:rPr>
        <w:t xml:space="preserve">                                       </w:t>
      </w:r>
    </w:p>
    <w:p w14:paraId="01408587">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邮政编码：</w:t>
      </w:r>
      <w:r>
        <w:rPr>
          <w:rFonts w:hint="eastAsia" w:ascii="宋体" w:hAnsi="宋体" w:cs="宋体"/>
          <w:color w:val="auto"/>
          <w:szCs w:val="21"/>
          <w:highlight w:val="none"/>
          <w:u w:val="single"/>
        </w:rPr>
        <w:t xml:space="preserve">                 </w:t>
      </w:r>
    </w:p>
    <w:p w14:paraId="412AD52D">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电    话：</w:t>
      </w:r>
      <w:r>
        <w:rPr>
          <w:rFonts w:hint="eastAsia" w:ascii="宋体" w:hAnsi="宋体" w:cs="宋体"/>
          <w:color w:val="auto"/>
          <w:szCs w:val="21"/>
          <w:highlight w:val="none"/>
          <w:u w:val="single"/>
        </w:rPr>
        <w:t xml:space="preserve">                 </w:t>
      </w:r>
    </w:p>
    <w:p w14:paraId="1BA6D125">
      <w:pPr>
        <w:adjustRightInd w:val="0"/>
        <w:snapToGrid w:val="0"/>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传    真：</w:t>
      </w:r>
      <w:r>
        <w:rPr>
          <w:rFonts w:hint="eastAsia" w:ascii="宋体" w:hAnsi="宋体" w:cs="宋体"/>
          <w:color w:val="auto"/>
          <w:szCs w:val="21"/>
          <w:highlight w:val="none"/>
          <w:u w:val="single"/>
        </w:rPr>
        <w:t xml:space="preserve">                 </w:t>
      </w:r>
    </w:p>
    <w:p w14:paraId="49FD4488">
      <w:pPr>
        <w:adjustRightInd w:val="0"/>
        <w:snapToGrid w:val="0"/>
        <w:spacing w:line="360" w:lineRule="auto"/>
        <w:ind w:left="1323" w:leftChars="200" w:hanging="903" w:hangingChars="430"/>
        <w:rPr>
          <w:rFonts w:hint="eastAsia" w:ascii="宋体" w:hAnsi="宋体" w:cs="宋体"/>
          <w:color w:val="auto"/>
          <w:szCs w:val="21"/>
          <w:highlight w:val="none"/>
        </w:rPr>
      </w:pPr>
      <w:r>
        <w:rPr>
          <w:rFonts w:hint="eastAsia" w:ascii="宋体" w:hAnsi="宋体" w:cs="宋体"/>
          <w:color w:val="auto"/>
          <w:szCs w:val="21"/>
          <w:highlight w:val="none"/>
        </w:rPr>
        <w:t>开立时间：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14:paraId="7B2143A0">
      <w:pPr>
        <w:spacing w:line="360" w:lineRule="auto"/>
        <w:rPr>
          <w:rFonts w:hint="eastAsia" w:ascii="宋体" w:hAnsi="宋体" w:cs="宋体"/>
          <w:color w:val="auto"/>
          <w:szCs w:val="21"/>
          <w:highlight w:val="none"/>
        </w:rPr>
      </w:pPr>
    </w:p>
    <w:p w14:paraId="03578AF0">
      <w:pPr>
        <w:keepNext/>
        <w:keepLines/>
        <w:spacing w:before="120" w:after="120" w:line="360" w:lineRule="auto"/>
        <w:jc w:val="left"/>
        <w:outlineLvl w:val="2"/>
        <w:rPr>
          <w:rFonts w:hint="eastAsia" w:ascii="宋体" w:hAnsi="宋体" w:cs="宋体"/>
          <w:bCs/>
          <w:color w:val="auto"/>
          <w:sz w:val="24"/>
          <w:highlight w:val="none"/>
        </w:rPr>
      </w:pPr>
      <w:r>
        <w:rPr>
          <w:rFonts w:hint="eastAsia" w:ascii="宋体" w:hAnsi="宋体" w:cs="宋体"/>
          <w:bCs/>
          <w:color w:val="auto"/>
          <w:kern w:val="44"/>
          <w:sz w:val="32"/>
          <w:szCs w:val="44"/>
          <w:highlight w:val="none"/>
        </w:rPr>
        <w:br w:type="page"/>
      </w:r>
      <w:r>
        <w:rPr>
          <w:rFonts w:hint="eastAsia" w:ascii="宋体" w:hAnsi="宋体" w:cs="宋体"/>
          <w:bCs/>
          <w:color w:val="auto"/>
          <w:sz w:val="24"/>
          <w:highlight w:val="none"/>
        </w:rPr>
        <w:t>附件14：项目经理质量终身责任制承诺</w:t>
      </w:r>
    </w:p>
    <w:p w14:paraId="0FEE6C91">
      <w:pPr>
        <w:keepNext/>
        <w:keepLines/>
        <w:spacing w:before="120" w:after="120" w:line="360" w:lineRule="auto"/>
        <w:jc w:val="left"/>
        <w:outlineLvl w:val="2"/>
        <w:rPr>
          <w:rFonts w:hint="eastAsia" w:ascii="宋体" w:hAnsi="宋体" w:cs="宋体"/>
          <w:bCs/>
          <w:color w:val="auto"/>
          <w:sz w:val="24"/>
          <w:highlight w:val="none"/>
        </w:rPr>
      </w:pPr>
    </w:p>
    <w:p w14:paraId="776F41DD">
      <w:pPr>
        <w:adjustRightInd w:val="0"/>
        <w:snapToGrid w:val="0"/>
        <w:spacing w:line="360" w:lineRule="auto"/>
        <w:jc w:val="center"/>
        <w:outlineLvl w:val="0"/>
        <w:rPr>
          <w:rFonts w:hint="eastAsia" w:ascii="宋体" w:hAnsi="宋体" w:cs="宋体"/>
          <w:b/>
          <w:color w:val="auto"/>
          <w:sz w:val="32"/>
          <w:szCs w:val="32"/>
          <w:highlight w:val="none"/>
        </w:rPr>
      </w:pPr>
      <w:r>
        <w:rPr>
          <w:rFonts w:hint="eastAsia" w:ascii="宋体" w:hAnsi="宋体" w:cs="宋体"/>
          <w:b/>
          <w:color w:val="auto"/>
          <w:sz w:val="32"/>
          <w:szCs w:val="32"/>
          <w:highlight w:val="none"/>
        </w:rPr>
        <w:t>项目经理质量终身责任制承诺</w:t>
      </w:r>
    </w:p>
    <w:p w14:paraId="6A16DA30">
      <w:pPr>
        <w:adjustRightInd w:val="0"/>
        <w:snapToGrid w:val="0"/>
        <w:spacing w:line="360" w:lineRule="auto"/>
        <w:jc w:val="center"/>
        <w:outlineLvl w:val="0"/>
        <w:rPr>
          <w:rFonts w:hint="eastAsia" w:ascii="宋体" w:hAnsi="宋体" w:cs="宋体"/>
          <w:b/>
          <w:color w:val="auto"/>
          <w:sz w:val="32"/>
          <w:szCs w:val="32"/>
          <w:highlight w:val="none"/>
        </w:rPr>
      </w:pPr>
    </w:p>
    <w:p w14:paraId="737D65A0">
      <w:pPr>
        <w:adjustRightInd w:val="0"/>
        <w:snapToGrid w:val="0"/>
        <w:spacing w:line="360" w:lineRule="auto"/>
        <w:rPr>
          <w:rFonts w:hint="eastAsia" w:ascii="宋体" w:hAnsi="宋体" w:cs="宋体"/>
          <w:bCs/>
          <w:color w:val="auto"/>
          <w:sz w:val="24"/>
          <w:szCs w:val="21"/>
          <w:highlight w:val="none"/>
        </w:rPr>
      </w:pPr>
      <w:r>
        <w:rPr>
          <w:rFonts w:hint="eastAsia" w:ascii="宋体" w:hAnsi="宋体" w:cs="宋体"/>
          <w:bCs/>
          <w:color w:val="auto"/>
          <w:sz w:val="24"/>
          <w:szCs w:val="21"/>
          <w:highlight w:val="none"/>
        </w:rPr>
        <w:t>致：______________(招标人名称)</w:t>
      </w:r>
    </w:p>
    <w:p w14:paraId="4F7232C5">
      <w:pPr>
        <w:adjustRightInd w:val="0"/>
        <w:snapToGrid w:val="0"/>
        <w:spacing w:line="360" w:lineRule="auto"/>
        <w:ind w:firstLine="480" w:firstLineChars="200"/>
        <w:rPr>
          <w:rFonts w:hint="eastAsia" w:ascii="宋体" w:hAnsi="宋体" w:cs="宋体"/>
          <w:bCs/>
          <w:color w:val="auto"/>
          <w:sz w:val="24"/>
          <w:szCs w:val="21"/>
          <w:highlight w:val="none"/>
        </w:rPr>
      </w:pPr>
      <w:r>
        <w:rPr>
          <w:rFonts w:hint="eastAsia" w:ascii="宋体" w:hAnsi="宋体" w:cs="宋体"/>
          <w:bCs/>
          <w:color w:val="auto"/>
          <w:sz w:val="24"/>
          <w:szCs w:val="21"/>
          <w:highlight w:val="none"/>
        </w:rPr>
        <w:t>本人作为拟委任的施工项目经理，承担相关质量终身责任，现郑重承诺如下：</w:t>
      </w:r>
    </w:p>
    <w:p w14:paraId="46F533FE">
      <w:pPr>
        <w:adjustRightInd w:val="0"/>
        <w:snapToGrid w:val="0"/>
        <w:spacing w:line="360" w:lineRule="auto"/>
        <w:ind w:firstLine="480" w:firstLineChars="200"/>
        <w:rPr>
          <w:rFonts w:hint="eastAsia" w:ascii="宋体" w:hAnsi="宋体" w:cs="宋体"/>
          <w:bCs/>
          <w:color w:val="auto"/>
          <w:sz w:val="24"/>
          <w:szCs w:val="21"/>
          <w:highlight w:val="none"/>
        </w:rPr>
      </w:pPr>
      <w:r>
        <w:rPr>
          <w:rFonts w:hint="eastAsia" w:ascii="宋体" w:hAnsi="宋体" w:cs="宋体"/>
          <w:bCs/>
          <w:color w:val="auto"/>
          <w:sz w:val="24"/>
          <w:szCs w:val="21"/>
          <w:highlight w:val="none"/>
        </w:rPr>
        <w:t>一、在取得施工许可证后进行施工。</w:t>
      </w:r>
    </w:p>
    <w:p w14:paraId="29EE3201">
      <w:pPr>
        <w:adjustRightInd w:val="0"/>
        <w:snapToGrid w:val="0"/>
        <w:spacing w:line="360" w:lineRule="auto"/>
        <w:ind w:firstLine="480" w:firstLineChars="200"/>
        <w:rPr>
          <w:rFonts w:hint="eastAsia" w:ascii="宋体" w:hAnsi="宋体" w:cs="宋体"/>
          <w:bCs/>
          <w:color w:val="auto"/>
          <w:sz w:val="24"/>
          <w:szCs w:val="21"/>
          <w:highlight w:val="none"/>
        </w:rPr>
      </w:pPr>
      <w:r>
        <w:rPr>
          <w:rFonts w:hint="eastAsia" w:ascii="宋体" w:hAnsi="宋体" w:cs="宋体"/>
          <w:bCs/>
          <w:color w:val="auto"/>
          <w:sz w:val="24"/>
          <w:szCs w:val="21"/>
          <w:highlight w:val="none"/>
        </w:rPr>
        <w:t>二、严格执行施工规范及标准。</w:t>
      </w:r>
    </w:p>
    <w:p w14:paraId="5C434BBE">
      <w:pPr>
        <w:adjustRightInd w:val="0"/>
        <w:snapToGrid w:val="0"/>
        <w:spacing w:line="360" w:lineRule="auto"/>
        <w:ind w:firstLine="480" w:firstLineChars="200"/>
        <w:rPr>
          <w:rFonts w:hint="eastAsia" w:ascii="宋体" w:hAnsi="宋体" w:cs="宋体"/>
          <w:bCs/>
          <w:color w:val="auto"/>
          <w:sz w:val="24"/>
          <w:szCs w:val="21"/>
          <w:highlight w:val="none"/>
        </w:rPr>
      </w:pPr>
      <w:r>
        <w:rPr>
          <w:rFonts w:hint="eastAsia" w:ascii="宋体" w:hAnsi="宋体" w:cs="宋体"/>
          <w:bCs/>
          <w:color w:val="auto"/>
          <w:sz w:val="24"/>
          <w:szCs w:val="21"/>
          <w:highlight w:val="none"/>
        </w:rPr>
        <w:t>三、严格按规定配备施工项目部关键岗位人员，并确保所有人员到岗履职。</w:t>
      </w:r>
    </w:p>
    <w:p w14:paraId="668915EC">
      <w:pPr>
        <w:adjustRightInd w:val="0"/>
        <w:snapToGrid w:val="0"/>
        <w:spacing w:line="360" w:lineRule="auto"/>
        <w:ind w:firstLine="480" w:firstLineChars="200"/>
        <w:rPr>
          <w:rFonts w:hint="eastAsia" w:ascii="宋体" w:hAnsi="宋体" w:cs="宋体"/>
          <w:bCs/>
          <w:color w:val="auto"/>
          <w:sz w:val="24"/>
          <w:szCs w:val="21"/>
          <w:highlight w:val="none"/>
        </w:rPr>
      </w:pPr>
      <w:r>
        <w:rPr>
          <w:rFonts w:hint="eastAsia" w:ascii="宋体" w:hAnsi="宋体" w:cs="宋体"/>
          <w:bCs/>
          <w:color w:val="auto"/>
          <w:sz w:val="24"/>
          <w:szCs w:val="21"/>
          <w:highlight w:val="none"/>
        </w:rPr>
        <w:t>四、严格按照经施工图审查机构审查合格的工程设计文件及合同约定的质量标准精心组织施工。</w:t>
      </w:r>
    </w:p>
    <w:p w14:paraId="28BB3291">
      <w:pPr>
        <w:adjustRightInd w:val="0"/>
        <w:snapToGrid w:val="0"/>
        <w:spacing w:line="360" w:lineRule="auto"/>
        <w:ind w:firstLine="480" w:firstLineChars="200"/>
        <w:rPr>
          <w:rFonts w:hint="eastAsia" w:ascii="宋体" w:hAnsi="宋体" w:cs="宋体"/>
          <w:bCs/>
          <w:color w:val="auto"/>
          <w:sz w:val="24"/>
          <w:szCs w:val="21"/>
          <w:highlight w:val="none"/>
        </w:rPr>
      </w:pPr>
      <w:r>
        <w:rPr>
          <w:rFonts w:hint="eastAsia" w:ascii="宋体" w:hAnsi="宋体" w:cs="宋体"/>
          <w:bCs/>
          <w:color w:val="auto"/>
          <w:sz w:val="24"/>
          <w:szCs w:val="21"/>
          <w:highlight w:val="none"/>
        </w:rPr>
        <w:t>五、施工中采用合格的建筑材料、建筑构配件和设备等，并严格按规定执行见证取样制度。</w:t>
      </w:r>
    </w:p>
    <w:p w14:paraId="50DF6856">
      <w:pPr>
        <w:adjustRightInd w:val="0"/>
        <w:snapToGrid w:val="0"/>
        <w:spacing w:line="360" w:lineRule="auto"/>
        <w:ind w:firstLine="480" w:firstLineChars="200"/>
        <w:rPr>
          <w:rFonts w:hint="eastAsia" w:ascii="宋体" w:hAnsi="宋体" w:cs="宋体"/>
          <w:bCs/>
          <w:color w:val="auto"/>
          <w:sz w:val="24"/>
          <w:szCs w:val="21"/>
          <w:highlight w:val="none"/>
        </w:rPr>
      </w:pPr>
      <w:r>
        <w:rPr>
          <w:rFonts w:hint="eastAsia" w:ascii="宋体" w:hAnsi="宋体" w:cs="宋体"/>
          <w:bCs/>
          <w:color w:val="auto"/>
          <w:sz w:val="24"/>
          <w:szCs w:val="21"/>
          <w:highlight w:val="none"/>
        </w:rPr>
        <w:t>六、建立、健全质量检查、验收制度，严格工序管理，做好隐蔽工程质量的检查和记录。</w:t>
      </w:r>
    </w:p>
    <w:p w14:paraId="68371E9F">
      <w:pPr>
        <w:adjustRightInd w:val="0"/>
        <w:snapToGrid w:val="0"/>
        <w:spacing w:line="360" w:lineRule="auto"/>
        <w:ind w:firstLine="480" w:firstLineChars="200"/>
        <w:rPr>
          <w:rFonts w:hint="eastAsia" w:ascii="宋体" w:hAnsi="宋体" w:cs="宋体"/>
          <w:bCs/>
          <w:color w:val="auto"/>
          <w:sz w:val="24"/>
          <w:szCs w:val="21"/>
          <w:highlight w:val="none"/>
        </w:rPr>
      </w:pPr>
      <w:r>
        <w:rPr>
          <w:rFonts w:hint="eastAsia" w:ascii="宋体" w:hAnsi="宋体" w:cs="宋体"/>
          <w:bCs/>
          <w:color w:val="auto"/>
          <w:sz w:val="24"/>
          <w:szCs w:val="21"/>
          <w:highlight w:val="none"/>
        </w:rPr>
        <w:t>七、对施工中出现的质量问题，及时进行整改。严格依法依规履行义务。</w:t>
      </w:r>
    </w:p>
    <w:p w14:paraId="49A19396">
      <w:pPr>
        <w:adjustRightInd w:val="0"/>
        <w:snapToGrid w:val="0"/>
        <w:spacing w:line="360" w:lineRule="auto"/>
        <w:ind w:firstLine="480" w:firstLineChars="200"/>
        <w:rPr>
          <w:rFonts w:hint="eastAsia" w:ascii="宋体" w:hAnsi="宋体" w:cs="宋体"/>
          <w:bCs/>
          <w:color w:val="auto"/>
          <w:sz w:val="24"/>
          <w:szCs w:val="21"/>
          <w:highlight w:val="none"/>
        </w:rPr>
      </w:pPr>
      <w:r>
        <w:rPr>
          <w:rFonts w:hint="eastAsia" w:ascii="宋体" w:hAnsi="宋体" w:cs="宋体"/>
          <w:bCs/>
          <w:color w:val="auto"/>
          <w:sz w:val="24"/>
          <w:szCs w:val="21"/>
          <w:highlight w:val="none"/>
        </w:rPr>
        <w:t>八、履行相关工程质量检查、验收及事故处理等职责。</w:t>
      </w:r>
    </w:p>
    <w:p w14:paraId="68CD8AB8">
      <w:pPr>
        <w:adjustRightInd w:val="0"/>
        <w:snapToGrid w:val="0"/>
        <w:spacing w:line="360" w:lineRule="auto"/>
        <w:ind w:firstLine="480" w:firstLineChars="200"/>
        <w:rPr>
          <w:rFonts w:hint="eastAsia" w:ascii="宋体" w:hAnsi="宋体" w:cs="宋体"/>
          <w:bCs/>
          <w:color w:val="auto"/>
          <w:sz w:val="24"/>
          <w:szCs w:val="21"/>
          <w:highlight w:val="none"/>
        </w:rPr>
      </w:pPr>
      <w:r>
        <w:rPr>
          <w:rFonts w:hint="eastAsia" w:ascii="宋体" w:hAnsi="宋体" w:cs="宋体"/>
          <w:bCs/>
          <w:color w:val="auto"/>
          <w:sz w:val="24"/>
          <w:szCs w:val="21"/>
          <w:highlight w:val="none"/>
        </w:rPr>
        <w:t>九、履行其他法律法规规定的职责。</w:t>
      </w:r>
    </w:p>
    <w:p w14:paraId="2DF8A99A">
      <w:pPr>
        <w:spacing w:line="360" w:lineRule="auto"/>
        <w:ind w:left="359" w:leftChars="171" w:firstLine="720" w:firstLineChars="300"/>
        <w:rPr>
          <w:rFonts w:hint="eastAsia" w:ascii="宋体" w:hAnsi="宋体" w:cs="宋体"/>
          <w:bCs/>
          <w:color w:val="auto"/>
          <w:sz w:val="24"/>
          <w:szCs w:val="21"/>
          <w:highlight w:val="none"/>
        </w:rPr>
      </w:pPr>
    </w:p>
    <w:p w14:paraId="49A20D10">
      <w:pPr>
        <w:spacing w:line="360" w:lineRule="auto"/>
        <w:ind w:left="359" w:leftChars="171" w:firstLine="720" w:firstLineChars="300"/>
        <w:rPr>
          <w:rFonts w:hint="eastAsia" w:ascii="宋体" w:hAnsi="宋体" w:cs="宋体"/>
          <w:bCs/>
          <w:color w:val="auto"/>
          <w:sz w:val="24"/>
          <w:szCs w:val="21"/>
          <w:highlight w:val="none"/>
        </w:rPr>
      </w:pPr>
    </w:p>
    <w:p w14:paraId="42891C84">
      <w:pPr>
        <w:spacing w:line="360" w:lineRule="auto"/>
        <w:ind w:left="359" w:leftChars="171" w:firstLine="720" w:firstLineChars="300"/>
        <w:rPr>
          <w:rFonts w:hint="eastAsia" w:ascii="宋体" w:hAnsi="宋体" w:cs="宋体"/>
          <w:bCs/>
          <w:color w:val="auto"/>
          <w:sz w:val="24"/>
          <w:szCs w:val="21"/>
          <w:highlight w:val="none"/>
        </w:rPr>
      </w:pPr>
      <w:r>
        <w:rPr>
          <w:rFonts w:hint="eastAsia" w:ascii="宋体" w:hAnsi="宋体" w:cs="宋体"/>
          <w:bCs/>
          <w:color w:val="auto"/>
          <w:sz w:val="24"/>
          <w:szCs w:val="21"/>
          <w:highlight w:val="none"/>
        </w:rPr>
        <w:t>项目经理：</w:t>
      </w:r>
      <w:r>
        <w:rPr>
          <w:rFonts w:hint="eastAsia" w:ascii="宋体" w:hAnsi="宋体" w:cs="宋体"/>
          <w:bCs/>
          <w:color w:val="auto"/>
          <w:sz w:val="24"/>
          <w:szCs w:val="21"/>
          <w:highlight w:val="none"/>
          <w:u w:val="single"/>
        </w:rPr>
        <w:t xml:space="preserve">                   </w:t>
      </w:r>
      <w:r>
        <w:rPr>
          <w:rFonts w:hint="eastAsia" w:ascii="宋体" w:hAnsi="宋体" w:cs="宋体"/>
          <w:bCs/>
          <w:color w:val="auto"/>
          <w:sz w:val="24"/>
          <w:szCs w:val="21"/>
          <w:highlight w:val="none"/>
        </w:rPr>
        <w:t>（签字）</w:t>
      </w:r>
    </w:p>
    <w:p w14:paraId="673C07E6">
      <w:pPr>
        <w:spacing w:line="360" w:lineRule="auto"/>
        <w:ind w:left="359" w:leftChars="171" w:firstLine="720" w:firstLineChars="300"/>
        <w:rPr>
          <w:rFonts w:hint="eastAsia" w:ascii="宋体" w:hAnsi="宋体" w:cs="宋体"/>
          <w:bCs/>
          <w:color w:val="auto"/>
          <w:sz w:val="24"/>
          <w:szCs w:val="21"/>
          <w:highlight w:val="none"/>
        </w:rPr>
      </w:pPr>
      <w:r>
        <w:rPr>
          <w:rFonts w:hint="eastAsia" w:ascii="宋体" w:hAnsi="宋体" w:cs="宋体"/>
          <w:bCs/>
          <w:color w:val="auto"/>
          <w:sz w:val="24"/>
          <w:szCs w:val="21"/>
          <w:highlight w:val="none"/>
        </w:rPr>
        <w:t>日期：_____年____月____日</w:t>
      </w:r>
    </w:p>
    <w:p w14:paraId="728B0053">
      <w:pPr>
        <w:pStyle w:val="8"/>
        <w:keepNext w:val="0"/>
        <w:keepLines w:val="0"/>
        <w:spacing w:after="0"/>
        <w:jc w:val="center"/>
        <w:rPr>
          <w:rFonts w:hint="eastAsia" w:ascii="黑体" w:hAnsi="黑体" w:eastAsia="宋体" w:cs="宋体"/>
          <w:bCs w:val="0"/>
          <w:color w:val="auto"/>
          <w:kern w:val="0"/>
          <w:szCs w:val="28"/>
          <w:highlight w:val="none"/>
          <w:lang w:val="en-US" w:eastAsia="zh-CN"/>
        </w:rPr>
      </w:pPr>
      <w:r>
        <w:rPr>
          <w:rFonts w:hint="eastAsia" w:ascii="黑体" w:hAnsi="黑体" w:cs="宋体"/>
          <w:bCs w:val="0"/>
          <w:color w:val="auto"/>
          <w:kern w:val="0"/>
          <w:szCs w:val="28"/>
          <w:highlight w:val="none"/>
        </w:rPr>
        <w:t>运维服务</w:t>
      </w:r>
      <w:r>
        <w:rPr>
          <w:rFonts w:hint="eastAsia" w:ascii="黑体" w:hAnsi="黑体" w:cs="宋体"/>
          <w:bCs w:val="0"/>
          <w:color w:val="auto"/>
          <w:kern w:val="0"/>
          <w:szCs w:val="28"/>
          <w:highlight w:val="none"/>
          <w:lang w:val="en-US" w:eastAsia="zh-CN"/>
        </w:rPr>
        <w:t>要求</w:t>
      </w:r>
    </w:p>
    <w:p w14:paraId="619CD62A">
      <w:pPr>
        <w:spacing w:after="0"/>
        <w:ind w:firstLine="480"/>
        <w:rPr>
          <w:color w:val="auto"/>
          <w:szCs w:val="24"/>
          <w:highlight w:val="none"/>
        </w:rPr>
      </w:pPr>
      <w:r>
        <w:rPr>
          <w:rFonts w:hint="eastAsia"/>
          <w:color w:val="auto"/>
          <w:szCs w:val="24"/>
          <w:highlight w:val="none"/>
        </w:rPr>
        <w:t>除专用条件另有约定外，运维工作内容包括：</w:t>
      </w:r>
    </w:p>
    <w:p w14:paraId="31ED319D">
      <w:pPr>
        <w:spacing w:after="0"/>
        <w:ind w:firstLine="480"/>
        <w:rPr>
          <w:color w:val="auto"/>
          <w:szCs w:val="24"/>
          <w:highlight w:val="none"/>
        </w:rPr>
      </w:pPr>
      <w:r>
        <w:rPr>
          <w:color w:val="auto"/>
          <w:szCs w:val="24"/>
          <w:highlight w:val="none"/>
        </w:rPr>
        <w:t>1</w:t>
      </w:r>
      <w:r>
        <w:rPr>
          <w:rFonts w:hint="eastAsia"/>
          <w:color w:val="auto"/>
          <w:szCs w:val="24"/>
          <w:highlight w:val="none"/>
          <w:lang w:eastAsia="zh-CN"/>
        </w:rPr>
        <w:t>、</w:t>
      </w:r>
      <w:r>
        <w:rPr>
          <w:color w:val="auto"/>
          <w:szCs w:val="24"/>
          <w:highlight w:val="none"/>
        </w:rPr>
        <w:t xml:space="preserve"> </w:t>
      </w:r>
      <w:r>
        <w:rPr>
          <w:rFonts w:hint="eastAsia"/>
          <w:color w:val="auto"/>
          <w:szCs w:val="24"/>
          <w:highlight w:val="none"/>
        </w:rPr>
        <w:t>收到运维服务</w:t>
      </w:r>
      <w:r>
        <w:rPr>
          <w:color w:val="auto"/>
          <w:szCs w:val="24"/>
          <w:highlight w:val="none"/>
        </w:rPr>
        <w:t>通知</w:t>
      </w:r>
      <w:r>
        <w:rPr>
          <w:rFonts w:hint="eastAsia"/>
          <w:color w:val="auto"/>
          <w:szCs w:val="24"/>
          <w:highlight w:val="none"/>
        </w:rPr>
        <w:t>后编制光伏运维工作规划，并报委托人</w:t>
      </w:r>
      <w:r>
        <w:rPr>
          <w:rFonts w:hint="eastAsia"/>
          <w:color w:val="auto"/>
          <w:szCs w:val="24"/>
          <w:highlight w:val="none"/>
          <w:lang w:val="en-US" w:eastAsia="zh-CN"/>
        </w:rPr>
        <w:t>审核通过执行</w:t>
      </w:r>
      <w:r>
        <w:rPr>
          <w:rFonts w:hint="eastAsia"/>
          <w:color w:val="auto"/>
          <w:szCs w:val="24"/>
          <w:highlight w:val="none"/>
        </w:rPr>
        <w:t>。根据有关规定和运维服务工作需要，编制光伏电站运维服务工作实施细则；</w:t>
      </w:r>
    </w:p>
    <w:p w14:paraId="5190DA88">
      <w:pPr>
        <w:spacing w:after="0"/>
        <w:ind w:firstLine="480"/>
        <w:rPr>
          <w:color w:val="auto"/>
          <w:szCs w:val="24"/>
          <w:highlight w:val="none"/>
        </w:rPr>
      </w:pPr>
      <w:r>
        <w:rPr>
          <w:rFonts w:hint="eastAsia"/>
          <w:color w:val="auto"/>
          <w:szCs w:val="24"/>
          <w:highlight w:val="none"/>
          <w:lang w:val="en-US" w:eastAsia="zh-CN"/>
        </w:rPr>
        <w:t>2、</w:t>
      </w:r>
      <w:r>
        <w:rPr>
          <w:color w:val="auto"/>
          <w:szCs w:val="24"/>
          <w:highlight w:val="none"/>
        </w:rPr>
        <w:t xml:space="preserve"> </w:t>
      </w:r>
      <w:r>
        <w:rPr>
          <w:rFonts w:hint="eastAsia"/>
          <w:color w:val="auto"/>
          <w:szCs w:val="24"/>
          <w:highlight w:val="none"/>
        </w:rPr>
        <w:t>熟悉光伏电站竣工设计文件及相关竣工资料、运行资料，并参加由委托人主持的技术、安全交底会议。在运维服务工作巡视、监护和检验过程中，发现工程质量、运行安全存在事故隐患的，及时报委托人；</w:t>
      </w:r>
    </w:p>
    <w:p w14:paraId="4CCB7780">
      <w:pPr>
        <w:spacing w:after="0"/>
        <w:ind w:firstLine="480"/>
        <w:rPr>
          <w:color w:val="auto"/>
          <w:szCs w:val="24"/>
          <w:highlight w:val="none"/>
        </w:rPr>
      </w:pPr>
      <w:r>
        <w:rPr>
          <w:rFonts w:hint="eastAsia"/>
          <w:color w:val="auto"/>
          <w:szCs w:val="24"/>
          <w:highlight w:val="none"/>
          <w:lang w:val="en-US" w:eastAsia="zh-CN"/>
        </w:rPr>
        <w:t>3、</w:t>
      </w:r>
      <w:r>
        <w:rPr>
          <w:color w:val="auto"/>
          <w:szCs w:val="24"/>
          <w:highlight w:val="none"/>
        </w:rPr>
        <w:t xml:space="preserve"> </w:t>
      </w:r>
      <w:r>
        <w:rPr>
          <w:rFonts w:hint="eastAsia"/>
          <w:color w:val="auto"/>
          <w:szCs w:val="24"/>
          <w:highlight w:val="none"/>
        </w:rPr>
        <w:t>参加由委托人主持的工地会议深入了解委托人对工程运行维护工作的具体要求及时间节点；</w:t>
      </w:r>
    </w:p>
    <w:p w14:paraId="1D4C084A">
      <w:pPr>
        <w:spacing w:after="0"/>
        <w:ind w:firstLine="480"/>
        <w:rPr>
          <w:color w:val="auto"/>
          <w:szCs w:val="24"/>
          <w:highlight w:val="none"/>
        </w:rPr>
      </w:pPr>
      <w:r>
        <w:rPr>
          <w:color w:val="auto"/>
          <w:szCs w:val="24"/>
          <w:highlight w:val="none"/>
        </w:rPr>
        <w:t>4</w:t>
      </w:r>
      <w:r>
        <w:rPr>
          <w:rFonts w:hint="eastAsia"/>
          <w:color w:val="auto"/>
          <w:szCs w:val="24"/>
          <w:highlight w:val="none"/>
          <w:lang w:eastAsia="zh-CN"/>
        </w:rPr>
        <w:t>、</w:t>
      </w:r>
      <w:r>
        <w:rPr>
          <w:color w:val="auto"/>
          <w:szCs w:val="24"/>
          <w:highlight w:val="none"/>
        </w:rPr>
        <w:t xml:space="preserve"> </w:t>
      </w:r>
      <w:r>
        <w:rPr>
          <w:rFonts w:hint="eastAsia"/>
          <w:color w:val="auto"/>
          <w:szCs w:val="24"/>
          <w:highlight w:val="none"/>
        </w:rPr>
        <w:t>在运维</w:t>
      </w:r>
      <w:r>
        <w:rPr>
          <w:color w:val="auto"/>
          <w:szCs w:val="24"/>
          <w:highlight w:val="none"/>
        </w:rPr>
        <w:t>服务工作</w:t>
      </w:r>
      <w:r>
        <w:rPr>
          <w:rFonts w:hint="eastAsia"/>
          <w:color w:val="auto"/>
          <w:szCs w:val="24"/>
          <w:highlight w:val="none"/>
        </w:rPr>
        <w:t>巡视、旁站和检验过程中，发现工程质量、运行安全存在事故隐患的，及时报委托人；</w:t>
      </w:r>
    </w:p>
    <w:p w14:paraId="2DE3FEF3">
      <w:pPr>
        <w:spacing w:after="0"/>
        <w:ind w:firstLine="480"/>
        <w:rPr>
          <w:color w:val="auto"/>
          <w:szCs w:val="24"/>
          <w:highlight w:val="none"/>
        </w:rPr>
      </w:pPr>
      <w:r>
        <w:rPr>
          <w:color w:val="auto"/>
          <w:szCs w:val="24"/>
          <w:highlight w:val="none"/>
        </w:rPr>
        <w:t>5</w:t>
      </w:r>
      <w:r>
        <w:rPr>
          <w:rFonts w:hint="eastAsia"/>
          <w:color w:val="auto"/>
          <w:szCs w:val="24"/>
          <w:highlight w:val="none"/>
          <w:lang w:eastAsia="zh-CN"/>
        </w:rPr>
        <w:t>、</w:t>
      </w:r>
      <w:r>
        <w:rPr>
          <w:color w:val="auto"/>
          <w:szCs w:val="24"/>
          <w:highlight w:val="none"/>
        </w:rPr>
        <w:t xml:space="preserve"> </w:t>
      </w:r>
      <w:r>
        <w:rPr>
          <w:rFonts w:hint="eastAsia"/>
          <w:color w:val="auto"/>
          <w:szCs w:val="24"/>
          <w:highlight w:val="none"/>
        </w:rPr>
        <w:t>经委托人同意，签发运维</w:t>
      </w:r>
      <w:r>
        <w:rPr>
          <w:color w:val="auto"/>
          <w:szCs w:val="24"/>
          <w:highlight w:val="none"/>
        </w:rPr>
        <w:t>工作</w:t>
      </w:r>
      <w:r>
        <w:rPr>
          <w:rFonts w:hint="eastAsia"/>
          <w:color w:val="auto"/>
          <w:szCs w:val="24"/>
          <w:highlight w:val="none"/>
        </w:rPr>
        <w:t>令；</w:t>
      </w:r>
    </w:p>
    <w:p w14:paraId="5382FBF6">
      <w:pPr>
        <w:spacing w:after="0"/>
        <w:ind w:firstLine="480"/>
        <w:rPr>
          <w:color w:val="auto"/>
          <w:szCs w:val="24"/>
          <w:highlight w:val="none"/>
        </w:rPr>
      </w:pPr>
      <w:r>
        <w:rPr>
          <w:color w:val="auto"/>
          <w:szCs w:val="24"/>
          <w:highlight w:val="none"/>
        </w:rPr>
        <w:t>6</w:t>
      </w:r>
      <w:r>
        <w:rPr>
          <w:rFonts w:hint="eastAsia"/>
          <w:color w:val="auto"/>
          <w:szCs w:val="24"/>
          <w:highlight w:val="none"/>
          <w:lang w:eastAsia="zh-CN"/>
        </w:rPr>
        <w:t>、</w:t>
      </w:r>
      <w:r>
        <w:rPr>
          <w:color w:val="auto"/>
          <w:szCs w:val="24"/>
          <w:highlight w:val="none"/>
        </w:rPr>
        <w:t xml:space="preserve"> </w:t>
      </w:r>
      <w:r>
        <w:rPr>
          <w:rFonts w:hint="eastAsia"/>
          <w:color w:val="auto"/>
          <w:szCs w:val="24"/>
          <w:highlight w:val="none"/>
        </w:rPr>
        <w:t>运维工作过程</w:t>
      </w:r>
      <w:r>
        <w:rPr>
          <w:color w:val="auto"/>
          <w:szCs w:val="24"/>
          <w:highlight w:val="none"/>
        </w:rPr>
        <w:t>中</w:t>
      </w:r>
      <w:r>
        <w:rPr>
          <w:rFonts w:hint="eastAsia"/>
          <w:color w:val="auto"/>
          <w:szCs w:val="24"/>
          <w:highlight w:val="none"/>
        </w:rPr>
        <w:t>采用新材料、新工艺、新技术、新设备时</w:t>
      </w:r>
      <w:r>
        <w:rPr>
          <w:color w:val="auto"/>
          <w:szCs w:val="24"/>
          <w:highlight w:val="none"/>
        </w:rPr>
        <w:t>应先上报</w:t>
      </w:r>
      <w:r>
        <w:rPr>
          <w:rFonts w:hint="eastAsia"/>
          <w:color w:val="auto"/>
          <w:szCs w:val="24"/>
          <w:highlight w:val="none"/>
        </w:rPr>
        <w:t>委托人</w:t>
      </w:r>
      <w:r>
        <w:rPr>
          <w:color w:val="auto"/>
          <w:szCs w:val="24"/>
          <w:highlight w:val="none"/>
        </w:rPr>
        <w:t>并提供相关</w:t>
      </w:r>
      <w:r>
        <w:rPr>
          <w:rFonts w:hint="eastAsia"/>
          <w:color w:val="auto"/>
          <w:szCs w:val="24"/>
          <w:highlight w:val="none"/>
        </w:rPr>
        <w:t>的论证材料及相关验收标准；</w:t>
      </w:r>
    </w:p>
    <w:p w14:paraId="62B32132">
      <w:pPr>
        <w:spacing w:after="0"/>
        <w:ind w:firstLine="480"/>
        <w:rPr>
          <w:color w:val="auto"/>
          <w:szCs w:val="24"/>
          <w:highlight w:val="none"/>
        </w:rPr>
      </w:pPr>
      <w:r>
        <w:rPr>
          <w:color w:val="auto"/>
          <w:szCs w:val="24"/>
          <w:highlight w:val="none"/>
        </w:rPr>
        <w:t>7</w:t>
      </w:r>
      <w:r>
        <w:rPr>
          <w:rFonts w:hint="eastAsia"/>
          <w:color w:val="auto"/>
          <w:szCs w:val="24"/>
          <w:highlight w:val="none"/>
          <w:lang w:eastAsia="zh-CN"/>
        </w:rPr>
        <w:t>、</w:t>
      </w:r>
      <w:r>
        <w:rPr>
          <w:color w:val="auto"/>
          <w:szCs w:val="24"/>
          <w:highlight w:val="none"/>
        </w:rPr>
        <w:t xml:space="preserve"> </w:t>
      </w:r>
      <w:r>
        <w:rPr>
          <w:rFonts w:hint="eastAsia"/>
          <w:color w:val="auto"/>
          <w:szCs w:val="24"/>
          <w:highlight w:val="none"/>
        </w:rPr>
        <w:t>应</w:t>
      </w:r>
      <w:r>
        <w:rPr>
          <w:color w:val="auto"/>
          <w:szCs w:val="24"/>
          <w:highlight w:val="none"/>
        </w:rPr>
        <w:t>依据相关规程、规范着重检查、巡视</w:t>
      </w:r>
      <w:r>
        <w:rPr>
          <w:rFonts w:hint="eastAsia"/>
          <w:color w:val="auto"/>
          <w:szCs w:val="24"/>
          <w:highlight w:val="none"/>
        </w:rPr>
        <w:t>隐蔽工程、分部分项工程；</w:t>
      </w:r>
    </w:p>
    <w:p w14:paraId="3C5E6DA9">
      <w:pPr>
        <w:spacing w:after="0"/>
        <w:ind w:firstLine="480"/>
        <w:rPr>
          <w:color w:val="auto"/>
          <w:szCs w:val="24"/>
          <w:highlight w:val="none"/>
        </w:rPr>
      </w:pPr>
      <w:r>
        <w:rPr>
          <w:color w:val="auto"/>
          <w:szCs w:val="24"/>
          <w:highlight w:val="none"/>
        </w:rPr>
        <w:t>8</w:t>
      </w:r>
      <w:r>
        <w:rPr>
          <w:rFonts w:hint="eastAsia"/>
          <w:color w:val="auto"/>
          <w:szCs w:val="24"/>
          <w:highlight w:val="none"/>
          <w:lang w:eastAsia="zh-CN"/>
        </w:rPr>
        <w:t>、</w:t>
      </w:r>
      <w:r>
        <w:rPr>
          <w:color w:val="auto"/>
          <w:szCs w:val="24"/>
          <w:highlight w:val="none"/>
        </w:rPr>
        <w:t xml:space="preserve"> </w:t>
      </w:r>
      <w:r>
        <w:rPr>
          <w:rFonts w:hint="eastAsia"/>
          <w:color w:val="auto"/>
          <w:szCs w:val="24"/>
          <w:highlight w:val="none"/>
        </w:rPr>
        <w:t>运维过程中</w:t>
      </w:r>
      <w:r>
        <w:rPr>
          <w:color w:val="auto"/>
          <w:szCs w:val="24"/>
          <w:highlight w:val="none"/>
        </w:rPr>
        <w:t>涉及</w:t>
      </w:r>
      <w:r>
        <w:rPr>
          <w:rFonts w:hint="eastAsia"/>
          <w:color w:val="auto"/>
          <w:szCs w:val="24"/>
          <w:highlight w:val="none"/>
        </w:rPr>
        <w:t>增加</w:t>
      </w:r>
      <w:r>
        <w:rPr>
          <w:color w:val="auto"/>
          <w:szCs w:val="24"/>
          <w:highlight w:val="none"/>
        </w:rPr>
        <w:t>工程量</w:t>
      </w:r>
      <w:r>
        <w:rPr>
          <w:rFonts w:hint="eastAsia"/>
          <w:color w:val="auto"/>
          <w:szCs w:val="24"/>
          <w:highlight w:val="none"/>
        </w:rPr>
        <w:t>时，应及时</w:t>
      </w:r>
      <w:r>
        <w:rPr>
          <w:color w:val="auto"/>
          <w:szCs w:val="24"/>
          <w:highlight w:val="none"/>
        </w:rPr>
        <w:t>向委托人提供工程量单、材料费用报价、检修及更换部件周期等工作计划</w:t>
      </w:r>
      <w:r>
        <w:rPr>
          <w:rFonts w:hint="eastAsia"/>
          <w:color w:val="auto"/>
          <w:szCs w:val="24"/>
          <w:highlight w:val="none"/>
        </w:rPr>
        <w:t>；</w:t>
      </w:r>
    </w:p>
    <w:p w14:paraId="66A03200">
      <w:pPr>
        <w:spacing w:after="0"/>
        <w:ind w:firstLine="480"/>
        <w:rPr>
          <w:color w:val="auto"/>
          <w:szCs w:val="24"/>
          <w:highlight w:val="none"/>
        </w:rPr>
      </w:pPr>
      <w:r>
        <w:rPr>
          <w:color w:val="auto"/>
          <w:szCs w:val="24"/>
          <w:highlight w:val="none"/>
        </w:rPr>
        <w:t>9</w:t>
      </w:r>
      <w:r>
        <w:rPr>
          <w:rFonts w:hint="eastAsia"/>
          <w:color w:val="auto"/>
          <w:szCs w:val="24"/>
          <w:highlight w:val="none"/>
          <w:lang w:eastAsia="zh-CN"/>
        </w:rPr>
        <w:t>、</w:t>
      </w:r>
      <w:r>
        <w:rPr>
          <w:color w:val="auto"/>
          <w:szCs w:val="24"/>
          <w:highlight w:val="none"/>
        </w:rPr>
        <w:t xml:space="preserve"> </w:t>
      </w:r>
      <w:r>
        <w:rPr>
          <w:rFonts w:hint="eastAsia"/>
          <w:color w:val="auto"/>
          <w:szCs w:val="24"/>
          <w:highlight w:val="none"/>
        </w:rPr>
        <w:t>检修工作</w:t>
      </w:r>
      <w:r>
        <w:rPr>
          <w:color w:val="auto"/>
          <w:szCs w:val="24"/>
          <w:highlight w:val="none"/>
        </w:rPr>
        <w:t>完成后应向委托人提交</w:t>
      </w:r>
      <w:r>
        <w:rPr>
          <w:rFonts w:hint="eastAsia"/>
          <w:color w:val="auto"/>
          <w:szCs w:val="24"/>
          <w:highlight w:val="none"/>
        </w:rPr>
        <w:t>验收申请，并编写检修、</w:t>
      </w:r>
      <w:r>
        <w:rPr>
          <w:color w:val="auto"/>
          <w:szCs w:val="24"/>
          <w:highlight w:val="none"/>
        </w:rPr>
        <w:t>维护</w:t>
      </w:r>
      <w:r>
        <w:rPr>
          <w:rFonts w:hint="eastAsia"/>
          <w:color w:val="auto"/>
          <w:szCs w:val="24"/>
          <w:highlight w:val="none"/>
        </w:rPr>
        <w:t>工作</w:t>
      </w:r>
      <w:r>
        <w:rPr>
          <w:color w:val="auto"/>
          <w:szCs w:val="24"/>
          <w:highlight w:val="none"/>
        </w:rPr>
        <w:t>质量</w:t>
      </w:r>
      <w:r>
        <w:rPr>
          <w:rFonts w:hint="eastAsia"/>
          <w:color w:val="auto"/>
          <w:szCs w:val="24"/>
          <w:highlight w:val="none"/>
        </w:rPr>
        <w:t>评估报告（包含</w:t>
      </w:r>
      <w:r>
        <w:rPr>
          <w:color w:val="auto"/>
          <w:szCs w:val="24"/>
          <w:highlight w:val="none"/>
        </w:rPr>
        <w:t>检修日志</w:t>
      </w:r>
      <w:r>
        <w:rPr>
          <w:rFonts w:hint="eastAsia"/>
          <w:color w:val="auto"/>
          <w:szCs w:val="24"/>
          <w:highlight w:val="none"/>
        </w:rPr>
        <w:t>）；</w:t>
      </w:r>
    </w:p>
    <w:p w14:paraId="0AFF0755">
      <w:pPr>
        <w:spacing w:after="0"/>
        <w:ind w:firstLine="480"/>
        <w:rPr>
          <w:color w:val="auto"/>
          <w:szCs w:val="24"/>
          <w:highlight w:val="none"/>
        </w:rPr>
      </w:pPr>
      <w:r>
        <w:rPr>
          <w:rFonts w:hint="eastAsia"/>
          <w:color w:val="auto"/>
          <w:szCs w:val="24"/>
          <w:highlight w:val="none"/>
          <w:lang w:val="en-US" w:eastAsia="zh-CN"/>
        </w:rPr>
        <w:t>1</w:t>
      </w:r>
      <w:r>
        <w:rPr>
          <w:color w:val="auto"/>
          <w:szCs w:val="24"/>
          <w:highlight w:val="none"/>
        </w:rPr>
        <w:t>0</w:t>
      </w:r>
      <w:r>
        <w:rPr>
          <w:rFonts w:hint="eastAsia"/>
          <w:color w:val="auto"/>
          <w:szCs w:val="24"/>
          <w:highlight w:val="none"/>
          <w:lang w:eastAsia="zh-CN"/>
        </w:rPr>
        <w:t>、</w:t>
      </w:r>
      <w:r>
        <w:rPr>
          <w:color w:val="auto"/>
          <w:szCs w:val="24"/>
          <w:highlight w:val="none"/>
        </w:rPr>
        <w:t xml:space="preserve"> </w:t>
      </w:r>
      <w:r>
        <w:rPr>
          <w:rFonts w:hint="eastAsia"/>
          <w:color w:val="auto"/>
          <w:szCs w:val="24"/>
          <w:highlight w:val="none"/>
        </w:rPr>
        <w:t>参加工程运维</w:t>
      </w:r>
      <w:r>
        <w:rPr>
          <w:color w:val="auto"/>
          <w:szCs w:val="24"/>
          <w:highlight w:val="none"/>
        </w:rPr>
        <w:t>服务</w:t>
      </w:r>
      <w:r>
        <w:rPr>
          <w:rFonts w:hint="eastAsia"/>
          <w:color w:val="auto"/>
          <w:szCs w:val="24"/>
          <w:highlight w:val="none"/>
        </w:rPr>
        <w:t>竣工验收，签署验收意见；</w:t>
      </w:r>
    </w:p>
    <w:p w14:paraId="5642CB9C">
      <w:pPr>
        <w:spacing w:after="0"/>
        <w:ind w:firstLine="480"/>
        <w:rPr>
          <w:rFonts w:hint="default" w:eastAsia="宋体"/>
          <w:color w:val="auto"/>
          <w:szCs w:val="24"/>
          <w:highlight w:val="none"/>
          <w:lang w:val="en-US" w:eastAsia="zh-CN"/>
        </w:rPr>
      </w:pPr>
      <w:r>
        <w:rPr>
          <w:color w:val="auto"/>
          <w:szCs w:val="24"/>
          <w:highlight w:val="none"/>
        </w:rPr>
        <w:t>11</w:t>
      </w:r>
      <w:r>
        <w:rPr>
          <w:rFonts w:hint="eastAsia"/>
          <w:color w:val="auto"/>
          <w:szCs w:val="24"/>
          <w:highlight w:val="none"/>
          <w:lang w:eastAsia="zh-CN"/>
        </w:rPr>
        <w:t>、</w:t>
      </w:r>
      <w:r>
        <w:rPr>
          <w:color w:val="auto"/>
          <w:szCs w:val="24"/>
          <w:highlight w:val="none"/>
        </w:rPr>
        <w:t xml:space="preserve"> </w:t>
      </w:r>
      <w:r>
        <w:rPr>
          <w:rFonts w:hint="eastAsia"/>
          <w:color w:val="auto"/>
          <w:szCs w:val="24"/>
          <w:highlight w:val="none"/>
          <w:lang w:val="en-US" w:eastAsia="zh-CN"/>
        </w:rPr>
        <w:t>运维包含光伏组件清洗等、高低压设备、电缆、逆变器等设备巡检维护，质保期内运维费用及材料费用都由中标人承担，含在综合报价中，不再另行支付。</w:t>
      </w:r>
    </w:p>
    <w:p w14:paraId="431F7325">
      <w:pPr>
        <w:spacing w:after="0"/>
        <w:ind w:firstLine="480"/>
        <w:rPr>
          <w:rFonts w:hint="eastAsia"/>
          <w:color w:val="auto"/>
          <w:szCs w:val="24"/>
          <w:highlight w:val="none"/>
        </w:rPr>
      </w:pPr>
      <w:r>
        <w:rPr>
          <w:color w:val="auto"/>
          <w:szCs w:val="24"/>
          <w:highlight w:val="none"/>
        </w:rPr>
        <w:t>12</w:t>
      </w:r>
      <w:r>
        <w:rPr>
          <w:rFonts w:hint="eastAsia"/>
          <w:color w:val="auto"/>
          <w:szCs w:val="24"/>
          <w:highlight w:val="none"/>
          <w:lang w:eastAsia="zh-CN"/>
        </w:rPr>
        <w:t>、</w:t>
      </w:r>
      <w:r>
        <w:rPr>
          <w:color w:val="auto"/>
          <w:szCs w:val="24"/>
          <w:highlight w:val="none"/>
        </w:rPr>
        <w:t xml:space="preserve"> </w:t>
      </w:r>
      <w:r>
        <w:rPr>
          <w:rFonts w:hint="eastAsia"/>
          <w:color w:val="auto"/>
          <w:szCs w:val="24"/>
          <w:highlight w:val="none"/>
        </w:rPr>
        <w:t>编制、整理光伏电站整体</w:t>
      </w:r>
      <w:r>
        <w:rPr>
          <w:color w:val="auto"/>
          <w:szCs w:val="24"/>
          <w:highlight w:val="none"/>
        </w:rPr>
        <w:t>运维</w:t>
      </w:r>
      <w:r>
        <w:rPr>
          <w:rFonts w:hint="eastAsia"/>
          <w:color w:val="auto"/>
          <w:szCs w:val="24"/>
          <w:highlight w:val="none"/>
        </w:rPr>
        <w:t>归档文件并报委托人。</w:t>
      </w:r>
    </w:p>
    <w:p w14:paraId="0AF648CE">
      <w:pPr>
        <w:pStyle w:val="2"/>
        <w:ind w:left="0" w:leftChars="0" w:firstLine="420" w:firstLineChars="200"/>
        <w:rPr>
          <w:rFonts w:hint="default" w:eastAsia="宋体"/>
          <w:color w:val="auto"/>
          <w:highlight w:val="none"/>
          <w:lang w:val="en-US" w:eastAsia="zh-CN"/>
        </w:rPr>
      </w:pPr>
      <w:r>
        <w:rPr>
          <w:rFonts w:hint="eastAsia"/>
          <w:color w:val="auto"/>
          <w:szCs w:val="24"/>
          <w:highlight w:val="none"/>
          <w:lang w:val="en-US" w:eastAsia="zh-CN"/>
        </w:rPr>
        <w:t>13、若未按照招标人要求进行运维，质保金将不再支付。</w:t>
      </w:r>
    </w:p>
    <w:p w14:paraId="6FC594F8">
      <w:pPr>
        <w:keepNext/>
        <w:keepLines/>
        <w:spacing w:line="360" w:lineRule="auto"/>
        <w:jc w:val="center"/>
        <w:outlineLvl w:val="0"/>
        <w:rPr>
          <w:rFonts w:hint="eastAsia" w:ascii="Arial" w:hAnsi="Arial" w:eastAsia="宋体" w:cs="Times New Roman"/>
          <w:b/>
          <w:bCs/>
          <w:color w:val="auto"/>
          <w:kern w:val="0"/>
          <w:sz w:val="32"/>
          <w:szCs w:val="32"/>
          <w:highlight w:val="none"/>
          <w:lang w:val="en-US" w:eastAsia="zh-CN" w:bidi="ar-SA"/>
        </w:rPr>
      </w:pPr>
      <w:r>
        <w:rPr>
          <w:rFonts w:hint="eastAsia" w:ascii="Arial" w:hAnsi="Arial" w:eastAsia="宋体" w:cs="Times New Roman"/>
          <w:b/>
          <w:bCs/>
          <w:color w:val="auto"/>
          <w:kern w:val="0"/>
          <w:sz w:val="32"/>
          <w:szCs w:val="32"/>
          <w:highlight w:val="none"/>
          <w:lang w:val="en-US" w:eastAsia="zh-CN" w:bidi="ar-SA"/>
        </w:rPr>
        <w:t>第五章</w:t>
      </w:r>
      <w:r>
        <w:rPr>
          <w:rFonts w:hint="eastAsia" w:eastAsia="宋体" w:cs="Times New Roman"/>
          <w:bCs/>
          <w:color w:val="auto"/>
          <w:szCs w:val="32"/>
          <w:highlight w:val="none"/>
        </w:rPr>
        <w:t xml:space="preserve"> </w:t>
      </w:r>
      <w:bookmarkStart w:id="826" w:name="_Toc3388"/>
      <w:bookmarkStart w:id="827" w:name="_Toc10898"/>
      <w:r>
        <w:rPr>
          <w:rFonts w:hint="eastAsia" w:ascii="Arial" w:hAnsi="Arial" w:eastAsia="宋体" w:cs="Times New Roman"/>
          <w:b/>
          <w:bCs/>
          <w:color w:val="auto"/>
          <w:kern w:val="0"/>
          <w:sz w:val="32"/>
          <w:szCs w:val="32"/>
          <w:highlight w:val="none"/>
          <w:lang w:val="en-US" w:eastAsia="zh-CN" w:bidi="ar-SA"/>
        </w:rPr>
        <w:t>工程量清单</w:t>
      </w:r>
      <w:bookmarkEnd w:id="804"/>
      <w:bookmarkEnd w:id="805"/>
      <w:bookmarkEnd w:id="806"/>
      <w:bookmarkEnd w:id="826"/>
      <w:bookmarkEnd w:id="827"/>
      <w:bookmarkStart w:id="828" w:name="_Toc10023"/>
      <w:bookmarkStart w:id="829" w:name="_Toc25013"/>
      <w:bookmarkStart w:id="830" w:name="_Toc20597"/>
      <w:r>
        <w:rPr>
          <w:rFonts w:hint="eastAsia" w:ascii="Arial" w:hAnsi="Arial" w:eastAsia="宋体" w:cs="Times New Roman"/>
          <w:b/>
          <w:bCs/>
          <w:color w:val="auto"/>
          <w:kern w:val="0"/>
          <w:sz w:val="32"/>
          <w:szCs w:val="32"/>
          <w:highlight w:val="none"/>
          <w:lang w:val="en-US" w:eastAsia="zh-CN" w:bidi="ar-SA"/>
        </w:rPr>
        <w:t>（本项目无）</w:t>
      </w:r>
    </w:p>
    <w:p w14:paraId="6E906DFA">
      <w:pPr>
        <w:pStyle w:val="43"/>
        <w:numPr>
          <w:ilvl w:val="0"/>
          <w:numId w:val="0"/>
        </w:numPr>
        <w:spacing w:beforeLines="50" w:afterLines="50" w:line="440" w:lineRule="exact"/>
        <w:rPr>
          <w:rFonts w:hint="eastAsia" w:ascii="Arial" w:hAnsi="Arial" w:eastAsia="宋体" w:cs="Times New Roman"/>
          <w:b/>
          <w:bCs/>
          <w:color w:val="auto"/>
          <w:kern w:val="0"/>
          <w:sz w:val="32"/>
          <w:szCs w:val="32"/>
          <w:highlight w:val="none"/>
          <w:lang w:val="en-US" w:eastAsia="zh-CN" w:bidi="ar-SA"/>
        </w:rPr>
      </w:pPr>
      <w:r>
        <w:rPr>
          <w:rFonts w:hint="eastAsia" w:ascii="Arial" w:hAnsi="Arial" w:eastAsia="宋体" w:cs="Times New Roman"/>
          <w:b/>
          <w:bCs/>
          <w:color w:val="auto"/>
          <w:kern w:val="0"/>
          <w:sz w:val="32"/>
          <w:szCs w:val="32"/>
          <w:highlight w:val="none"/>
          <w:lang w:val="en-US" w:eastAsia="zh-CN" w:bidi="ar-SA"/>
        </w:rPr>
        <w:t>第六章</w:t>
      </w:r>
      <w:r>
        <w:rPr>
          <w:rFonts w:hint="eastAsia" w:cs="Times New Roman"/>
          <w:b/>
          <w:bCs/>
          <w:color w:val="auto"/>
          <w:kern w:val="0"/>
          <w:sz w:val="32"/>
          <w:szCs w:val="32"/>
          <w:highlight w:val="none"/>
          <w:lang w:val="en-US" w:eastAsia="zh-CN" w:bidi="ar-SA"/>
        </w:rPr>
        <w:t xml:space="preserve">  </w:t>
      </w:r>
      <w:r>
        <w:rPr>
          <w:rFonts w:hint="eastAsia" w:eastAsia="宋体" w:cs="Times New Roman"/>
          <w:bCs/>
          <w:color w:val="auto"/>
          <w:szCs w:val="32"/>
          <w:highlight w:val="none"/>
          <w:lang w:val="en-US" w:eastAsia="zh-CN"/>
        </w:rPr>
        <w:t>图纸</w:t>
      </w:r>
      <w:bookmarkEnd w:id="828"/>
      <w:bookmarkEnd w:id="829"/>
      <w:bookmarkEnd w:id="830"/>
      <w:bookmarkStart w:id="831" w:name="_Toc18733"/>
      <w:bookmarkStart w:id="832" w:name="_Toc5510"/>
      <w:bookmarkStart w:id="833" w:name="_Toc23816"/>
      <w:r>
        <w:rPr>
          <w:rFonts w:hint="eastAsia" w:ascii="Arial" w:hAnsi="Arial" w:eastAsia="宋体" w:cs="Times New Roman"/>
          <w:b/>
          <w:bCs/>
          <w:color w:val="auto"/>
          <w:kern w:val="0"/>
          <w:sz w:val="32"/>
          <w:szCs w:val="32"/>
          <w:highlight w:val="none"/>
          <w:lang w:val="en-US" w:eastAsia="zh-CN" w:bidi="ar-SA"/>
        </w:rPr>
        <w:t>（本项目无）</w:t>
      </w:r>
    </w:p>
    <w:bookmarkEnd w:id="831"/>
    <w:bookmarkEnd w:id="832"/>
    <w:bookmarkEnd w:id="833"/>
    <w:p w14:paraId="79F5DF48">
      <w:pPr>
        <w:pStyle w:val="43"/>
        <w:numPr>
          <w:ilvl w:val="0"/>
          <w:numId w:val="0"/>
        </w:numPr>
        <w:spacing w:beforeLines="50" w:afterLines="50" w:line="440" w:lineRule="exact"/>
        <w:jc w:val="center"/>
        <w:rPr>
          <w:rFonts w:hint="eastAsia" w:cs="Times New Roman"/>
          <w:bCs/>
          <w:color w:val="auto"/>
          <w:szCs w:val="32"/>
          <w:highlight w:val="none"/>
          <w:lang w:val="en-US" w:eastAsia="zh-CN"/>
        </w:rPr>
      </w:pPr>
      <w:bookmarkStart w:id="834" w:name="_Toc24902"/>
      <w:r>
        <w:rPr>
          <w:rFonts w:hint="eastAsia" w:cs="Times New Roman"/>
          <w:bCs/>
          <w:color w:val="auto"/>
          <w:szCs w:val="32"/>
          <w:highlight w:val="none"/>
          <w:lang w:val="en-US" w:eastAsia="zh-CN"/>
        </w:rPr>
        <w:t>第七章  技术标准和要求</w:t>
      </w:r>
      <w:bookmarkEnd w:id="834"/>
    </w:p>
    <w:p w14:paraId="14724EC3">
      <w:pPr>
        <w:keepNext w:val="0"/>
        <w:keepLines w:val="0"/>
        <w:pageBreakBefore w:val="0"/>
        <w:widowControl w:val="0"/>
        <w:kinsoku/>
        <w:wordWrap/>
        <w:overflowPunct/>
        <w:topLinePunct w:val="0"/>
        <w:autoSpaceDE/>
        <w:autoSpaceDN/>
        <w:bidi w:val="0"/>
        <w:adjustRightInd/>
        <w:spacing w:line="400" w:lineRule="exact"/>
        <w:textAlignment w:val="auto"/>
        <w:rPr>
          <w:rFonts w:hint="eastAsia" w:ascii="宋体" w:hAnsi="宋体" w:cs="宋体"/>
          <w:color w:val="auto"/>
          <w:highlight w:val="none"/>
        </w:rPr>
      </w:pPr>
      <w:bookmarkStart w:id="835" w:name="_Toc32647"/>
      <w:bookmarkStart w:id="836" w:name="_Toc95223526"/>
      <w:bookmarkStart w:id="837" w:name="_Toc10062"/>
      <w:bookmarkStart w:id="838" w:name="_Toc5279"/>
      <w:bookmarkStart w:id="839" w:name="_Toc8272"/>
      <w:r>
        <w:rPr>
          <w:rFonts w:hint="eastAsia" w:ascii="宋体" w:hAnsi="宋体" w:cs="宋体"/>
          <w:bCs/>
          <w:color w:val="auto"/>
          <w:szCs w:val="21"/>
          <w:highlight w:val="none"/>
          <w:lang w:val="en-US" w:eastAsia="zh-CN"/>
        </w:rPr>
        <w:t>一</w:t>
      </w:r>
      <w:r>
        <w:rPr>
          <w:rFonts w:hint="eastAsia" w:ascii="宋体" w:hAnsi="宋体" w:cs="宋体"/>
          <w:bCs/>
          <w:color w:val="auto"/>
          <w:szCs w:val="21"/>
          <w:highlight w:val="none"/>
        </w:rPr>
        <w:t>.</w:t>
      </w:r>
      <w:r>
        <w:rPr>
          <w:rFonts w:hint="eastAsia" w:ascii="宋体" w:hAnsi="宋体" w:cs="宋体"/>
          <w:b/>
          <w:color w:val="auto"/>
          <w:highlight w:val="none"/>
        </w:rPr>
        <w:t xml:space="preserve"> </w:t>
      </w:r>
      <w:r>
        <w:rPr>
          <w:rFonts w:hint="eastAsia" w:ascii="宋体" w:hAnsi="宋体" w:cs="宋体"/>
          <w:color w:val="auto"/>
          <w:highlight w:val="none"/>
        </w:rPr>
        <w:t>一般要求</w:t>
      </w:r>
      <w:bookmarkEnd w:id="835"/>
      <w:bookmarkEnd w:id="836"/>
    </w:p>
    <w:p w14:paraId="04AFEB8C">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color w:val="auto"/>
          <w:highlight w:val="none"/>
          <w:lang w:val="en-US" w:eastAsia="zh-CN"/>
        </w:rPr>
      </w:pPr>
      <w:r>
        <w:rPr>
          <w:rFonts w:hint="eastAsia" w:ascii="宋体" w:hAnsi="宋体" w:cs="宋体"/>
          <w:color w:val="auto"/>
          <w:highlight w:val="none"/>
          <w:lang w:val="en-US" w:eastAsia="zh-CN"/>
        </w:rPr>
        <w:t>1、</w:t>
      </w:r>
      <w:bookmarkStart w:id="840" w:name="_Toc4784273"/>
      <w:bookmarkEnd w:id="840"/>
      <w:bookmarkStart w:id="841" w:name="_Toc4784272"/>
      <w:bookmarkEnd w:id="841"/>
      <w:bookmarkStart w:id="842" w:name="_Toc4784276"/>
      <w:bookmarkEnd w:id="842"/>
      <w:bookmarkStart w:id="843" w:name="_Toc4784277"/>
      <w:bookmarkEnd w:id="843"/>
      <w:r>
        <w:rPr>
          <w:rFonts w:hint="eastAsia"/>
          <w:color w:val="auto"/>
          <w:highlight w:val="none"/>
          <w:lang w:val="en-US" w:eastAsia="zh-CN"/>
        </w:rPr>
        <w:t>光伏组件</w:t>
      </w:r>
    </w:p>
    <w:p w14:paraId="32CDFA45">
      <w:pPr>
        <w:keepNext w:val="0"/>
        <w:keepLines w:val="0"/>
        <w:pageBreakBefore w:val="0"/>
        <w:widowControl w:val="0"/>
        <w:kinsoku/>
        <w:wordWrap/>
        <w:overflowPunct/>
        <w:topLinePunct w:val="0"/>
        <w:autoSpaceDE/>
        <w:autoSpaceDN/>
        <w:bidi w:val="0"/>
        <w:adjustRightInd/>
        <w:snapToGrid w:val="0"/>
        <w:spacing w:line="400" w:lineRule="exact"/>
        <w:ind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采用单块容量为不低于</w:t>
      </w:r>
      <w:r>
        <w:rPr>
          <w:rFonts w:hint="eastAsia" w:ascii="宋体" w:hAnsi="宋体" w:cs="宋体"/>
          <w:color w:val="auto"/>
          <w:sz w:val="21"/>
          <w:szCs w:val="21"/>
          <w:highlight w:val="none"/>
          <w:lang w:val="en-US" w:eastAsia="zh-CN"/>
        </w:rPr>
        <w:t>600</w:t>
      </w:r>
      <w:r>
        <w:rPr>
          <w:rFonts w:hint="eastAsia" w:ascii="宋体" w:hAnsi="宋体" w:eastAsia="宋体" w:cs="宋体"/>
          <w:color w:val="auto"/>
          <w:sz w:val="21"/>
          <w:szCs w:val="21"/>
          <w:highlight w:val="none"/>
        </w:rPr>
        <w:t>Wp</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车棚组件采用双玻组件。</w:t>
      </w:r>
      <w:r>
        <w:rPr>
          <w:rFonts w:hint="eastAsia" w:ascii="宋体" w:hAnsi="宋体" w:eastAsia="宋体" w:cs="宋体"/>
          <w:color w:val="auto"/>
          <w:sz w:val="21"/>
          <w:szCs w:val="21"/>
          <w:highlight w:val="none"/>
        </w:rPr>
        <w:t>具有良好的耐候性，可在室外严酷条件下长期稳定可靠运行。 光伏板应符合IEC61215、IEC61730标准及要求，须通过国家批准认证机构的认证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中标单位材料进场前需提供产品认证证书。 </w:t>
      </w:r>
    </w:p>
    <w:p w14:paraId="1641A8C4">
      <w:pPr>
        <w:keepNext w:val="0"/>
        <w:keepLines w:val="0"/>
        <w:pageBreakBefore w:val="0"/>
        <w:widowControl w:val="0"/>
        <w:kinsoku/>
        <w:wordWrap/>
        <w:overflowPunct/>
        <w:topLinePunct w:val="0"/>
        <w:autoSpaceDE/>
        <w:autoSpaceDN/>
        <w:bidi w:val="0"/>
        <w:adjustRightInd/>
        <w:snapToGrid w:val="0"/>
        <w:spacing w:line="400" w:lineRule="exact"/>
        <w:ind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光伏板选用品牌且必须通过 CE、TUV 认证或者领跑者认证，组件效率≥2</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%，第1 年衰减≤</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 xml:space="preserve">%，第2年至第25年每年衰减≤0.5%。 </w:t>
      </w:r>
    </w:p>
    <w:p w14:paraId="7DCAA072">
      <w:pPr>
        <w:keepNext w:val="0"/>
        <w:keepLines w:val="0"/>
        <w:pageBreakBefore w:val="0"/>
        <w:widowControl w:val="0"/>
        <w:kinsoku/>
        <w:wordWrap/>
        <w:overflowPunct/>
        <w:topLinePunct w:val="0"/>
        <w:autoSpaceDE/>
        <w:autoSpaceDN/>
        <w:bidi w:val="0"/>
        <w:adjustRightInd/>
        <w:snapToGrid w:val="0"/>
        <w:spacing w:line="400" w:lineRule="exact"/>
        <w:ind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采用密封防水多功能接线盒，防护等级满足 IP67，如因组件造成安全事故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需由中标人承担。</w:t>
      </w:r>
    </w:p>
    <w:p w14:paraId="26D4A97E">
      <w:pPr>
        <w:keepNext w:val="0"/>
        <w:keepLines w:val="0"/>
        <w:pageBreakBefore w:val="0"/>
        <w:widowControl w:val="0"/>
        <w:numPr>
          <w:ilvl w:val="0"/>
          <w:numId w:val="0"/>
        </w:numPr>
        <w:kinsoku/>
        <w:wordWrap/>
        <w:overflowPunct/>
        <w:topLinePunct w:val="0"/>
        <w:autoSpaceDE/>
        <w:autoSpaceDN/>
        <w:bidi w:val="0"/>
        <w:adjustRightInd/>
        <w:spacing w:line="400" w:lineRule="exact"/>
        <w:textAlignment w:val="auto"/>
        <w:rPr>
          <w:rFonts w:hint="eastAsia" w:ascii="Times New Roman" w:hAnsi="Times New Roman" w:eastAsia="宋体" w:cs="Times New Roman"/>
          <w:color w:val="auto"/>
          <w:sz w:val="21"/>
          <w:szCs w:val="24"/>
          <w:highlight w:val="none"/>
          <w:lang w:val="en-US" w:eastAsia="zh-CN"/>
        </w:rPr>
      </w:pPr>
      <w:r>
        <w:rPr>
          <w:rFonts w:hint="eastAsia" w:cs="Times New Roman"/>
          <w:color w:val="auto"/>
          <w:sz w:val="21"/>
          <w:szCs w:val="24"/>
          <w:highlight w:val="none"/>
          <w:lang w:val="en-US" w:eastAsia="zh-CN"/>
        </w:rPr>
        <w:t>2</w:t>
      </w:r>
      <w:r>
        <w:rPr>
          <w:rFonts w:hint="eastAsia" w:ascii="Times New Roman" w:hAnsi="Times New Roman" w:eastAsia="宋体" w:cs="Times New Roman"/>
          <w:color w:val="auto"/>
          <w:sz w:val="21"/>
          <w:szCs w:val="24"/>
          <w:highlight w:val="none"/>
          <w:lang w:val="en-US" w:eastAsia="zh-CN"/>
        </w:rPr>
        <w:t>、逆变器</w:t>
      </w:r>
    </w:p>
    <w:p w14:paraId="19E78454">
      <w:pPr>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满足 NB/T32004-2013《光伏发电并网逆变器技术规范》、GB/T29319-2012《光伏发电系统接入配电网技术规定》的要求</w:t>
      </w:r>
      <w:r>
        <w:rPr>
          <w:rFonts w:hint="eastAsia" w:ascii="宋体" w:hAnsi="宋体" w:eastAsia="宋体" w:cs="宋体"/>
          <w:color w:val="auto"/>
          <w:sz w:val="21"/>
          <w:szCs w:val="21"/>
          <w:highlight w:val="none"/>
          <w:lang w:eastAsia="zh-CN"/>
        </w:rPr>
        <w:t>。</w:t>
      </w:r>
    </w:p>
    <w:p w14:paraId="12EF2770">
      <w:pPr>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设备需通过国家批准认证机构的认证。 </w:t>
      </w:r>
    </w:p>
    <w:p w14:paraId="2F82E310">
      <w:pPr>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选用品牌，转换效率≥98.5%，中国效率≥98%，超前 0.8 到滞后 0.8 范围内连续可调。</w:t>
      </w:r>
    </w:p>
    <w:p w14:paraId="017C64D4">
      <w:pPr>
        <w:keepNext w:val="0"/>
        <w:keepLines w:val="0"/>
        <w:pageBreakBefore w:val="0"/>
        <w:widowControl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 xml:space="preserve">输出电压波形、幅值及相位等与公共电网一致，实现无扰动平滑电网供电。 </w:t>
      </w:r>
    </w:p>
    <w:p w14:paraId="7AD203FE">
      <w:pPr>
        <w:keepNext w:val="0"/>
        <w:keepLines w:val="0"/>
        <w:pageBreakBefore w:val="0"/>
        <w:widowControl w:val="0"/>
        <w:kinsoku/>
        <w:wordWrap/>
        <w:overflowPunct/>
        <w:topLinePunct w:val="0"/>
        <w:autoSpaceDE/>
        <w:autoSpaceDN/>
        <w:bidi w:val="0"/>
        <w:adjustRightInd/>
        <w:snapToGrid w:val="0"/>
        <w:spacing w:line="400" w:lineRule="exact"/>
        <w:ind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防水等级 IP65、RS485、WIFI、GPRS 等通讯接口、噪音≤25DB。</w:t>
      </w:r>
    </w:p>
    <w:p w14:paraId="3D3CF976">
      <w:pPr>
        <w:keepNext w:val="0"/>
        <w:keepLines w:val="0"/>
        <w:pageBreakBefore w:val="0"/>
        <w:widowControl w:val="0"/>
        <w:kinsoku/>
        <w:wordWrap/>
        <w:overflowPunct/>
        <w:topLinePunct w:val="0"/>
        <w:autoSpaceDE/>
        <w:autoSpaceDN/>
        <w:bidi w:val="0"/>
        <w:adjustRightInd/>
        <w:snapToGrid w:val="0"/>
        <w:spacing w:line="400" w:lineRule="exact"/>
        <w:ind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具备残余电流、孤岛、输出过流、绝缘电阻侦测、防雷电等保护功能。</w:t>
      </w:r>
      <w:r>
        <w:rPr>
          <w:rFonts w:hint="eastAsia" w:ascii="宋体" w:hAnsi="宋体" w:cs="宋体"/>
          <w:color w:val="auto"/>
          <w:sz w:val="21"/>
          <w:szCs w:val="21"/>
          <w:highlight w:val="none"/>
          <w:lang w:val="en-US" w:eastAsia="zh-CN"/>
        </w:rPr>
        <w:t xml:space="preserve"> </w:t>
      </w:r>
    </w:p>
    <w:p w14:paraId="37E13B6E">
      <w:pPr>
        <w:keepNext w:val="0"/>
        <w:keepLines w:val="0"/>
        <w:pageBreakBefore w:val="0"/>
        <w:widowControl w:val="0"/>
        <w:numPr>
          <w:ilvl w:val="0"/>
          <w:numId w:val="10"/>
        </w:numPr>
        <w:kinsoku/>
        <w:wordWrap/>
        <w:overflowPunct/>
        <w:topLinePunct w:val="0"/>
        <w:autoSpaceDE/>
        <w:autoSpaceDN/>
        <w:bidi w:val="0"/>
        <w:adjustRightInd/>
        <w:snapToGrid w:val="0"/>
        <w:spacing w:line="400" w:lineRule="exact"/>
        <w:ind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设备外观须经招标人认可后方可使用，且设备须接入现有平台（</w:t>
      </w:r>
      <w:r>
        <w:rPr>
          <w:rFonts w:ascii="微软雅黑" w:hAnsi="微软雅黑" w:eastAsia="微软雅黑" w:cs="微软雅黑"/>
          <w:i w:val="0"/>
          <w:iCs w:val="0"/>
          <w:caps w:val="0"/>
          <w:color w:val="auto"/>
          <w:spacing w:val="0"/>
          <w:sz w:val="21"/>
          <w:szCs w:val="21"/>
          <w:highlight w:val="none"/>
          <w:shd w:val="clear" w:fill="FFFFFF"/>
        </w:rPr>
        <w:t>数字光伏能源管理平台</w:t>
      </w:r>
      <w:r>
        <w:rPr>
          <w:rFonts w:hint="eastAsia" w:ascii="宋体" w:hAnsi="宋体" w:eastAsia="宋体" w:cs="宋体"/>
          <w:color w:val="auto"/>
          <w:sz w:val="21"/>
          <w:szCs w:val="21"/>
          <w:highlight w:val="none"/>
          <w:lang w:val="en-US" w:eastAsia="zh-CN"/>
        </w:rPr>
        <w:t>）。</w:t>
      </w:r>
    </w:p>
    <w:p w14:paraId="685A8786">
      <w:pPr>
        <w:keepNext w:val="0"/>
        <w:keepLines w:val="0"/>
        <w:pageBreakBefore w:val="0"/>
        <w:widowControl w:val="0"/>
        <w:numPr>
          <w:ilvl w:val="0"/>
          <w:numId w:val="10"/>
        </w:numPr>
        <w:kinsoku/>
        <w:wordWrap/>
        <w:overflowPunct/>
        <w:topLinePunct w:val="0"/>
        <w:autoSpaceDE/>
        <w:autoSpaceDN/>
        <w:bidi w:val="0"/>
        <w:adjustRightInd/>
        <w:snapToGrid w:val="0"/>
        <w:spacing w:line="400" w:lineRule="exact"/>
        <w:ind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监控设备：现场监控无死角；监控摄像机不低于400万像素，支持背光补偿，强光抑制，3D数字降噪，120 dB宽动态，适应不同环境；支持白光/红外双补光；支持最大256 GB MicroSD/MicroSDHC/MicroSDXC卡本地存储，存储日期不少于15天；符合IP66防尘防水设计，可靠性高。</w:t>
      </w:r>
    </w:p>
    <w:p w14:paraId="46603676">
      <w:pPr>
        <w:keepNext w:val="0"/>
        <w:keepLines w:val="0"/>
        <w:pageBreakBefore w:val="0"/>
        <w:widowControl w:val="0"/>
        <w:numPr>
          <w:ilvl w:val="0"/>
          <w:numId w:val="10"/>
        </w:numPr>
        <w:kinsoku/>
        <w:wordWrap/>
        <w:overflowPunct/>
        <w:topLinePunct w:val="0"/>
        <w:autoSpaceDE/>
        <w:autoSpaceDN/>
        <w:bidi w:val="0"/>
        <w:adjustRightInd/>
        <w:snapToGrid w:val="0"/>
        <w:spacing w:line="400" w:lineRule="exact"/>
        <w:ind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钢结构光伏车棚为建筑光伏一体化形式，主要钢材材质应不低于Q355B，并满足国家相关规范。建筑结构示意图见相关附件。</w:t>
      </w:r>
    </w:p>
    <w:p w14:paraId="0B2F4112">
      <w:pPr>
        <w:keepNext w:val="0"/>
        <w:keepLines w:val="0"/>
        <w:pageBreakBefore w:val="0"/>
        <w:widowControl w:val="0"/>
        <w:kinsoku/>
        <w:wordWrap/>
        <w:overflowPunct/>
        <w:topLinePunct w:val="0"/>
        <w:autoSpaceDE/>
        <w:autoSpaceDN/>
        <w:bidi w:val="0"/>
        <w:adjustRightInd/>
        <w:snapToGrid w:val="0"/>
        <w:spacing w:line="400" w:lineRule="exact"/>
        <w:ind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lang w:val="en-US" w:eastAsia="zh-CN"/>
        </w:rPr>
        <w:t>.推荐品牌</w:t>
      </w:r>
    </w:p>
    <w:tbl>
      <w:tblPr>
        <w:tblStyle w:val="46"/>
        <w:tblW w:w="88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0"/>
        <w:gridCol w:w="2422"/>
        <w:gridCol w:w="1492"/>
        <w:gridCol w:w="1492"/>
        <w:gridCol w:w="1492"/>
        <w:gridCol w:w="1195"/>
      </w:tblGrid>
      <w:tr w14:paraId="1EB50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60" w:type="dxa"/>
            <w:noWrap w:val="0"/>
            <w:vAlign w:val="center"/>
          </w:tcPr>
          <w:p w14:paraId="4354B55C">
            <w:pPr>
              <w:keepNext w:val="0"/>
              <w:keepLines w:val="0"/>
              <w:widowControl/>
              <w:suppressLineNumbers w:val="0"/>
              <w:spacing w:before="0" w:beforeAutospacing="0" w:after="0" w:afterAutospacing="0"/>
              <w:ind w:left="0" w:right="0"/>
              <w:rPr>
                <w:rFonts w:hint="default" w:ascii="宋体" w:hAnsi="宋体" w:cs="宋体"/>
                <w:b/>
                <w:bCs/>
                <w:color w:val="auto"/>
                <w:kern w:val="0"/>
                <w:szCs w:val="21"/>
                <w:highlight w:val="none"/>
              </w:rPr>
            </w:pPr>
            <w:r>
              <w:rPr>
                <w:rFonts w:hint="eastAsia" w:ascii="宋体" w:hAnsi="宋体" w:cs="宋体"/>
                <w:b/>
                <w:bCs/>
                <w:color w:val="auto"/>
                <w:kern w:val="0"/>
                <w:szCs w:val="21"/>
                <w:highlight w:val="none"/>
              </w:rPr>
              <w:t>序号</w:t>
            </w:r>
          </w:p>
        </w:tc>
        <w:tc>
          <w:tcPr>
            <w:tcW w:w="2422" w:type="dxa"/>
            <w:noWrap w:val="0"/>
            <w:vAlign w:val="center"/>
          </w:tcPr>
          <w:p w14:paraId="690F44F8">
            <w:pPr>
              <w:keepNext w:val="0"/>
              <w:keepLines w:val="0"/>
              <w:widowControl/>
              <w:suppressLineNumbers w:val="0"/>
              <w:spacing w:before="0" w:beforeAutospacing="0" w:after="0" w:afterAutospacing="0"/>
              <w:ind w:left="0" w:right="0"/>
              <w:jc w:val="center"/>
              <w:rPr>
                <w:rFonts w:hint="default" w:ascii="宋体" w:hAnsi="宋体" w:cs="宋体"/>
                <w:b/>
                <w:bCs/>
                <w:color w:val="auto"/>
                <w:kern w:val="0"/>
                <w:szCs w:val="21"/>
                <w:highlight w:val="none"/>
              </w:rPr>
            </w:pPr>
            <w:r>
              <w:rPr>
                <w:rFonts w:hint="eastAsia" w:ascii="宋体" w:hAnsi="宋体" w:cs="宋体"/>
                <w:b/>
                <w:bCs/>
                <w:color w:val="auto"/>
                <w:kern w:val="0"/>
                <w:szCs w:val="21"/>
                <w:highlight w:val="none"/>
              </w:rPr>
              <w:t>材料、设备名称</w:t>
            </w:r>
          </w:p>
        </w:tc>
        <w:tc>
          <w:tcPr>
            <w:tcW w:w="1492" w:type="dxa"/>
            <w:noWrap w:val="0"/>
            <w:vAlign w:val="center"/>
          </w:tcPr>
          <w:p w14:paraId="7716DA65">
            <w:pPr>
              <w:keepNext w:val="0"/>
              <w:keepLines w:val="0"/>
              <w:widowControl/>
              <w:suppressLineNumbers w:val="0"/>
              <w:spacing w:before="0" w:beforeAutospacing="0" w:after="0" w:afterAutospacing="0"/>
              <w:ind w:left="0" w:right="0"/>
              <w:jc w:val="center"/>
              <w:rPr>
                <w:rFonts w:hint="default" w:ascii="宋体" w:hAnsi="宋体" w:cs="宋体"/>
                <w:b/>
                <w:bCs/>
                <w:color w:val="auto"/>
                <w:kern w:val="0"/>
                <w:szCs w:val="21"/>
                <w:highlight w:val="none"/>
              </w:rPr>
            </w:pPr>
            <w:r>
              <w:rPr>
                <w:rFonts w:hint="eastAsia" w:ascii="宋体" w:hAnsi="宋体" w:cs="宋体"/>
                <w:b/>
                <w:bCs/>
                <w:color w:val="auto"/>
                <w:kern w:val="0"/>
                <w:szCs w:val="21"/>
                <w:highlight w:val="none"/>
              </w:rPr>
              <w:t>品牌1</w:t>
            </w:r>
          </w:p>
        </w:tc>
        <w:tc>
          <w:tcPr>
            <w:tcW w:w="1492" w:type="dxa"/>
            <w:noWrap w:val="0"/>
            <w:vAlign w:val="center"/>
          </w:tcPr>
          <w:p w14:paraId="66E08A1E">
            <w:pPr>
              <w:keepNext w:val="0"/>
              <w:keepLines w:val="0"/>
              <w:widowControl/>
              <w:suppressLineNumbers w:val="0"/>
              <w:spacing w:before="0" w:beforeAutospacing="0" w:after="0" w:afterAutospacing="0"/>
              <w:ind w:left="0" w:right="0"/>
              <w:jc w:val="center"/>
              <w:rPr>
                <w:rFonts w:hint="default" w:ascii="宋体" w:hAnsi="宋体" w:cs="宋体"/>
                <w:b/>
                <w:bCs/>
                <w:color w:val="auto"/>
                <w:kern w:val="0"/>
                <w:szCs w:val="21"/>
                <w:highlight w:val="none"/>
              </w:rPr>
            </w:pPr>
            <w:r>
              <w:rPr>
                <w:rFonts w:hint="eastAsia" w:ascii="宋体" w:hAnsi="宋体" w:cs="宋体"/>
                <w:b/>
                <w:bCs/>
                <w:color w:val="auto"/>
                <w:kern w:val="0"/>
                <w:szCs w:val="21"/>
                <w:highlight w:val="none"/>
              </w:rPr>
              <w:t>品牌2</w:t>
            </w:r>
          </w:p>
        </w:tc>
        <w:tc>
          <w:tcPr>
            <w:tcW w:w="1492" w:type="dxa"/>
            <w:noWrap w:val="0"/>
            <w:vAlign w:val="center"/>
          </w:tcPr>
          <w:p w14:paraId="7BA6B44A">
            <w:pPr>
              <w:keepNext w:val="0"/>
              <w:keepLines w:val="0"/>
              <w:widowControl/>
              <w:suppressLineNumbers w:val="0"/>
              <w:spacing w:before="0" w:beforeAutospacing="0" w:after="0" w:afterAutospacing="0"/>
              <w:ind w:left="0" w:right="0"/>
              <w:jc w:val="center"/>
              <w:rPr>
                <w:rFonts w:hint="default" w:ascii="宋体" w:hAnsi="宋体" w:cs="宋体"/>
                <w:b/>
                <w:bCs/>
                <w:color w:val="auto"/>
                <w:kern w:val="0"/>
                <w:szCs w:val="21"/>
                <w:highlight w:val="none"/>
              </w:rPr>
            </w:pPr>
            <w:r>
              <w:rPr>
                <w:rFonts w:hint="eastAsia" w:ascii="宋体" w:hAnsi="宋体" w:cs="宋体"/>
                <w:b/>
                <w:bCs/>
                <w:color w:val="auto"/>
                <w:kern w:val="0"/>
                <w:szCs w:val="21"/>
                <w:highlight w:val="none"/>
              </w:rPr>
              <w:t>品牌3</w:t>
            </w:r>
          </w:p>
        </w:tc>
        <w:tc>
          <w:tcPr>
            <w:tcW w:w="1195" w:type="dxa"/>
            <w:noWrap w:val="0"/>
            <w:vAlign w:val="center"/>
          </w:tcPr>
          <w:p w14:paraId="3318DA8E">
            <w:pPr>
              <w:keepNext w:val="0"/>
              <w:keepLines w:val="0"/>
              <w:widowControl/>
              <w:suppressLineNumbers w:val="0"/>
              <w:spacing w:before="0" w:beforeAutospacing="0" w:after="0" w:afterAutospacing="0"/>
              <w:ind w:left="0" w:right="0"/>
              <w:jc w:val="center"/>
              <w:rPr>
                <w:rFonts w:hint="default" w:ascii="宋体" w:hAnsi="宋体" w:cs="宋体"/>
                <w:b/>
                <w:bCs/>
                <w:color w:val="auto"/>
                <w:kern w:val="0"/>
                <w:szCs w:val="21"/>
                <w:highlight w:val="none"/>
              </w:rPr>
            </w:pPr>
            <w:r>
              <w:rPr>
                <w:rFonts w:hint="eastAsia" w:ascii="宋体" w:hAnsi="宋体" w:cs="宋体"/>
                <w:b/>
                <w:bCs/>
                <w:color w:val="auto"/>
                <w:kern w:val="0"/>
                <w:szCs w:val="21"/>
                <w:highlight w:val="none"/>
              </w:rPr>
              <w:t>备注</w:t>
            </w:r>
          </w:p>
        </w:tc>
      </w:tr>
      <w:tr w14:paraId="1488A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760" w:type="dxa"/>
            <w:noWrap w:val="0"/>
            <w:vAlign w:val="center"/>
          </w:tcPr>
          <w:p w14:paraId="708299F1">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Cs w:val="21"/>
                <w:highlight w:val="none"/>
                <w:lang w:eastAsia="zh-CN"/>
              </w:rPr>
            </w:pPr>
            <w:r>
              <w:rPr>
                <w:rFonts w:hint="eastAsia" w:ascii="宋体" w:hAnsi="宋体" w:cs="宋体"/>
                <w:b/>
                <w:bCs/>
                <w:color w:val="auto"/>
                <w:kern w:val="0"/>
                <w:szCs w:val="21"/>
                <w:highlight w:val="none"/>
                <w:lang w:val="en-US" w:eastAsia="zh-CN"/>
              </w:rPr>
              <w:t>1</w:t>
            </w:r>
          </w:p>
        </w:tc>
        <w:tc>
          <w:tcPr>
            <w:tcW w:w="2422" w:type="dxa"/>
            <w:noWrap w:val="0"/>
            <w:vAlign w:val="center"/>
          </w:tcPr>
          <w:p w14:paraId="7D7116CC">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电缆</w:t>
            </w:r>
          </w:p>
        </w:tc>
        <w:tc>
          <w:tcPr>
            <w:tcW w:w="1492" w:type="dxa"/>
            <w:noWrap w:val="0"/>
            <w:vAlign w:val="center"/>
          </w:tcPr>
          <w:p w14:paraId="0D9B2CD5">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color w:val="auto"/>
                <w:kern w:val="0"/>
                <w:szCs w:val="21"/>
                <w:highlight w:val="none"/>
                <w:lang w:val="en-US" w:eastAsia="zh-CN"/>
              </w:rPr>
            </w:pPr>
            <w:r>
              <w:rPr>
                <w:rFonts w:hint="eastAsia" w:ascii="宋体" w:hAnsi="宋体" w:eastAsia="宋体" w:cs="宋体"/>
                <w:b/>
                <w:bCs/>
                <w:color w:val="auto"/>
                <w:kern w:val="0"/>
                <w:szCs w:val="21"/>
                <w:highlight w:val="none"/>
                <w:lang w:val="en-US" w:eastAsia="zh-CN"/>
              </w:rPr>
              <w:t>远东</w:t>
            </w:r>
          </w:p>
        </w:tc>
        <w:tc>
          <w:tcPr>
            <w:tcW w:w="1492" w:type="dxa"/>
            <w:noWrap w:val="0"/>
            <w:vAlign w:val="center"/>
          </w:tcPr>
          <w:p w14:paraId="655222BC">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color w:val="auto"/>
                <w:kern w:val="0"/>
                <w:szCs w:val="21"/>
                <w:highlight w:val="none"/>
                <w:lang w:val="en-US" w:eastAsia="zh-CN"/>
              </w:rPr>
            </w:pPr>
            <w:r>
              <w:rPr>
                <w:rFonts w:hint="eastAsia" w:ascii="宋体" w:hAnsi="宋体" w:eastAsia="宋体" w:cs="宋体"/>
                <w:b/>
                <w:bCs/>
                <w:color w:val="auto"/>
                <w:kern w:val="0"/>
                <w:szCs w:val="21"/>
                <w:highlight w:val="none"/>
              </w:rPr>
              <w:t>上上</w:t>
            </w:r>
          </w:p>
        </w:tc>
        <w:tc>
          <w:tcPr>
            <w:tcW w:w="1492" w:type="dxa"/>
            <w:noWrap w:val="0"/>
            <w:vAlign w:val="center"/>
          </w:tcPr>
          <w:p w14:paraId="68C2AC8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color w:val="auto"/>
                <w:kern w:val="0"/>
                <w:szCs w:val="21"/>
                <w:highlight w:val="none"/>
                <w:lang w:val="en-US" w:eastAsia="zh-CN"/>
              </w:rPr>
            </w:pPr>
            <w:r>
              <w:rPr>
                <w:rFonts w:hint="eastAsia" w:ascii="宋体" w:hAnsi="宋体" w:cs="宋体"/>
                <w:b/>
                <w:bCs/>
                <w:color w:val="auto"/>
                <w:kern w:val="0"/>
                <w:szCs w:val="21"/>
                <w:highlight w:val="none"/>
                <w:lang w:val="en-US" w:eastAsia="zh-CN"/>
              </w:rPr>
              <w:t>江南</w:t>
            </w:r>
          </w:p>
        </w:tc>
        <w:tc>
          <w:tcPr>
            <w:tcW w:w="1195" w:type="dxa"/>
            <w:noWrap w:val="0"/>
            <w:vAlign w:val="center"/>
          </w:tcPr>
          <w:p w14:paraId="02AC7655">
            <w:pPr>
              <w:keepNext w:val="0"/>
              <w:keepLines w:val="0"/>
              <w:widowControl/>
              <w:suppressLineNumbers w:val="0"/>
              <w:spacing w:before="0" w:beforeAutospacing="0" w:after="0" w:afterAutospacing="0"/>
              <w:ind w:left="0" w:right="0"/>
              <w:rPr>
                <w:rFonts w:hint="default" w:ascii="宋体" w:hAnsi="宋体" w:eastAsia="宋体" w:cs="宋体"/>
                <w:b/>
                <w:bCs/>
                <w:color w:val="auto"/>
                <w:kern w:val="0"/>
                <w:szCs w:val="21"/>
                <w:highlight w:val="none"/>
                <w:lang w:val="en-US" w:eastAsia="zh-CN"/>
              </w:rPr>
            </w:pPr>
            <w:r>
              <w:rPr>
                <w:rFonts w:hint="eastAsia" w:ascii="宋体" w:hAnsi="宋体" w:cs="宋体"/>
                <w:b/>
                <w:bCs/>
                <w:color w:val="auto"/>
                <w:kern w:val="0"/>
                <w:szCs w:val="21"/>
                <w:highlight w:val="none"/>
                <w:lang w:val="en-US" w:eastAsia="zh-CN"/>
              </w:rPr>
              <w:t>铜芯电缆</w:t>
            </w:r>
          </w:p>
        </w:tc>
      </w:tr>
      <w:tr w14:paraId="42765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760" w:type="dxa"/>
            <w:noWrap w:val="0"/>
            <w:vAlign w:val="center"/>
          </w:tcPr>
          <w:p w14:paraId="6E35896C">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Cs w:val="21"/>
                <w:highlight w:val="none"/>
                <w:lang w:eastAsia="zh-CN"/>
              </w:rPr>
            </w:pPr>
            <w:r>
              <w:rPr>
                <w:rFonts w:hint="eastAsia" w:ascii="宋体" w:hAnsi="宋体" w:cs="宋体"/>
                <w:b/>
                <w:bCs/>
                <w:color w:val="auto"/>
                <w:kern w:val="0"/>
                <w:szCs w:val="21"/>
                <w:highlight w:val="none"/>
                <w:lang w:val="en-US" w:eastAsia="zh-CN"/>
              </w:rPr>
              <w:t>2</w:t>
            </w:r>
          </w:p>
        </w:tc>
        <w:tc>
          <w:tcPr>
            <w:tcW w:w="2422" w:type="dxa"/>
            <w:noWrap w:val="0"/>
            <w:vAlign w:val="center"/>
          </w:tcPr>
          <w:p w14:paraId="69D8B364">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逆变器</w:t>
            </w:r>
          </w:p>
        </w:tc>
        <w:tc>
          <w:tcPr>
            <w:tcW w:w="1492" w:type="dxa"/>
            <w:noWrap w:val="0"/>
            <w:vAlign w:val="center"/>
          </w:tcPr>
          <w:p w14:paraId="6E4FDC6C">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color w:val="auto"/>
                <w:kern w:val="0"/>
                <w:sz w:val="21"/>
                <w:szCs w:val="21"/>
                <w:highlight w:val="none"/>
                <w:lang w:val="en-US" w:eastAsia="zh-CN" w:bidi="ar-SA"/>
              </w:rPr>
            </w:pPr>
            <w:r>
              <w:rPr>
                <w:rFonts w:hint="eastAsia" w:ascii="宋体" w:hAnsi="宋体" w:eastAsia="宋体" w:cs="宋体"/>
                <w:b/>
                <w:bCs/>
                <w:color w:val="auto"/>
                <w:kern w:val="0"/>
                <w:szCs w:val="21"/>
                <w:highlight w:val="none"/>
              </w:rPr>
              <w:t>阳光</w:t>
            </w:r>
          </w:p>
        </w:tc>
        <w:tc>
          <w:tcPr>
            <w:tcW w:w="1492" w:type="dxa"/>
            <w:noWrap w:val="0"/>
            <w:vAlign w:val="center"/>
          </w:tcPr>
          <w:p w14:paraId="6BFCB183">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color w:val="auto"/>
                <w:kern w:val="0"/>
                <w:sz w:val="21"/>
                <w:szCs w:val="21"/>
                <w:highlight w:val="none"/>
                <w:lang w:val="en-US" w:eastAsia="zh-CN" w:bidi="ar-SA"/>
              </w:rPr>
            </w:pPr>
            <w:r>
              <w:rPr>
                <w:rFonts w:hint="eastAsia" w:ascii="宋体" w:hAnsi="宋体" w:eastAsia="宋体" w:cs="宋体"/>
                <w:b/>
                <w:bCs/>
                <w:color w:val="auto"/>
                <w:kern w:val="0"/>
                <w:szCs w:val="21"/>
                <w:highlight w:val="none"/>
              </w:rPr>
              <w:t>华为</w:t>
            </w:r>
          </w:p>
        </w:tc>
        <w:tc>
          <w:tcPr>
            <w:tcW w:w="1492" w:type="dxa"/>
            <w:noWrap w:val="0"/>
            <w:vAlign w:val="center"/>
          </w:tcPr>
          <w:p w14:paraId="1A9CDE89">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color w:val="auto"/>
                <w:kern w:val="0"/>
                <w:sz w:val="21"/>
                <w:szCs w:val="21"/>
                <w:highlight w:val="none"/>
                <w:lang w:val="en-US" w:eastAsia="zh-CN" w:bidi="ar-SA"/>
              </w:rPr>
            </w:pPr>
            <w:r>
              <w:rPr>
                <w:rFonts w:hint="eastAsia" w:ascii="宋体" w:hAnsi="宋体" w:eastAsia="宋体" w:cs="宋体"/>
                <w:b/>
                <w:bCs/>
                <w:color w:val="auto"/>
                <w:kern w:val="0"/>
                <w:szCs w:val="21"/>
                <w:highlight w:val="none"/>
              </w:rPr>
              <w:t>固得威</w:t>
            </w:r>
          </w:p>
        </w:tc>
        <w:tc>
          <w:tcPr>
            <w:tcW w:w="1195" w:type="dxa"/>
            <w:noWrap w:val="0"/>
            <w:vAlign w:val="center"/>
          </w:tcPr>
          <w:p w14:paraId="4291C53A">
            <w:pPr>
              <w:keepNext w:val="0"/>
              <w:keepLines w:val="0"/>
              <w:widowControl/>
              <w:suppressLineNumbers w:val="0"/>
              <w:spacing w:before="0" w:beforeAutospacing="0" w:after="0" w:afterAutospacing="0"/>
              <w:ind w:left="0" w:right="0"/>
              <w:rPr>
                <w:rFonts w:hint="default" w:ascii="宋体" w:hAnsi="宋体" w:cs="宋体"/>
                <w:b/>
                <w:bCs/>
                <w:color w:val="auto"/>
                <w:kern w:val="0"/>
                <w:szCs w:val="21"/>
                <w:highlight w:val="none"/>
              </w:rPr>
            </w:pPr>
          </w:p>
        </w:tc>
      </w:tr>
      <w:tr w14:paraId="12E31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760" w:type="dxa"/>
            <w:noWrap w:val="0"/>
            <w:vAlign w:val="center"/>
          </w:tcPr>
          <w:p w14:paraId="2E5D77DA">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Cs w:val="21"/>
                <w:highlight w:val="none"/>
                <w:lang w:val="en-US" w:eastAsia="zh-CN"/>
              </w:rPr>
            </w:pPr>
            <w:r>
              <w:rPr>
                <w:rFonts w:hint="eastAsia" w:ascii="宋体" w:hAnsi="宋体" w:cs="宋体"/>
                <w:b/>
                <w:bCs/>
                <w:color w:val="auto"/>
                <w:kern w:val="0"/>
                <w:szCs w:val="21"/>
                <w:highlight w:val="none"/>
                <w:lang w:val="en-US" w:eastAsia="zh-CN"/>
              </w:rPr>
              <w:t>3</w:t>
            </w:r>
          </w:p>
        </w:tc>
        <w:tc>
          <w:tcPr>
            <w:tcW w:w="2422" w:type="dxa"/>
            <w:noWrap w:val="0"/>
            <w:vAlign w:val="center"/>
          </w:tcPr>
          <w:p w14:paraId="09008A13">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光伏板组件</w:t>
            </w:r>
          </w:p>
        </w:tc>
        <w:tc>
          <w:tcPr>
            <w:tcW w:w="1492" w:type="dxa"/>
            <w:noWrap w:val="0"/>
            <w:vAlign w:val="center"/>
          </w:tcPr>
          <w:p w14:paraId="1C9AE856">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color w:val="auto"/>
                <w:kern w:val="0"/>
                <w:sz w:val="21"/>
                <w:szCs w:val="21"/>
                <w:highlight w:val="none"/>
                <w:lang w:val="en-US" w:eastAsia="zh-CN" w:bidi="ar-SA"/>
              </w:rPr>
            </w:pPr>
            <w:r>
              <w:rPr>
                <w:rFonts w:hint="eastAsia" w:ascii="宋体" w:hAnsi="宋体" w:eastAsia="宋体" w:cs="宋体"/>
                <w:b/>
                <w:bCs/>
                <w:color w:val="auto"/>
                <w:kern w:val="0"/>
                <w:sz w:val="21"/>
                <w:szCs w:val="21"/>
                <w:highlight w:val="none"/>
                <w:lang w:bidi="ar"/>
              </w:rPr>
              <w:t>晶科</w:t>
            </w:r>
          </w:p>
        </w:tc>
        <w:tc>
          <w:tcPr>
            <w:tcW w:w="1492" w:type="dxa"/>
            <w:noWrap w:val="0"/>
            <w:vAlign w:val="center"/>
          </w:tcPr>
          <w:p w14:paraId="7C03FA08">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color w:val="auto"/>
                <w:kern w:val="0"/>
                <w:sz w:val="21"/>
                <w:szCs w:val="21"/>
                <w:highlight w:val="none"/>
                <w:lang w:val="en-US" w:eastAsia="zh-CN" w:bidi="ar-SA"/>
              </w:rPr>
            </w:pPr>
            <w:r>
              <w:rPr>
                <w:rFonts w:hint="eastAsia" w:ascii="宋体" w:hAnsi="宋体" w:cs="宋体"/>
                <w:b/>
                <w:bCs/>
                <w:color w:val="auto"/>
                <w:kern w:val="0"/>
                <w:sz w:val="21"/>
                <w:szCs w:val="21"/>
                <w:highlight w:val="none"/>
                <w:u w:val="none"/>
                <w:lang w:val="en-US" w:eastAsia="zh-CN" w:bidi="ar"/>
              </w:rPr>
              <w:t>天合</w:t>
            </w:r>
          </w:p>
        </w:tc>
        <w:tc>
          <w:tcPr>
            <w:tcW w:w="1492" w:type="dxa"/>
            <w:noWrap w:val="0"/>
            <w:vAlign w:val="center"/>
          </w:tcPr>
          <w:p w14:paraId="304C3E4F">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b/>
                <w:bCs/>
                <w:color w:val="auto"/>
                <w:kern w:val="0"/>
                <w:sz w:val="21"/>
                <w:szCs w:val="21"/>
                <w:highlight w:val="none"/>
                <w:lang w:val="en-US" w:eastAsia="zh-CN" w:bidi="ar-SA"/>
              </w:rPr>
            </w:pPr>
            <w:r>
              <w:rPr>
                <w:rFonts w:hint="eastAsia" w:ascii="宋体" w:hAnsi="宋体" w:eastAsia="宋体" w:cs="宋体"/>
                <w:b/>
                <w:bCs/>
                <w:color w:val="auto"/>
                <w:kern w:val="0"/>
                <w:sz w:val="21"/>
                <w:szCs w:val="21"/>
                <w:highlight w:val="none"/>
                <w:lang w:bidi="ar"/>
              </w:rPr>
              <w:t>隆基</w:t>
            </w:r>
          </w:p>
        </w:tc>
        <w:tc>
          <w:tcPr>
            <w:tcW w:w="1195" w:type="dxa"/>
            <w:noWrap w:val="0"/>
            <w:vAlign w:val="center"/>
          </w:tcPr>
          <w:p w14:paraId="0577B0F2">
            <w:pPr>
              <w:keepNext w:val="0"/>
              <w:keepLines w:val="0"/>
              <w:widowControl/>
              <w:suppressLineNumbers w:val="0"/>
              <w:spacing w:before="0" w:beforeAutospacing="0" w:after="0" w:afterAutospacing="0"/>
              <w:ind w:left="0" w:right="0"/>
              <w:rPr>
                <w:rFonts w:hint="default" w:ascii="宋体" w:hAnsi="宋体" w:cs="宋体"/>
                <w:b/>
                <w:bCs/>
                <w:color w:val="auto"/>
                <w:kern w:val="0"/>
                <w:szCs w:val="21"/>
                <w:highlight w:val="none"/>
              </w:rPr>
            </w:pPr>
          </w:p>
        </w:tc>
      </w:tr>
    </w:tbl>
    <w:p w14:paraId="4F266CA8">
      <w:pPr>
        <w:adjustRightInd w:val="0"/>
        <w:snapToGrid w:val="0"/>
        <w:spacing w:line="560" w:lineRule="exact"/>
        <w:rPr>
          <w:rFonts w:hint="eastAsia"/>
          <w:color w:val="auto"/>
          <w:highlight w:val="none"/>
          <w:lang w:val="en-US" w:eastAsia="zh-CN"/>
        </w:rPr>
      </w:pPr>
      <w:r>
        <w:rPr>
          <w:rFonts w:hint="eastAsia"/>
          <w:color w:val="auto"/>
          <w:highlight w:val="none"/>
          <w:lang w:val="en-US" w:eastAsia="zh-CN"/>
        </w:rPr>
        <w:t>注： 1、本表仅针对不采用招标人推荐品牌，采用其他品牌的投标人填写，并注明并提供相关技术参数、业绩等供评标委员会评审。对于招标人推荐品牌的材料、设备，投标人可选用推荐品牌或不低于推荐品牌技术性能指标的其他品牌。未在上表中注明且未提供相关技术参数、业绩，或经评标委员会评审未通过的，中标后只能从招标人推荐品牌中进行选择，价格不予调整。</w:t>
      </w:r>
    </w:p>
    <w:p w14:paraId="10891F80">
      <w:pPr>
        <w:adjustRightInd w:val="0"/>
        <w:snapToGrid w:val="0"/>
        <w:spacing w:line="560" w:lineRule="exact"/>
        <w:rPr>
          <w:rFonts w:hint="default" w:eastAsia="宋体"/>
          <w:color w:val="auto"/>
          <w:highlight w:val="none"/>
          <w:lang w:val="en-US" w:eastAsia="zh-CN"/>
        </w:rPr>
      </w:pPr>
      <w:r>
        <w:rPr>
          <w:rFonts w:hint="eastAsia"/>
          <w:color w:val="auto"/>
          <w:highlight w:val="none"/>
          <w:lang w:val="en-US" w:eastAsia="zh-CN"/>
        </w:rPr>
        <w:t>2、如本项目招标文件中出现特定性、唯一性品牌的表述，该品牌仅作为参考，施工过程中不具有限定性。对于招标人推荐品牌的材料、设备等，投标人如认 为招标人推荐的品牌有限定性、唯一性、明显不在同一档次等级的或者其他疑问的，应在本项目澄清提出的截止时间前通过电子交易系统向招标人提出</w:t>
      </w:r>
      <w:r>
        <w:rPr>
          <w:rFonts w:hint="eastAsia"/>
          <w:bCs/>
          <w:color w:val="auto"/>
          <w:sz w:val="24"/>
          <w:highlight w:val="none"/>
          <w:lang w:val="en-US" w:eastAsia="zh-CN"/>
        </w:rPr>
        <w:t>。</w:t>
      </w:r>
    </w:p>
    <w:p w14:paraId="47B3DF95">
      <w:pPr>
        <w:adjustRightInd w:val="0"/>
        <w:snapToGrid w:val="0"/>
        <w:spacing w:line="420" w:lineRule="auto"/>
        <w:ind w:firstLine="420" w:firstLineChars="200"/>
        <w:rPr>
          <w:rFonts w:hint="eastAsia" w:ascii="宋体" w:hAnsi="宋体" w:cs="宋体"/>
          <w:color w:val="auto"/>
          <w:szCs w:val="21"/>
          <w:highlight w:val="none"/>
        </w:rPr>
      </w:pPr>
    </w:p>
    <w:p w14:paraId="1FAB82E7">
      <w:pPr>
        <w:keepNext w:val="0"/>
        <w:keepLines w:val="0"/>
        <w:pageBreakBefore w:val="0"/>
        <w:widowControl/>
        <w:numPr>
          <w:ilvl w:val="0"/>
          <w:numId w:val="0"/>
        </w:numPr>
        <w:suppressLineNumbers w:val="0"/>
        <w:pBdr>
          <w:top w:val="none" w:color="auto" w:sz="0" w:space="0"/>
          <w:bottom w:val="none" w:color="auto" w:sz="0" w:space="0"/>
          <w:right w:val="none" w:color="auto" w:sz="0" w:space="0"/>
        </w:pBdr>
        <w:kinsoku/>
        <w:wordWrap/>
        <w:overflowPunct/>
        <w:topLinePunct w:val="0"/>
        <w:autoSpaceDE/>
        <w:autoSpaceDN/>
        <w:bidi w:val="0"/>
        <w:adjustRightInd/>
        <w:snapToGrid/>
        <w:spacing w:before="0" w:beforeAutospacing="1" w:after="0" w:afterAutospacing="1" w:line="390" w:lineRule="atLeast"/>
        <w:ind w:left="-363" w:leftChars="0" w:right="0" w:rightChars="0" w:firstLine="420" w:firstLineChars="200"/>
        <w:textAlignment w:val="auto"/>
        <w:rPr>
          <w:rFonts w:hint="default" w:ascii="Arial" w:hAnsi="Arial" w:eastAsia="Arial" w:cs="Arial"/>
          <w:i w:val="0"/>
          <w:iCs w:val="0"/>
          <w:caps w:val="0"/>
          <w:color w:val="auto"/>
          <w:spacing w:val="0"/>
          <w:sz w:val="21"/>
          <w:szCs w:val="21"/>
          <w:highlight w:val="none"/>
          <w:shd w:val="clear" w:fill="FFFFFF"/>
        </w:rPr>
      </w:pPr>
      <w:r>
        <w:rPr>
          <w:rFonts w:hint="eastAsia"/>
          <w:color w:val="auto"/>
          <w:highlight w:val="none"/>
        </w:rPr>
        <w:br w:type="page"/>
      </w:r>
    </w:p>
    <w:p w14:paraId="1E35F60C">
      <w:pPr>
        <w:pStyle w:val="43"/>
        <w:spacing w:beforeLines="50" w:afterLines="50" w:line="440" w:lineRule="exact"/>
        <w:rPr>
          <w:bCs/>
          <w:color w:val="auto"/>
          <w:szCs w:val="32"/>
          <w:highlight w:val="none"/>
        </w:rPr>
      </w:pPr>
      <w:r>
        <w:rPr>
          <w:rFonts w:hint="eastAsia"/>
          <w:bCs/>
          <w:color w:val="auto"/>
          <w:szCs w:val="32"/>
          <w:highlight w:val="none"/>
        </w:rPr>
        <w:t>第</w:t>
      </w:r>
      <w:r>
        <w:rPr>
          <w:rFonts w:hint="eastAsia"/>
          <w:bCs/>
          <w:color w:val="auto"/>
          <w:szCs w:val="32"/>
          <w:highlight w:val="none"/>
          <w:lang w:val="en-US" w:eastAsia="zh-CN"/>
        </w:rPr>
        <w:t>八</w:t>
      </w:r>
      <w:r>
        <w:rPr>
          <w:rFonts w:hint="eastAsia"/>
          <w:bCs/>
          <w:color w:val="auto"/>
          <w:szCs w:val="32"/>
          <w:highlight w:val="none"/>
        </w:rPr>
        <w:t>章  投标文件格式</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37"/>
      <w:bookmarkEnd w:id="838"/>
      <w:bookmarkEnd w:id="839"/>
    </w:p>
    <w:p w14:paraId="07A29FB8">
      <w:pPr>
        <w:rPr>
          <w:color w:val="auto"/>
          <w:highlight w:val="none"/>
        </w:rPr>
      </w:pPr>
    </w:p>
    <w:p w14:paraId="49CE997F">
      <w:pPr>
        <w:rPr>
          <w:color w:val="auto"/>
          <w:highlight w:val="none"/>
        </w:rPr>
      </w:pPr>
    </w:p>
    <w:p w14:paraId="665EB3C9">
      <w:pPr>
        <w:rPr>
          <w:color w:val="auto"/>
          <w:highlight w:val="none"/>
        </w:rPr>
      </w:pPr>
    </w:p>
    <w:p w14:paraId="547D8D0C">
      <w:pPr>
        <w:jc w:val="center"/>
        <w:rPr>
          <w:rFonts w:eastAsia="黑体"/>
          <w:color w:val="auto"/>
          <w:sz w:val="20"/>
          <w:szCs w:val="20"/>
          <w:highlight w:val="none"/>
        </w:rPr>
      </w:pPr>
      <w:r>
        <w:rPr>
          <w:rFonts w:eastAsia="黑体"/>
          <w:color w:val="auto"/>
          <w:sz w:val="28"/>
          <w:szCs w:val="28"/>
          <w:highlight w:val="none"/>
        </w:rPr>
        <w:t>（项目名称）</w:t>
      </w:r>
    </w:p>
    <w:p w14:paraId="37B9ADC5">
      <w:pPr>
        <w:jc w:val="center"/>
        <w:rPr>
          <w:rFonts w:eastAsia="黑体"/>
          <w:color w:val="auto"/>
          <w:sz w:val="20"/>
          <w:szCs w:val="20"/>
          <w:highlight w:val="none"/>
        </w:rPr>
      </w:pPr>
    </w:p>
    <w:p w14:paraId="5918F59A">
      <w:pPr>
        <w:jc w:val="center"/>
        <w:rPr>
          <w:rFonts w:eastAsia="黑体"/>
          <w:color w:val="auto"/>
          <w:sz w:val="20"/>
          <w:szCs w:val="20"/>
          <w:highlight w:val="none"/>
        </w:rPr>
      </w:pPr>
    </w:p>
    <w:p w14:paraId="39084C9C">
      <w:pPr>
        <w:jc w:val="center"/>
        <w:rPr>
          <w:rFonts w:eastAsia="黑体"/>
          <w:color w:val="auto"/>
          <w:sz w:val="20"/>
          <w:szCs w:val="20"/>
          <w:highlight w:val="none"/>
        </w:rPr>
      </w:pPr>
    </w:p>
    <w:p w14:paraId="59B5AC88">
      <w:pPr>
        <w:rPr>
          <w:rFonts w:eastAsia="黑体"/>
          <w:color w:val="auto"/>
          <w:sz w:val="20"/>
          <w:szCs w:val="20"/>
          <w:highlight w:val="none"/>
        </w:rPr>
      </w:pPr>
    </w:p>
    <w:p w14:paraId="008675F2">
      <w:pPr>
        <w:jc w:val="center"/>
        <w:rPr>
          <w:rFonts w:eastAsia="黑体"/>
          <w:color w:val="auto"/>
          <w:sz w:val="44"/>
          <w:szCs w:val="44"/>
          <w:highlight w:val="none"/>
        </w:rPr>
      </w:pPr>
      <w:r>
        <w:rPr>
          <w:rFonts w:eastAsia="黑体"/>
          <w:color w:val="auto"/>
          <w:sz w:val="44"/>
          <w:szCs w:val="44"/>
          <w:highlight w:val="none"/>
        </w:rPr>
        <w:t>投  标  文  件</w:t>
      </w:r>
      <w:r>
        <w:rPr>
          <w:rFonts w:hint="eastAsia" w:eastAsia="黑体"/>
          <w:color w:val="auto"/>
          <w:sz w:val="44"/>
          <w:szCs w:val="44"/>
          <w:highlight w:val="none"/>
        </w:rPr>
        <w:t xml:space="preserve"> 一</w:t>
      </w:r>
    </w:p>
    <w:p w14:paraId="0CEDA6CC">
      <w:pPr>
        <w:jc w:val="center"/>
        <w:rPr>
          <w:rFonts w:eastAsia="黑体"/>
          <w:color w:val="auto"/>
          <w:sz w:val="44"/>
          <w:szCs w:val="44"/>
          <w:highlight w:val="none"/>
        </w:rPr>
      </w:pPr>
      <w:r>
        <w:rPr>
          <w:rFonts w:hint="eastAsia" w:eastAsia="黑体"/>
          <w:color w:val="auto"/>
          <w:sz w:val="44"/>
          <w:szCs w:val="44"/>
          <w:highlight w:val="none"/>
        </w:rPr>
        <w:t>（资信证明文件）</w:t>
      </w:r>
    </w:p>
    <w:p w14:paraId="0E362559">
      <w:pPr>
        <w:rPr>
          <w:rFonts w:eastAsia="黑体"/>
          <w:color w:val="auto"/>
          <w:sz w:val="28"/>
          <w:szCs w:val="28"/>
          <w:highlight w:val="none"/>
        </w:rPr>
      </w:pPr>
    </w:p>
    <w:p w14:paraId="7A785CB9">
      <w:pPr>
        <w:rPr>
          <w:rFonts w:eastAsia="黑体"/>
          <w:color w:val="auto"/>
          <w:sz w:val="28"/>
          <w:szCs w:val="28"/>
          <w:highlight w:val="none"/>
        </w:rPr>
      </w:pPr>
    </w:p>
    <w:p w14:paraId="36523F5F">
      <w:pPr>
        <w:rPr>
          <w:rFonts w:eastAsia="黑体"/>
          <w:color w:val="auto"/>
          <w:sz w:val="28"/>
          <w:szCs w:val="28"/>
          <w:highlight w:val="none"/>
        </w:rPr>
      </w:pPr>
    </w:p>
    <w:p w14:paraId="171CF54B">
      <w:pPr>
        <w:rPr>
          <w:rFonts w:eastAsia="黑体"/>
          <w:color w:val="auto"/>
          <w:sz w:val="28"/>
          <w:szCs w:val="28"/>
          <w:highlight w:val="none"/>
        </w:rPr>
      </w:pPr>
    </w:p>
    <w:p w14:paraId="56E3A678">
      <w:pPr>
        <w:pStyle w:val="2"/>
        <w:ind w:firstLine="420"/>
        <w:rPr>
          <w:rFonts w:ascii="Times New Roman"/>
          <w:color w:val="auto"/>
          <w:szCs w:val="24"/>
          <w:highlight w:val="none"/>
        </w:rPr>
      </w:pPr>
    </w:p>
    <w:p w14:paraId="18F7FD4B">
      <w:pPr>
        <w:rPr>
          <w:rFonts w:ascii="Times New Roman"/>
          <w:color w:val="auto"/>
          <w:szCs w:val="24"/>
          <w:highlight w:val="none"/>
        </w:rPr>
      </w:pPr>
    </w:p>
    <w:p w14:paraId="72E95B0E">
      <w:pPr>
        <w:pStyle w:val="2"/>
        <w:rPr>
          <w:rFonts w:ascii="Times New Roman"/>
          <w:color w:val="auto"/>
          <w:szCs w:val="24"/>
          <w:highlight w:val="none"/>
        </w:rPr>
      </w:pPr>
    </w:p>
    <w:p w14:paraId="00EF2A66">
      <w:pPr>
        <w:rPr>
          <w:rFonts w:ascii="Times New Roman"/>
          <w:color w:val="auto"/>
          <w:szCs w:val="24"/>
          <w:highlight w:val="none"/>
        </w:rPr>
      </w:pPr>
    </w:p>
    <w:p w14:paraId="025F3A78">
      <w:pPr>
        <w:pStyle w:val="2"/>
        <w:rPr>
          <w:color w:val="auto"/>
          <w:highlight w:val="none"/>
        </w:rPr>
      </w:pPr>
    </w:p>
    <w:p w14:paraId="5833C264">
      <w:pPr>
        <w:pStyle w:val="2"/>
        <w:ind w:firstLine="420"/>
        <w:rPr>
          <w:color w:val="auto"/>
          <w:highlight w:val="none"/>
        </w:rPr>
      </w:pPr>
    </w:p>
    <w:p w14:paraId="62F43D59">
      <w:pPr>
        <w:rPr>
          <w:rFonts w:eastAsia="黑体"/>
          <w:color w:val="auto"/>
          <w:sz w:val="28"/>
          <w:szCs w:val="28"/>
          <w:highlight w:val="none"/>
        </w:rPr>
      </w:pPr>
    </w:p>
    <w:p w14:paraId="044121CB">
      <w:pPr>
        <w:rPr>
          <w:rFonts w:eastAsia="黑体"/>
          <w:color w:val="auto"/>
          <w:sz w:val="28"/>
          <w:szCs w:val="28"/>
          <w:highlight w:val="none"/>
        </w:rPr>
      </w:pPr>
    </w:p>
    <w:p w14:paraId="577D42A4">
      <w:pPr>
        <w:jc w:val="center"/>
        <w:rPr>
          <w:rFonts w:eastAsia="黑体"/>
          <w:color w:val="auto"/>
          <w:sz w:val="28"/>
          <w:szCs w:val="28"/>
          <w:highlight w:val="none"/>
          <w:u w:val="single"/>
        </w:rPr>
      </w:pPr>
      <w:r>
        <w:rPr>
          <w:rFonts w:hint="eastAsia" w:eastAsia="黑体"/>
          <w:color w:val="auto"/>
          <w:sz w:val="28"/>
          <w:szCs w:val="28"/>
          <w:highlight w:val="none"/>
        </w:rPr>
        <w:t xml:space="preserve"> 投标人</w:t>
      </w:r>
      <w:r>
        <w:rPr>
          <w:rFonts w:eastAsia="黑体"/>
          <w:color w:val="auto"/>
          <w:sz w:val="28"/>
          <w:szCs w:val="28"/>
          <w:highlight w:val="none"/>
        </w:rPr>
        <w:t>：</w:t>
      </w:r>
      <w:r>
        <w:rPr>
          <w:rFonts w:eastAsia="黑体"/>
          <w:color w:val="auto"/>
          <w:sz w:val="28"/>
          <w:szCs w:val="28"/>
          <w:highlight w:val="none"/>
          <w:u w:val="single"/>
        </w:rPr>
        <w:t xml:space="preserve">               </w:t>
      </w:r>
      <w:r>
        <w:rPr>
          <w:rFonts w:hint="eastAsia" w:eastAsia="黑体"/>
          <w:color w:val="auto"/>
          <w:sz w:val="28"/>
          <w:szCs w:val="28"/>
          <w:highlight w:val="none"/>
          <w:u w:val="single"/>
        </w:rPr>
        <w:t xml:space="preserve">    </w:t>
      </w:r>
      <w:r>
        <w:rPr>
          <w:rFonts w:eastAsia="黑体"/>
          <w:color w:val="auto"/>
          <w:sz w:val="28"/>
          <w:szCs w:val="28"/>
          <w:highlight w:val="none"/>
          <w:u w:val="single"/>
        </w:rPr>
        <w:t xml:space="preserve">      </w:t>
      </w:r>
      <w:r>
        <w:rPr>
          <w:rFonts w:hint="eastAsia" w:eastAsia="黑体"/>
          <w:color w:val="auto"/>
          <w:sz w:val="28"/>
          <w:szCs w:val="28"/>
          <w:highlight w:val="none"/>
          <w:u w:val="single"/>
        </w:rPr>
        <w:t xml:space="preserve">  </w:t>
      </w:r>
      <w:r>
        <w:rPr>
          <w:rFonts w:eastAsia="黑体"/>
          <w:color w:val="auto"/>
          <w:sz w:val="28"/>
          <w:szCs w:val="28"/>
          <w:highlight w:val="none"/>
          <w:u w:val="single"/>
        </w:rPr>
        <w:t xml:space="preserve">       </w:t>
      </w:r>
      <w:r>
        <w:rPr>
          <w:rFonts w:eastAsia="黑体"/>
          <w:color w:val="auto"/>
          <w:sz w:val="28"/>
          <w:szCs w:val="28"/>
          <w:highlight w:val="none"/>
        </w:rPr>
        <w:t>（</w:t>
      </w:r>
      <w:r>
        <w:rPr>
          <w:rFonts w:hint="eastAsia" w:eastAsia="黑体"/>
          <w:color w:val="auto"/>
          <w:sz w:val="28"/>
          <w:szCs w:val="28"/>
          <w:highlight w:val="none"/>
        </w:rPr>
        <w:t>盖</w:t>
      </w:r>
      <w:r>
        <w:rPr>
          <w:rFonts w:eastAsia="黑体"/>
          <w:color w:val="auto"/>
          <w:sz w:val="28"/>
          <w:szCs w:val="28"/>
          <w:highlight w:val="none"/>
        </w:rPr>
        <w:t>章）</w:t>
      </w:r>
    </w:p>
    <w:p w14:paraId="33D14EA5">
      <w:pPr>
        <w:jc w:val="center"/>
        <w:rPr>
          <w:rFonts w:eastAsia="黑体"/>
          <w:color w:val="auto"/>
          <w:sz w:val="28"/>
          <w:szCs w:val="28"/>
          <w:highlight w:val="none"/>
        </w:rPr>
      </w:pPr>
      <w:r>
        <w:rPr>
          <w:rFonts w:hint="eastAsia" w:eastAsia="黑体"/>
          <w:color w:val="auto"/>
          <w:sz w:val="28"/>
          <w:szCs w:val="28"/>
          <w:highlight w:val="none"/>
        </w:rPr>
        <w:t xml:space="preserve">   </w:t>
      </w:r>
      <w:r>
        <w:rPr>
          <w:rFonts w:eastAsia="黑体"/>
          <w:color w:val="auto"/>
          <w:sz w:val="28"/>
          <w:szCs w:val="28"/>
          <w:highlight w:val="none"/>
        </w:rPr>
        <w:t>法定代表人</w:t>
      </w:r>
      <w:r>
        <w:rPr>
          <w:rFonts w:hint="eastAsia" w:eastAsia="黑体"/>
          <w:color w:val="auto"/>
          <w:sz w:val="28"/>
          <w:szCs w:val="28"/>
          <w:highlight w:val="none"/>
          <w:lang w:val="en-US" w:eastAsia="zh-CN"/>
        </w:rPr>
        <w:t>或授权委托人</w:t>
      </w:r>
      <w:r>
        <w:rPr>
          <w:rFonts w:eastAsia="黑体"/>
          <w:color w:val="auto"/>
          <w:sz w:val="28"/>
          <w:szCs w:val="28"/>
          <w:highlight w:val="none"/>
        </w:rPr>
        <w:t>：</w:t>
      </w:r>
      <w:r>
        <w:rPr>
          <w:rFonts w:eastAsia="黑体"/>
          <w:color w:val="auto"/>
          <w:sz w:val="28"/>
          <w:szCs w:val="28"/>
          <w:highlight w:val="none"/>
          <w:u w:val="single"/>
        </w:rPr>
        <w:t xml:space="preserve">         </w:t>
      </w:r>
      <w:r>
        <w:rPr>
          <w:rFonts w:hint="eastAsia" w:eastAsia="黑体"/>
          <w:color w:val="auto"/>
          <w:sz w:val="28"/>
          <w:szCs w:val="28"/>
          <w:highlight w:val="none"/>
          <w:u w:val="single"/>
        </w:rPr>
        <w:t xml:space="preserve">         </w:t>
      </w:r>
      <w:r>
        <w:rPr>
          <w:rFonts w:eastAsia="黑体"/>
          <w:color w:val="auto"/>
          <w:sz w:val="28"/>
          <w:szCs w:val="28"/>
          <w:highlight w:val="none"/>
          <w:u w:val="single"/>
        </w:rPr>
        <w:t xml:space="preserve">       </w:t>
      </w:r>
      <w:r>
        <w:rPr>
          <w:rFonts w:eastAsia="黑体"/>
          <w:color w:val="auto"/>
          <w:sz w:val="28"/>
          <w:szCs w:val="28"/>
          <w:highlight w:val="none"/>
        </w:rPr>
        <w:t>（</w:t>
      </w:r>
      <w:r>
        <w:rPr>
          <w:rFonts w:hint="eastAsia" w:eastAsia="黑体"/>
          <w:color w:val="auto"/>
          <w:sz w:val="28"/>
          <w:szCs w:val="28"/>
          <w:highlight w:val="none"/>
        </w:rPr>
        <w:t>签字或盖章</w:t>
      </w:r>
      <w:r>
        <w:rPr>
          <w:rFonts w:eastAsia="黑体"/>
          <w:color w:val="auto"/>
          <w:sz w:val="28"/>
          <w:szCs w:val="28"/>
          <w:highlight w:val="none"/>
        </w:rPr>
        <w:t>）</w:t>
      </w:r>
    </w:p>
    <w:p w14:paraId="337F7097">
      <w:pPr>
        <w:jc w:val="center"/>
        <w:rPr>
          <w:rFonts w:eastAsia="黑体"/>
          <w:color w:val="auto"/>
          <w:sz w:val="28"/>
          <w:szCs w:val="28"/>
          <w:highlight w:val="none"/>
        </w:rPr>
      </w:pPr>
      <w:r>
        <w:rPr>
          <w:rFonts w:hint="eastAsia" w:eastAsia="黑体"/>
          <w:color w:val="auto"/>
          <w:sz w:val="28"/>
          <w:szCs w:val="28"/>
          <w:highlight w:val="none"/>
          <w:u w:val="single"/>
        </w:rPr>
        <w:t xml:space="preserve">      </w:t>
      </w:r>
      <w:r>
        <w:rPr>
          <w:rFonts w:eastAsia="黑体"/>
          <w:color w:val="auto"/>
          <w:sz w:val="28"/>
          <w:szCs w:val="28"/>
          <w:highlight w:val="none"/>
        </w:rPr>
        <w:t>年</w:t>
      </w:r>
      <w:r>
        <w:rPr>
          <w:rFonts w:hint="eastAsia" w:eastAsia="黑体"/>
          <w:color w:val="auto"/>
          <w:sz w:val="28"/>
          <w:szCs w:val="28"/>
          <w:highlight w:val="none"/>
          <w:u w:val="single"/>
        </w:rPr>
        <w:t xml:space="preserve">     </w:t>
      </w:r>
      <w:r>
        <w:rPr>
          <w:rFonts w:eastAsia="黑体"/>
          <w:color w:val="auto"/>
          <w:sz w:val="28"/>
          <w:szCs w:val="28"/>
          <w:highlight w:val="none"/>
        </w:rPr>
        <w:t>月</w:t>
      </w:r>
      <w:r>
        <w:rPr>
          <w:rFonts w:hint="eastAsia" w:eastAsia="黑体"/>
          <w:color w:val="auto"/>
          <w:sz w:val="28"/>
          <w:szCs w:val="28"/>
          <w:highlight w:val="none"/>
          <w:u w:val="single"/>
        </w:rPr>
        <w:t xml:space="preserve">     </w:t>
      </w:r>
      <w:r>
        <w:rPr>
          <w:rFonts w:eastAsia="黑体"/>
          <w:color w:val="auto"/>
          <w:sz w:val="28"/>
          <w:szCs w:val="28"/>
          <w:highlight w:val="none"/>
        </w:rPr>
        <w:t>日</w:t>
      </w:r>
    </w:p>
    <w:p w14:paraId="3E8F9CF8">
      <w:pPr>
        <w:rPr>
          <w:color w:val="auto"/>
          <w:highlight w:val="none"/>
        </w:rPr>
      </w:pPr>
      <w:bookmarkStart w:id="844" w:name="_Toc12683"/>
      <w:bookmarkStart w:id="845" w:name="_Toc35424971"/>
      <w:bookmarkStart w:id="846" w:name="_Toc35425137"/>
    </w:p>
    <w:p w14:paraId="7C4CEA5B">
      <w:pPr>
        <w:spacing w:beforeLines="50" w:afterLines="50" w:line="440" w:lineRule="exact"/>
        <w:ind w:firstLine="643" w:firstLineChars="200"/>
        <w:jc w:val="left"/>
        <w:rPr>
          <w:rFonts w:ascii="宋体" w:hAnsi="宋体" w:cs="宋体"/>
          <w:b/>
          <w:color w:val="auto"/>
          <w:sz w:val="28"/>
          <w:szCs w:val="28"/>
          <w:highlight w:val="none"/>
        </w:rPr>
      </w:pPr>
      <w:bookmarkStart w:id="847" w:name="_Toc78803399"/>
      <w:r>
        <w:rPr>
          <w:rStyle w:val="65"/>
          <w:rFonts w:hint="eastAsia" w:ascii="宋体" w:hAnsi="宋体" w:cs="宋体"/>
          <w:color w:val="auto"/>
          <w:sz w:val="32"/>
          <w:highlight w:val="none"/>
        </w:rPr>
        <w:br w:type="page"/>
      </w:r>
      <w:bookmarkStart w:id="848" w:name="_Toc30830"/>
      <w:bookmarkStart w:id="849" w:name="_Toc32179"/>
      <w:bookmarkStart w:id="850" w:name="_Toc25912"/>
      <w:r>
        <w:rPr>
          <w:rStyle w:val="65"/>
          <w:rFonts w:hint="eastAsia" w:ascii="宋体" w:hAnsi="宋体" w:cs="宋体"/>
          <w:color w:val="auto"/>
          <w:sz w:val="32"/>
          <w:highlight w:val="none"/>
        </w:rPr>
        <w:t>投标文件一</w:t>
      </w:r>
      <w:bookmarkEnd w:id="844"/>
      <w:bookmarkEnd w:id="845"/>
      <w:bookmarkEnd w:id="846"/>
      <w:bookmarkEnd w:id="847"/>
      <w:bookmarkEnd w:id="848"/>
      <w:bookmarkEnd w:id="849"/>
      <w:bookmarkEnd w:id="850"/>
      <w:r>
        <w:rPr>
          <w:rFonts w:hint="eastAsia" w:ascii="宋体" w:hAnsi="宋体" w:cs="宋体"/>
          <w:b/>
          <w:color w:val="auto"/>
          <w:sz w:val="28"/>
          <w:szCs w:val="28"/>
          <w:highlight w:val="none"/>
        </w:rPr>
        <w:t>：资信证明文件目录</w:t>
      </w:r>
    </w:p>
    <w:p w14:paraId="25ED2DDE">
      <w:pPr>
        <w:spacing w:line="440" w:lineRule="exact"/>
        <w:ind w:right="-168" w:rightChars="-80"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（1）法定代表人身份证明和本人有效身份证(或法定代表人授权委托书和委托代理人有效身份证)</w:t>
      </w:r>
      <w:r>
        <w:rPr>
          <w:rFonts w:hint="eastAsia" w:ascii="宋体" w:hAnsi="宋体" w:eastAsia="宋体" w:cs="宋体"/>
          <w:color w:val="auto"/>
          <w:sz w:val="21"/>
          <w:szCs w:val="21"/>
          <w:highlight w:val="none"/>
        </w:rPr>
        <w:t>（如为联合体，仅需联合体牵头人提供）</w:t>
      </w:r>
      <w:r>
        <w:rPr>
          <w:rFonts w:hint="eastAsia" w:ascii="宋体" w:hAnsi="宋体" w:cs="宋体"/>
          <w:color w:val="auto"/>
          <w:szCs w:val="21"/>
          <w:highlight w:val="none"/>
        </w:rPr>
        <w:t>；</w:t>
      </w:r>
    </w:p>
    <w:p w14:paraId="238B67E0">
      <w:pPr>
        <w:spacing w:line="44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（2）诚信投标承诺书</w:t>
      </w:r>
      <w:r>
        <w:rPr>
          <w:rFonts w:hint="eastAsia" w:ascii="宋体" w:hAnsi="宋体" w:eastAsia="宋体" w:cs="宋体"/>
          <w:color w:val="auto"/>
          <w:sz w:val="21"/>
          <w:szCs w:val="21"/>
          <w:highlight w:val="none"/>
        </w:rPr>
        <w:t>（如为联合体的，各方均需提供，格式见附件）</w:t>
      </w:r>
      <w:r>
        <w:rPr>
          <w:rFonts w:hint="eastAsia" w:ascii="宋体" w:hAnsi="宋体" w:cs="宋体"/>
          <w:color w:val="auto"/>
          <w:szCs w:val="21"/>
          <w:highlight w:val="none"/>
        </w:rPr>
        <w:t>；</w:t>
      </w:r>
    </w:p>
    <w:p w14:paraId="70A59C3B">
      <w:pPr>
        <w:spacing w:line="44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（3）企业法人营业执照</w:t>
      </w:r>
      <w:r>
        <w:rPr>
          <w:rFonts w:hint="eastAsia" w:ascii="宋体" w:hAnsi="宋体" w:eastAsia="宋体" w:cs="宋体"/>
          <w:color w:val="auto"/>
          <w:sz w:val="21"/>
          <w:szCs w:val="21"/>
          <w:highlight w:val="none"/>
        </w:rPr>
        <w:t>（如为联合体，各方均需提供）</w:t>
      </w:r>
      <w:r>
        <w:rPr>
          <w:rFonts w:hint="eastAsia" w:ascii="宋体" w:hAnsi="宋体" w:cs="宋体"/>
          <w:color w:val="auto"/>
          <w:szCs w:val="21"/>
          <w:highlight w:val="none"/>
        </w:rPr>
        <w:t>；</w:t>
      </w:r>
    </w:p>
    <w:p w14:paraId="6600545A">
      <w:pPr>
        <w:spacing w:line="440" w:lineRule="exact"/>
        <w:ind w:firstLine="420" w:firstLineChars="200"/>
        <w:jc w:val="left"/>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（4）</w:t>
      </w:r>
      <w:r>
        <w:rPr>
          <w:rFonts w:hint="eastAsia" w:ascii="宋体" w:hAnsi="宋体" w:cs="宋体"/>
          <w:color w:val="auto"/>
          <w:szCs w:val="21"/>
          <w:highlight w:val="none"/>
          <w:lang w:val="en-US" w:eastAsia="zh-CN"/>
        </w:rPr>
        <w:t>企业资质证书</w:t>
      </w:r>
      <w:r>
        <w:rPr>
          <w:rFonts w:hint="eastAsia" w:ascii="宋体" w:hAnsi="宋体" w:eastAsia="宋体" w:cs="宋体"/>
          <w:color w:val="auto"/>
          <w:sz w:val="21"/>
          <w:szCs w:val="21"/>
          <w:highlight w:val="none"/>
        </w:rPr>
        <w:t>（按</w:t>
      </w:r>
      <w:r>
        <w:rPr>
          <w:rFonts w:hint="eastAsia" w:ascii="宋体" w:hAnsi="宋体" w:eastAsia="宋体" w:cs="宋体"/>
          <w:color w:val="auto"/>
          <w:sz w:val="21"/>
          <w:szCs w:val="21"/>
          <w:highlight w:val="none"/>
          <w:lang w:val="en-US" w:eastAsia="zh-CN"/>
        </w:rPr>
        <w:t>联合体协议中分工任务提供对应资质</w:t>
      </w:r>
      <w:r>
        <w:rPr>
          <w:rFonts w:hint="eastAsia" w:ascii="宋体" w:hAnsi="宋体" w:eastAsia="宋体" w:cs="宋体"/>
          <w:color w:val="auto"/>
          <w:sz w:val="21"/>
          <w:szCs w:val="21"/>
          <w:highlight w:val="none"/>
        </w:rPr>
        <w:t>）</w:t>
      </w:r>
      <w:r>
        <w:rPr>
          <w:rFonts w:hint="eastAsia" w:ascii="宋体" w:hAnsi="宋体" w:cs="宋体"/>
          <w:color w:val="auto"/>
          <w:szCs w:val="21"/>
          <w:highlight w:val="none"/>
          <w:lang w:val="en-US" w:eastAsia="zh-CN"/>
        </w:rPr>
        <w:t>；</w:t>
      </w:r>
    </w:p>
    <w:p w14:paraId="02D7739F">
      <w:pPr>
        <w:spacing w:line="440" w:lineRule="exact"/>
        <w:ind w:firstLine="420" w:firstLineChars="200"/>
        <w:jc w:val="left"/>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lang w:eastAsia="zh-CN"/>
        </w:rPr>
        <w:t>）</w:t>
      </w:r>
      <w:r>
        <w:rPr>
          <w:rFonts w:hint="eastAsia" w:ascii="宋体" w:hAnsi="宋体" w:cs="宋体"/>
          <w:color w:val="auto"/>
          <w:szCs w:val="21"/>
          <w:highlight w:val="none"/>
        </w:rPr>
        <w:t>企业安全生产许可证</w:t>
      </w:r>
      <w:r>
        <w:rPr>
          <w:rFonts w:hint="eastAsia" w:ascii="宋体" w:hAnsi="宋体" w:eastAsia="宋体" w:cs="宋体"/>
          <w:color w:val="auto"/>
          <w:sz w:val="21"/>
          <w:szCs w:val="21"/>
          <w:highlight w:val="none"/>
        </w:rPr>
        <w:t>（如为联合体，施工方需提供）</w:t>
      </w:r>
      <w:r>
        <w:rPr>
          <w:rFonts w:hint="eastAsia" w:ascii="宋体" w:hAnsi="宋体" w:cs="宋体"/>
          <w:color w:val="auto"/>
          <w:szCs w:val="21"/>
          <w:highlight w:val="none"/>
          <w:lang w:eastAsia="zh-CN"/>
        </w:rPr>
        <w:t>；</w:t>
      </w:r>
    </w:p>
    <w:p w14:paraId="0D94106F">
      <w:pPr>
        <w:spacing w:line="44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lang w:eastAsia="zh-CN"/>
        </w:rPr>
        <w:t>）项目经理（建造师）有效身份证、注册证书以及安全生产考核合格证书（B证）</w:t>
      </w:r>
      <w:r>
        <w:rPr>
          <w:rFonts w:hint="eastAsia" w:ascii="宋体" w:hAnsi="宋体" w:cs="宋体"/>
          <w:color w:val="auto"/>
          <w:szCs w:val="21"/>
          <w:highlight w:val="none"/>
        </w:rPr>
        <w:t>；</w:t>
      </w:r>
    </w:p>
    <w:p w14:paraId="1B3DEFEA">
      <w:pPr>
        <w:spacing w:line="44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投标人的法定代表人(或委托代理人)和拟任项目经理（建造师）须持有社保部门出具的本单位为其缴纳的投标前近三个月连续的养老保险证明（证明文件两个月内有效）（同一人担任不同公司法定代表人的，该法定代表人参加本项目投标时须提供本人在其他公司任法定代表人的营业执照及为其缴纳养老保险证明材料），投标人是事业单位的，暂未缴纳养老保险的，须由其主管部门出具证明；</w:t>
      </w:r>
    </w:p>
    <w:p w14:paraId="3D90E844">
      <w:pPr>
        <w:adjustRightInd w:val="0"/>
        <w:snapToGrid w:val="0"/>
        <w:spacing w:line="5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）项目管理机构。查看项目管理机构主要人员组成表</w:t>
      </w:r>
    </w:p>
    <w:p w14:paraId="28262F90">
      <w:pPr>
        <w:widowControl/>
        <w:adjustRightInd w:val="0"/>
        <w:snapToGrid w:val="0"/>
        <w:spacing w:line="560" w:lineRule="exact"/>
        <w:ind w:firstLine="420" w:firstLineChars="200"/>
        <w:jc w:val="left"/>
        <w:rPr>
          <w:rFonts w:hint="eastAsia" w:ascii="宋体" w:hAnsi="宋体" w:cs="宋体"/>
          <w:color w:val="auto"/>
          <w:highlight w:val="none"/>
          <w:lang w:eastAsia="zh-CN"/>
        </w:rPr>
      </w:pPr>
      <w:r>
        <w:rPr>
          <w:rFonts w:hint="eastAsia" w:ascii="宋体" w:hAnsi="宋体" w:cs="宋体"/>
          <w:color w:val="auto"/>
          <w:highlight w:val="none"/>
          <w:lang w:eastAsia="zh-CN"/>
        </w:rPr>
        <w:t>（</w:t>
      </w:r>
      <w:r>
        <w:rPr>
          <w:rFonts w:hint="eastAsia" w:ascii="宋体" w:hAnsi="宋体" w:cs="宋体"/>
          <w:color w:val="auto"/>
          <w:highlight w:val="none"/>
          <w:lang w:val="en-US" w:eastAsia="zh-CN"/>
        </w:rPr>
        <w:t>9</w:t>
      </w:r>
      <w:r>
        <w:rPr>
          <w:rFonts w:hint="eastAsia" w:ascii="宋体" w:hAnsi="宋体" w:cs="宋体"/>
          <w:color w:val="auto"/>
          <w:highlight w:val="none"/>
          <w:lang w:eastAsia="zh-CN"/>
        </w:rPr>
        <w:t>）</w:t>
      </w:r>
      <w:r>
        <w:rPr>
          <w:rFonts w:hint="eastAsia" w:ascii="宋体" w:hAnsi="宋体" w:cs="宋体"/>
          <w:color w:val="auto"/>
          <w:highlight w:val="none"/>
        </w:rPr>
        <w:t>承诺函：现场施工人员必须有</w:t>
      </w:r>
      <w:r>
        <w:rPr>
          <w:rFonts w:hint="eastAsia" w:ascii="宋体" w:hAnsi="宋体" w:cs="宋体"/>
          <w:color w:val="auto"/>
          <w:highlight w:val="none"/>
          <w:lang w:val="en-US" w:eastAsia="zh-CN"/>
        </w:rPr>
        <w:t>50</w:t>
      </w:r>
      <w:r>
        <w:rPr>
          <w:rFonts w:hint="eastAsia" w:ascii="宋体" w:hAnsi="宋体" w:cs="宋体"/>
          <w:color w:val="auto"/>
          <w:highlight w:val="none"/>
        </w:rPr>
        <w:t>%以上是承包人单位自有人员，否则，按照10000元/人进行处罚。承诺函格式见附件</w:t>
      </w:r>
      <w:r>
        <w:rPr>
          <w:rFonts w:hint="eastAsia" w:ascii="宋体" w:hAnsi="宋体" w:cs="宋体"/>
          <w:color w:val="auto"/>
          <w:highlight w:val="none"/>
          <w:lang w:eastAsia="zh-CN"/>
        </w:rPr>
        <w:t>；</w:t>
      </w:r>
    </w:p>
    <w:p w14:paraId="407804B9">
      <w:pPr>
        <w:spacing w:line="440" w:lineRule="exact"/>
        <w:ind w:firstLine="420" w:firstLineChars="200"/>
        <w:jc w:val="left"/>
        <w:rPr>
          <w:rFonts w:hint="eastAsia" w:ascii="宋体" w:hAnsi="宋体" w:cs="宋体"/>
          <w:color w:val="auto"/>
          <w:highlight w:val="none"/>
          <w:lang w:eastAsia="zh-CN"/>
        </w:rPr>
      </w:pPr>
      <w:r>
        <w:rPr>
          <w:rFonts w:hint="eastAsia" w:ascii="宋体" w:hAnsi="宋体" w:cs="宋体"/>
          <w:color w:val="auto"/>
          <w:highlight w:val="none"/>
          <w:lang w:eastAsia="zh-CN"/>
        </w:rPr>
        <w:t>（</w:t>
      </w:r>
      <w:r>
        <w:rPr>
          <w:rFonts w:hint="eastAsia" w:ascii="宋体" w:hAnsi="宋体" w:cs="宋体"/>
          <w:color w:val="auto"/>
          <w:highlight w:val="none"/>
          <w:lang w:val="en-US" w:eastAsia="zh-CN"/>
        </w:rPr>
        <w:t>10</w:t>
      </w:r>
      <w:r>
        <w:rPr>
          <w:rFonts w:hint="eastAsia" w:ascii="宋体" w:hAnsi="宋体" w:cs="宋体"/>
          <w:color w:val="auto"/>
          <w:highlight w:val="none"/>
          <w:lang w:eastAsia="zh-CN"/>
        </w:rPr>
        <w:t>）</w:t>
      </w:r>
      <w:r>
        <w:rPr>
          <w:rFonts w:hint="eastAsia" w:ascii="宋体" w:hAnsi="宋体" w:cs="宋体"/>
          <w:color w:val="auto"/>
          <w:highlight w:val="none"/>
        </w:rPr>
        <w:t>联合体协议书 （如有）</w:t>
      </w:r>
      <w:r>
        <w:rPr>
          <w:rFonts w:hint="eastAsia" w:ascii="宋体" w:hAnsi="宋体" w:cs="宋体"/>
          <w:color w:val="auto"/>
          <w:highlight w:val="none"/>
          <w:lang w:eastAsia="zh-CN"/>
        </w:rPr>
        <w:t>；</w:t>
      </w:r>
    </w:p>
    <w:p w14:paraId="4F8DE8AA">
      <w:pPr>
        <w:spacing w:line="440" w:lineRule="exact"/>
        <w:ind w:firstLine="420" w:firstLineChars="200"/>
        <w:jc w:val="left"/>
        <w:rPr>
          <w:rFonts w:hint="eastAsia" w:ascii="宋体" w:hAnsi="宋体" w:cs="宋体"/>
          <w:color w:val="auto"/>
          <w:szCs w:val="21"/>
          <w:highlight w:val="none"/>
        </w:rPr>
      </w:pPr>
      <w:r>
        <w:rPr>
          <w:rFonts w:hint="eastAsia" w:ascii="宋体" w:hAnsi="宋体" w:cs="宋体"/>
          <w:color w:val="auto"/>
          <w:highlight w:val="none"/>
          <w:lang w:eastAsia="zh-CN"/>
        </w:rPr>
        <w:t>（</w:t>
      </w:r>
      <w:r>
        <w:rPr>
          <w:rFonts w:hint="eastAsia" w:ascii="宋体" w:hAnsi="宋体" w:cs="宋体"/>
          <w:color w:val="auto"/>
          <w:highlight w:val="none"/>
          <w:lang w:val="en-US" w:eastAsia="zh-CN"/>
        </w:rPr>
        <w:t>11</w:t>
      </w:r>
      <w:r>
        <w:rPr>
          <w:rFonts w:hint="eastAsia" w:ascii="宋体" w:hAnsi="宋体" w:cs="宋体"/>
          <w:color w:val="auto"/>
          <w:highlight w:val="none"/>
          <w:lang w:eastAsia="zh-CN"/>
        </w:rPr>
        <w:t>）</w:t>
      </w:r>
      <w:r>
        <w:rPr>
          <w:rFonts w:hint="eastAsia" w:ascii="宋体" w:hAnsi="宋体" w:cs="宋体"/>
          <w:color w:val="auto"/>
          <w:szCs w:val="21"/>
          <w:highlight w:val="none"/>
          <w:lang w:val="en-US" w:eastAsia="zh-CN"/>
        </w:rPr>
        <w:t>资信评分评审所需材料及</w:t>
      </w:r>
      <w:r>
        <w:rPr>
          <w:rFonts w:hint="eastAsia" w:ascii="宋体" w:hAnsi="宋体" w:cs="宋体"/>
          <w:color w:val="auto"/>
          <w:szCs w:val="21"/>
          <w:highlight w:val="none"/>
        </w:rPr>
        <w:t>投标人认为需要的其它证明材料</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如有</w:t>
      </w:r>
      <w:r>
        <w:rPr>
          <w:rFonts w:hint="eastAsia" w:ascii="宋体" w:hAnsi="宋体" w:cs="宋体"/>
          <w:color w:val="auto"/>
          <w:szCs w:val="21"/>
          <w:highlight w:val="none"/>
          <w:lang w:eastAsia="zh-CN"/>
        </w:rPr>
        <w:t>）</w:t>
      </w:r>
      <w:r>
        <w:rPr>
          <w:rFonts w:hint="eastAsia" w:ascii="宋体" w:hAnsi="宋体" w:cs="宋体"/>
          <w:color w:val="auto"/>
          <w:szCs w:val="21"/>
          <w:highlight w:val="none"/>
        </w:rPr>
        <w:t>。</w:t>
      </w:r>
    </w:p>
    <w:p w14:paraId="34B01861">
      <w:pPr>
        <w:spacing w:line="360" w:lineRule="auto"/>
        <w:jc w:val="center"/>
        <w:rPr>
          <w:rFonts w:ascii="宋体"/>
          <w:b/>
          <w:color w:val="auto"/>
          <w:sz w:val="28"/>
          <w:szCs w:val="28"/>
          <w:highlight w:val="none"/>
        </w:rPr>
      </w:pPr>
      <w:r>
        <w:rPr>
          <w:rFonts w:hint="eastAsia"/>
          <w:b/>
          <w:color w:val="auto"/>
          <w:sz w:val="28"/>
          <w:szCs w:val="28"/>
          <w:highlight w:val="none"/>
        </w:rPr>
        <w:br w:type="page"/>
      </w:r>
      <w:r>
        <w:rPr>
          <w:rFonts w:hint="eastAsia"/>
          <w:b/>
          <w:color w:val="auto"/>
          <w:sz w:val="28"/>
          <w:szCs w:val="28"/>
          <w:highlight w:val="none"/>
        </w:rPr>
        <w:t>（1）法定代表人身份证明或授权委托书</w:t>
      </w:r>
    </w:p>
    <w:p w14:paraId="17D65673">
      <w:pPr>
        <w:pStyle w:val="77"/>
        <w:keepNext w:val="0"/>
        <w:keepLines w:val="0"/>
        <w:pageBreakBefore w:val="0"/>
        <w:widowControl/>
        <w:kinsoku/>
        <w:wordWrap/>
        <w:overflowPunct/>
        <w:topLinePunct w:val="0"/>
        <w:autoSpaceDE/>
        <w:autoSpaceDN/>
        <w:bidi w:val="0"/>
        <w:adjustRightInd/>
        <w:snapToGrid/>
        <w:spacing w:before="157" w:beforeLines="50" w:after="157" w:afterLines="50" w:line="440" w:lineRule="exact"/>
        <w:textAlignment w:val="baseline"/>
        <w:rPr>
          <w:rFonts w:ascii="宋体"/>
          <w:b/>
          <w:color w:val="auto"/>
          <w:sz w:val="24"/>
          <w:szCs w:val="24"/>
          <w:highlight w:val="none"/>
        </w:rPr>
      </w:pPr>
      <w:bookmarkStart w:id="851" w:name="_Toc503196197"/>
      <w:bookmarkStart w:id="852" w:name="_Toc506107356"/>
      <w:bookmarkStart w:id="853" w:name="_Toc26598"/>
      <w:r>
        <w:rPr>
          <w:rFonts w:hint="eastAsia" w:ascii="宋体"/>
          <w:color w:val="auto"/>
          <w:sz w:val="24"/>
          <w:szCs w:val="24"/>
          <w:highlight w:val="none"/>
        </w:rPr>
        <w:t>1、法定代表人身份证明</w:t>
      </w:r>
    </w:p>
    <w:p w14:paraId="479D50A7">
      <w:pPr>
        <w:keepNext w:val="0"/>
        <w:keepLines w:val="0"/>
        <w:pageBreakBefore w:val="0"/>
        <w:kinsoku/>
        <w:wordWrap/>
        <w:overflowPunct/>
        <w:topLinePunct w:val="0"/>
        <w:autoSpaceDE/>
        <w:autoSpaceDN/>
        <w:bidi w:val="0"/>
        <w:adjustRightInd/>
        <w:snapToGrid/>
        <w:spacing w:line="440" w:lineRule="exact"/>
        <w:rPr>
          <w:rFonts w:ascii="宋体"/>
          <w:color w:val="auto"/>
          <w:sz w:val="24"/>
          <w:highlight w:val="none"/>
        </w:rPr>
      </w:pPr>
      <w:r>
        <w:rPr>
          <w:rFonts w:hint="eastAsia" w:ascii="宋体"/>
          <w:color w:val="auto"/>
          <w:sz w:val="24"/>
          <w:highlight w:val="none"/>
        </w:rPr>
        <w:t>投标人名称：</w:t>
      </w:r>
      <w:r>
        <w:rPr>
          <w:rFonts w:hint="eastAsia" w:ascii="宋体"/>
          <w:color w:val="auto"/>
          <w:sz w:val="24"/>
          <w:highlight w:val="none"/>
          <w:u w:val="single"/>
        </w:rPr>
        <w:t xml:space="preserve">                            </w:t>
      </w:r>
    </w:p>
    <w:p w14:paraId="733643DD">
      <w:pPr>
        <w:keepNext w:val="0"/>
        <w:keepLines w:val="0"/>
        <w:pageBreakBefore w:val="0"/>
        <w:kinsoku/>
        <w:wordWrap/>
        <w:overflowPunct/>
        <w:topLinePunct w:val="0"/>
        <w:autoSpaceDE/>
        <w:autoSpaceDN/>
        <w:bidi w:val="0"/>
        <w:adjustRightInd/>
        <w:snapToGrid/>
        <w:spacing w:line="440" w:lineRule="exact"/>
        <w:rPr>
          <w:rFonts w:ascii="宋体"/>
          <w:color w:val="auto"/>
          <w:sz w:val="24"/>
          <w:highlight w:val="none"/>
        </w:rPr>
      </w:pPr>
      <w:r>
        <w:rPr>
          <w:rFonts w:hint="eastAsia" w:ascii="宋体"/>
          <w:color w:val="auto"/>
          <w:sz w:val="24"/>
          <w:highlight w:val="none"/>
        </w:rPr>
        <w:t>单位性质：</w:t>
      </w:r>
      <w:r>
        <w:rPr>
          <w:rFonts w:hint="eastAsia" w:ascii="宋体"/>
          <w:color w:val="auto"/>
          <w:sz w:val="24"/>
          <w:highlight w:val="none"/>
          <w:u w:val="single"/>
        </w:rPr>
        <w:t xml:space="preserve">                              </w:t>
      </w:r>
    </w:p>
    <w:p w14:paraId="34CF4938">
      <w:pPr>
        <w:keepNext w:val="0"/>
        <w:keepLines w:val="0"/>
        <w:pageBreakBefore w:val="0"/>
        <w:kinsoku/>
        <w:wordWrap/>
        <w:overflowPunct/>
        <w:topLinePunct w:val="0"/>
        <w:autoSpaceDE/>
        <w:autoSpaceDN/>
        <w:bidi w:val="0"/>
        <w:adjustRightInd/>
        <w:snapToGrid/>
        <w:spacing w:line="440" w:lineRule="exact"/>
        <w:rPr>
          <w:rFonts w:ascii="宋体"/>
          <w:color w:val="auto"/>
          <w:sz w:val="24"/>
          <w:highlight w:val="none"/>
        </w:rPr>
      </w:pPr>
      <w:r>
        <w:rPr>
          <w:rFonts w:hint="eastAsia" w:ascii="宋体"/>
          <w:color w:val="auto"/>
          <w:sz w:val="24"/>
          <w:highlight w:val="none"/>
        </w:rPr>
        <w:t>地    址：</w:t>
      </w:r>
      <w:r>
        <w:rPr>
          <w:rFonts w:hint="eastAsia" w:ascii="宋体"/>
          <w:color w:val="auto"/>
          <w:sz w:val="24"/>
          <w:highlight w:val="none"/>
          <w:u w:val="single"/>
        </w:rPr>
        <w:t xml:space="preserve">                              </w:t>
      </w:r>
    </w:p>
    <w:p w14:paraId="246246B0">
      <w:pPr>
        <w:keepNext w:val="0"/>
        <w:keepLines w:val="0"/>
        <w:pageBreakBefore w:val="0"/>
        <w:kinsoku/>
        <w:wordWrap/>
        <w:overflowPunct/>
        <w:topLinePunct w:val="0"/>
        <w:autoSpaceDE/>
        <w:autoSpaceDN/>
        <w:bidi w:val="0"/>
        <w:adjustRightInd/>
        <w:snapToGrid/>
        <w:spacing w:line="440" w:lineRule="exact"/>
        <w:rPr>
          <w:rFonts w:ascii="宋体"/>
          <w:color w:val="auto"/>
          <w:sz w:val="24"/>
          <w:highlight w:val="none"/>
        </w:rPr>
      </w:pPr>
      <w:r>
        <w:rPr>
          <w:rFonts w:hint="eastAsia" w:ascii="宋体"/>
          <w:color w:val="auto"/>
          <w:sz w:val="24"/>
          <w:highlight w:val="none"/>
        </w:rPr>
        <w:t>成立时间：</w:t>
      </w:r>
      <w:r>
        <w:rPr>
          <w:rFonts w:hint="eastAsia" w:ascii="宋体"/>
          <w:color w:val="auto"/>
          <w:sz w:val="24"/>
          <w:highlight w:val="none"/>
          <w:u w:val="single"/>
        </w:rPr>
        <w:t xml:space="preserve">     </w:t>
      </w:r>
      <w:r>
        <w:rPr>
          <w:rFonts w:hint="eastAsia" w:ascii="宋体"/>
          <w:color w:val="auto"/>
          <w:sz w:val="24"/>
          <w:highlight w:val="none"/>
        </w:rPr>
        <w:t>年</w:t>
      </w:r>
      <w:r>
        <w:rPr>
          <w:rFonts w:hint="eastAsia" w:ascii="宋体"/>
          <w:color w:val="auto"/>
          <w:sz w:val="24"/>
          <w:highlight w:val="none"/>
          <w:u w:val="single"/>
        </w:rPr>
        <w:t xml:space="preserve">   </w:t>
      </w:r>
      <w:r>
        <w:rPr>
          <w:rFonts w:hint="eastAsia" w:ascii="宋体"/>
          <w:color w:val="auto"/>
          <w:sz w:val="24"/>
          <w:highlight w:val="none"/>
        </w:rPr>
        <w:t>月</w:t>
      </w:r>
      <w:r>
        <w:rPr>
          <w:rFonts w:hint="eastAsia" w:ascii="宋体"/>
          <w:color w:val="auto"/>
          <w:sz w:val="24"/>
          <w:highlight w:val="none"/>
          <w:u w:val="single"/>
        </w:rPr>
        <w:t xml:space="preserve">   </w:t>
      </w:r>
      <w:r>
        <w:rPr>
          <w:rFonts w:hint="eastAsia" w:ascii="宋体"/>
          <w:color w:val="auto"/>
          <w:sz w:val="24"/>
          <w:highlight w:val="none"/>
        </w:rPr>
        <w:t>日</w:t>
      </w:r>
    </w:p>
    <w:p w14:paraId="7114ACAA">
      <w:pPr>
        <w:keepNext w:val="0"/>
        <w:keepLines w:val="0"/>
        <w:pageBreakBefore w:val="0"/>
        <w:kinsoku/>
        <w:wordWrap/>
        <w:overflowPunct/>
        <w:topLinePunct w:val="0"/>
        <w:autoSpaceDE/>
        <w:autoSpaceDN/>
        <w:bidi w:val="0"/>
        <w:adjustRightInd/>
        <w:snapToGrid/>
        <w:spacing w:line="440" w:lineRule="exact"/>
        <w:rPr>
          <w:rFonts w:ascii="宋体"/>
          <w:color w:val="auto"/>
          <w:sz w:val="24"/>
          <w:highlight w:val="none"/>
        </w:rPr>
      </w:pPr>
      <w:r>
        <w:rPr>
          <w:rFonts w:hint="eastAsia" w:ascii="宋体"/>
          <w:color w:val="auto"/>
          <w:sz w:val="24"/>
          <w:highlight w:val="none"/>
        </w:rPr>
        <w:t>经营期限：</w:t>
      </w:r>
      <w:r>
        <w:rPr>
          <w:rFonts w:hint="eastAsia" w:ascii="宋体"/>
          <w:color w:val="auto"/>
          <w:sz w:val="24"/>
          <w:highlight w:val="none"/>
          <w:u w:val="single"/>
        </w:rPr>
        <w:t xml:space="preserve">                              </w:t>
      </w:r>
    </w:p>
    <w:p w14:paraId="51694F75">
      <w:pPr>
        <w:keepNext w:val="0"/>
        <w:keepLines w:val="0"/>
        <w:pageBreakBefore w:val="0"/>
        <w:kinsoku/>
        <w:wordWrap/>
        <w:overflowPunct/>
        <w:topLinePunct w:val="0"/>
        <w:autoSpaceDE/>
        <w:autoSpaceDN/>
        <w:bidi w:val="0"/>
        <w:adjustRightInd/>
        <w:snapToGrid/>
        <w:spacing w:line="440" w:lineRule="exact"/>
        <w:jc w:val="left"/>
        <w:rPr>
          <w:rFonts w:ascii="宋体"/>
          <w:color w:val="auto"/>
          <w:sz w:val="24"/>
          <w:highlight w:val="none"/>
          <w:u w:val="single"/>
        </w:rPr>
      </w:pPr>
      <w:r>
        <w:rPr>
          <w:rFonts w:hint="eastAsia" w:ascii="宋体"/>
          <w:color w:val="auto"/>
          <w:spacing w:val="240"/>
          <w:sz w:val="24"/>
          <w:highlight w:val="none"/>
        </w:rPr>
        <w:t>姓</w:t>
      </w:r>
      <w:r>
        <w:rPr>
          <w:rFonts w:hint="eastAsia" w:ascii="宋体"/>
          <w:color w:val="auto"/>
          <w:sz w:val="24"/>
          <w:highlight w:val="none"/>
        </w:rPr>
        <w:t>名：</w:t>
      </w:r>
      <w:r>
        <w:rPr>
          <w:rFonts w:hint="eastAsia" w:ascii="宋体"/>
          <w:color w:val="auto"/>
          <w:sz w:val="24"/>
          <w:highlight w:val="none"/>
          <w:u w:val="single"/>
        </w:rPr>
        <w:t xml:space="preserve">     </w:t>
      </w:r>
      <w:r>
        <w:rPr>
          <w:rFonts w:hint="eastAsia" w:ascii="宋体"/>
          <w:color w:val="auto"/>
          <w:sz w:val="24"/>
          <w:highlight w:val="none"/>
        </w:rPr>
        <w:t>身份证号码：</w:t>
      </w:r>
      <w:r>
        <w:rPr>
          <w:rFonts w:hint="eastAsia" w:ascii="宋体"/>
          <w:color w:val="auto"/>
          <w:sz w:val="24"/>
          <w:highlight w:val="none"/>
          <w:u w:val="single"/>
        </w:rPr>
        <w:t xml:space="preserve">     </w:t>
      </w:r>
      <w:r>
        <w:rPr>
          <w:rFonts w:hint="eastAsia" w:ascii="宋体"/>
          <w:color w:val="auto"/>
          <w:sz w:val="24"/>
          <w:highlight w:val="none"/>
        </w:rPr>
        <w:t>性别</w:t>
      </w:r>
      <w:r>
        <w:rPr>
          <w:rFonts w:hint="eastAsia" w:ascii="宋体"/>
          <w:color w:val="auto"/>
          <w:sz w:val="24"/>
          <w:highlight w:val="none"/>
          <w:u w:val="single"/>
        </w:rPr>
        <w:t xml:space="preserve">：    </w:t>
      </w:r>
      <w:r>
        <w:rPr>
          <w:rFonts w:hint="eastAsia" w:ascii="宋体"/>
          <w:color w:val="auto"/>
          <w:sz w:val="24"/>
          <w:highlight w:val="none"/>
        </w:rPr>
        <w:t>年龄：</w:t>
      </w:r>
      <w:r>
        <w:rPr>
          <w:rFonts w:hint="eastAsia" w:ascii="宋体"/>
          <w:color w:val="auto"/>
          <w:sz w:val="24"/>
          <w:highlight w:val="none"/>
          <w:u w:val="single"/>
          <w:lang w:val="en-US" w:eastAsia="zh-CN"/>
        </w:rPr>
        <w:t xml:space="preserve"> </w:t>
      </w:r>
      <w:r>
        <w:rPr>
          <w:rFonts w:hint="eastAsia" w:ascii="宋体"/>
          <w:color w:val="auto"/>
          <w:sz w:val="24"/>
          <w:highlight w:val="none"/>
          <w:u w:val="single"/>
        </w:rPr>
        <w:t xml:space="preserve">  </w:t>
      </w:r>
      <w:r>
        <w:rPr>
          <w:rFonts w:hint="eastAsia" w:ascii="宋体"/>
          <w:color w:val="auto"/>
          <w:sz w:val="24"/>
          <w:highlight w:val="none"/>
        </w:rPr>
        <w:t>职务：</w:t>
      </w:r>
      <w:r>
        <w:rPr>
          <w:rFonts w:hint="eastAsia" w:ascii="宋体"/>
          <w:color w:val="auto"/>
          <w:sz w:val="24"/>
          <w:highlight w:val="none"/>
          <w:u w:val="single"/>
        </w:rPr>
        <w:t xml:space="preserve">     </w:t>
      </w:r>
      <w:r>
        <w:rPr>
          <w:rFonts w:hint="eastAsia" w:ascii="宋体"/>
          <w:color w:val="auto"/>
          <w:sz w:val="24"/>
          <w:highlight w:val="none"/>
        </w:rPr>
        <w:t>，系</w:t>
      </w:r>
      <w:r>
        <w:rPr>
          <w:rFonts w:hint="eastAsia" w:ascii="宋体"/>
          <w:color w:val="auto"/>
          <w:sz w:val="24"/>
          <w:highlight w:val="none"/>
          <w:u w:val="single"/>
        </w:rPr>
        <w:t xml:space="preserve">     （投标人名称）</w:t>
      </w:r>
      <w:r>
        <w:rPr>
          <w:rFonts w:hint="eastAsia" w:ascii="宋体"/>
          <w:color w:val="auto"/>
          <w:sz w:val="24"/>
          <w:highlight w:val="none"/>
        </w:rPr>
        <w:t>的法定代表人。</w:t>
      </w:r>
    </w:p>
    <w:p w14:paraId="36C93266">
      <w:pPr>
        <w:keepNext w:val="0"/>
        <w:keepLines w:val="0"/>
        <w:pageBreakBefore w:val="0"/>
        <w:kinsoku/>
        <w:wordWrap/>
        <w:overflowPunct/>
        <w:topLinePunct w:val="0"/>
        <w:autoSpaceDE/>
        <w:autoSpaceDN/>
        <w:bidi w:val="0"/>
        <w:adjustRightInd/>
        <w:snapToGrid/>
        <w:spacing w:line="440" w:lineRule="exact"/>
        <w:rPr>
          <w:rFonts w:ascii="宋体"/>
          <w:color w:val="auto"/>
          <w:sz w:val="24"/>
          <w:highlight w:val="none"/>
        </w:rPr>
      </w:pPr>
      <w:r>
        <w:rPr>
          <w:rFonts w:hint="eastAsia" w:ascii="宋体"/>
          <w:color w:val="auto"/>
          <w:sz w:val="24"/>
          <w:highlight w:val="none"/>
        </w:rPr>
        <w:t>特此证明。</w:t>
      </w:r>
    </w:p>
    <w:p w14:paraId="63967EC5">
      <w:pPr>
        <w:keepNext w:val="0"/>
        <w:keepLines w:val="0"/>
        <w:pageBreakBefore w:val="0"/>
        <w:kinsoku/>
        <w:wordWrap/>
        <w:overflowPunct/>
        <w:topLinePunct w:val="0"/>
        <w:autoSpaceDE/>
        <w:autoSpaceDN/>
        <w:bidi w:val="0"/>
        <w:adjustRightInd/>
        <w:snapToGrid/>
        <w:spacing w:line="440" w:lineRule="exact"/>
        <w:ind w:firstLine="3720" w:firstLineChars="1550"/>
        <w:rPr>
          <w:rFonts w:ascii="宋体"/>
          <w:color w:val="auto"/>
          <w:sz w:val="24"/>
          <w:highlight w:val="none"/>
        </w:rPr>
      </w:pPr>
      <w:r>
        <w:rPr>
          <w:rFonts w:hint="eastAsia" w:ascii="宋体"/>
          <w:color w:val="auto"/>
          <w:sz w:val="24"/>
          <w:highlight w:val="none"/>
        </w:rPr>
        <w:t>投标人：</w:t>
      </w:r>
      <w:r>
        <w:rPr>
          <w:rFonts w:hint="eastAsia" w:ascii="宋体"/>
          <w:color w:val="auto"/>
          <w:sz w:val="24"/>
          <w:highlight w:val="none"/>
          <w:u w:val="single"/>
        </w:rPr>
        <w:t xml:space="preserve">            （</w:t>
      </w:r>
      <w:r>
        <w:rPr>
          <w:rFonts w:hint="eastAsia" w:ascii="宋体"/>
          <w:color w:val="auto"/>
          <w:sz w:val="24"/>
          <w:highlight w:val="none"/>
          <w:u w:val="single"/>
          <w:lang w:val="en-US" w:eastAsia="zh-CN"/>
        </w:rPr>
        <w:t>盖</w:t>
      </w:r>
      <w:r>
        <w:rPr>
          <w:rFonts w:hint="eastAsia" w:ascii="宋体"/>
          <w:color w:val="auto"/>
          <w:sz w:val="24"/>
          <w:highlight w:val="none"/>
          <w:u w:val="single"/>
        </w:rPr>
        <w:t>章）</w:t>
      </w:r>
    </w:p>
    <w:p w14:paraId="609E4CA1">
      <w:pPr>
        <w:keepNext w:val="0"/>
        <w:keepLines w:val="0"/>
        <w:pageBreakBefore w:val="0"/>
        <w:kinsoku/>
        <w:wordWrap/>
        <w:overflowPunct/>
        <w:topLinePunct w:val="0"/>
        <w:autoSpaceDE/>
        <w:autoSpaceDN/>
        <w:bidi w:val="0"/>
        <w:adjustRightInd/>
        <w:snapToGrid/>
        <w:spacing w:line="440" w:lineRule="exact"/>
        <w:rPr>
          <w:rFonts w:ascii="宋体"/>
          <w:color w:val="auto"/>
          <w:sz w:val="24"/>
          <w:highlight w:val="none"/>
        </w:rPr>
      </w:pPr>
      <w:r>
        <w:rPr>
          <w:rFonts w:hint="eastAsia" w:ascii="宋体"/>
          <w:color w:val="auto"/>
          <w:sz w:val="24"/>
          <w:highlight w:val="none"/>
        </w:rPr>
        <w:t xml:space="preserve">                                        年    月     日</w:t>
      </w:r>
    </w:p>
    <w:p w14:paraId="29517A5B">
      <w:pPr>
        <w:keepNext w:val="0"/>
        <w:keepLines w:val="0"/>
        <w:pageBreakBefore w:val="0"/>
        <w:widowControl w:val="0"/>
        <w:kinsoku/>
        <w:wordWrap/>
        <w:overflowPunct/>
        <w:topLinePunct w:val="0"/>
        <w:autoSpaceDE/>
        <w:autoSpaceDN/>
        <w:bidi w:val="0"/>
        <w:adjustRightInd/>
        <w:snapToGrid/>
        <w:spacing w:line="240" w:lineRule="atLeast"/>
        <w:textAlignment w:val="auto"/>
        <w:rPr>
          <w:color w:val="auto"/>
          <w:highlight w:val="none"/>
        </w:rPr>
      </w:pPr>
    </w:p>
    <w:p w14:paraId="5333D614">
      <w:pPr>
        <w:pStyle w:val="77"/>
        <w:keepNext w:val="0"/>
        <w:keepLines w:val="0"/>
        <w:pageBreakBefore w:val="0"/>
        <w:widowControl/>
        <w:kinsoku/>
        <w:wordWrap/>
        <w:overflowPunct/>
        <w:topLinePunct w:val="0"/>
        <w:autoSpaceDE/>
        <w:autoSpaceDN/>
        <w:bidi w:val="0"/>
        <w:adjustRightInd/>
        <w:snapToGrid/>
        <w:spacing w:before="157" w:beforeLines="50" w:after="157" w:afterLines="50" w:line="440" w:lineRule="exact"/>
        <w:textAlignment w:val="baseline"/>
        <w:rPr>
          <w:rFonts w:ascii="宋体"/>
          <w:color w:val="auto"/>
          <w:sz w:val="24"/>
          <w:szCs w:val="24"/>
          <w:highlight w:val="none"/>
        </w:rPr>
      </w:pPr>
      <w:r>
        <w:rPr>
          <w:rFonts w:hint="eastAsia" w:ascii="宋体"/>
          <w:color w:val="auto"/>
          <w:sz w:val="24"/>
          <w:szCs w:val="24"/>
          <w:highlight w:val="none"/>
        </w:rPr>
        <w:t>或1、授权委托书</w:t>
      </w:r>
    </w:p>
    <w:p w14:paraId="36F42F5B">
      <w:pPr>
        <w:keepNext w:val="0"/>
        <w:keepLines w:val="0"/>
        <w:pageBreakBefore w:val="0"/>
        <w:kinsoku/>
        <w:wordWrap/>
        <w:overflowPunct/>
        <w:topLinePunct w:val="0"/>
        <w:autoSpaceDE/>
        <w:autoSpaceDN/>
        <w:bidi w:val="0"/>
        <w:adjustRightInd/>
        <w:snapToGrid/>
        <w:spacing w:line="440" w:lineRule="exact"/>
        <w:ind w:firstLine="480" w:firstLineChars="200"/>
        <w:jc w:val="left"/>
        <w:rPr>
          <w:rFonts w:ascii="宋体"/>
          <w:color w:val="auto"/>
          <w:sz w:val="24"/>
          <w:highlight w:val="none"/>
        </w:rPr>
      </w:pPr>
      <w:r>
        <w:rPr>
          <w:rFonts w:hint="eastAsia" w:ascii="宋体"/>
          <w:color w:val="auto"/>
          <w:sz w:val="24"/>
          <w:highlight w:val="none"/>
        </w:rPr>
        <w:t>本人</w:t>
      </w:r>
      <w:r>
        <w:rPr>
          <w:rFonts w:hint="eastAsia" w:ascii="宋体"/>
          <w:color w:val="auto"/>
          <w:sz w:val="24"/>
          <w:highlight w:val="none"/>
          <w:u w:val="single"/>
        </w:rPr>
        <w:t xml:space="preserve"> （姓名）</w:t>
      </w:r>
      <w:r>
        <w:rPr>
          <w:rFonts w:hint="eastAsia" w:ascii="宋体"/>
          <w:color w:val="auto"/>
          <w:sz w:val="24"/>
          <w:highlight w:val="none"/>
        </w:rPr>
        <w:t>系</w:t>
      </w:r>
      <w:r>
        <w:rPr>
          <w:rFonts w:hint="eastAsia" w:ascii="宋体"/>
          <w:color w:val="auto"/>
          <w:sz w:val="24"/>
          <w:highlight w:val="none"/>
          <w:u w:val="single"/>
        </w:rPr>
        <w:t>（投标人）</w:t>
      </w:r>
      <w:r>
        <w:rPr>
          <w:rFonts w:hint="eastAsia" w:ascii="宋体"/>
          <w:color w:val="auto"/>
          <w:sz w:val="24"/>
          <w:highlight w:val="none"/>
        </w:rPr>
        <w:t>的法定代表人，现委托</w:t>
      </w:r>
      <w:r>
        <w:rPr>
          <w:rFonts w:hint="eastAsia" w:ascii="宋体"/>
          <w:color w:val="auto"/>
          <w:sz w:val="24"/>
          <w:highlight w:val="none"/>
          <w:u w:val="single"/>
        </w:rPr>
        <w:t>（姓名）</w:t>
      </w:r>
      <w:r>
        <w:rPr>
          <w:rFonts w:hint="eastAsia" w:ascii="宋体"/>
          <w:color w:val="auto"/>
          <w:sz w:val="24"/>
          <w:highlight w:val="none"/>
        </w:rPr>
        <w:t>为我方代理人。代理人根据授权，以我方名义签署、澄清、说明、补正、递交、撤回、修改</w:t>
      </w:r>
      <w:r>
        <w:rPr>
          <w:rFonts w:hint="eastAsia" w:ascii="宋体"/>
          <w:color w:val="auto"/>
          <w:sz w:val="24"/>
          <w:highlight w:val="none"/>
          <w:u w:val="single"/>
        </w:rPr>
        <w:t xml:space="preserve"> “   ”(项目名称）</w:t>
      </w:r>
      <w:r>
        <w:rPr>
          <w:rFonts w:hint="eastAsia" w:ascii="宋体"/>
          <w:color w:val="auto"/>
          <w:sz w:val="24"/>
          <w:highlight w:val="none"/>
        </w:rPr>
        <w:t>投标文件，全权处理与该项目投标、评审答疑、签订合同以及与合同执行有关的一切事务，其法律后果由我方承担。</w:t>
      </w:r>
    </w:p>
    <w:p w14:paraId="7777EA8D">
      <w:pPr>
        <w:keepNext w:val="0"/>
        <w:keepLines w:val="0"/>
        <w:pageBreakBefore w:val="0"/>
        <w:kinsoku/>
        <w:wordWrap/>
        <w:overflowPunct/>
        <w:topLinePunct w:val="0"/>
        <w:autoSpaceDE/>
        <w:autoSpaceDN/>
        <w:bidi w:val="0"/>
        <w:adjustRightInd/>
        <w:snapToGrid/>
        <w:spacing w:line="440" w:lineRule="exact"/>
        <w:ind w:firstLine="480" w:firstLineChars="200"/>
        <w:rPr>
          <w:rFonts w:ascii="宋体"/>
          <w:color w:val="auto"/>
          <w:sz w:val="24"/>
          <w:highlight w:val="none"/>
        </w:rPr>
      </w:pPr>
      <w:r>
        <w:rPr>
          <w:rFonts w:hint="eastAsia" w:ascii="宋体"/>
          <w:color w:val="auto"/>
          <w:sz w:val="24"/>
          <w:highlight w:val="none"/>
        </w:rPr>
        <w:t>委托期限：</w:t>
      </w:r>
      <w:r>
        <w:rPr>
          <w:rFonts w:hint="eastAsia" w:ascii="宋体"/>
          <w:color w:val="auto"/>
          <w:sz w:val="24"/>
          <w:highlight w:val="none"/>
          <w:u w:val="single"/>
          <w:lang w:val="en-US" w:eastAsia="zh-CN"/>
        </w:rPr>
        <w:t xml:space="preserve">              </w:t>
      </w:r>
      <w:r>
        <w:rPr>
          <w:rFonts w:hint="eastAsia" w:ascii="宋体" w:cs="宋体"/>
          <w:color w:val="auto"/>
          <w:sz w:val="24"/>
          <w:highlight w:val="none"/>
        </w:rPr>
        <w:t>。</w:t>
      </w:r>
    </w:p>
    <w:p w14:paraId="34923154">
      <w:pPr>
        <w:keepNext w:val="0"/>
        <w:keepLines w:val="0"/>
        <w:pageBreakBefore w:val="0"/>
        <w:kinsoku/>
        <w:wordWrap/>
        <w:overflowPunct/>
        <w:topLinePunct w:val="0"/>
        <w:autoSpaceDE/>
        <w:autoSpaceDN/>
        <w:bidi w:val="0"/>
        <w:adjustRightInd/>
        <w:snapToGrid/>
        <w:spacing w:line="440" w:lineRule="exact"/>
        <w:ind w:firstLine="480" w:firstLineChars="200"/>
        <w:rPr>
          <w:rFonts w:ascii="宋体"/>
          <w:color w:val="auto"/>
          <w:sz w:val="24"/>
          <w:highlight w:val="none"/>
        </w:rPr>
      </w:pPr>
      <w:r>
        <w:rPr>
          <w:rFonts w:hint="eastAsia" w:ascii="宋体"/>
          <w:color w:val="auto"/>
          <w:sz w:val="24"/>
          <w:highlight w:val="none"/>
        </w:rPr>
        <w:t>代理人无转委托权。</w:t>
      </w:r>
    </w:p>
    <w:p w14:paraId="39259623">
      <w:pPr>
        <w:keepNext w:val="0"/>
        <w:keepLines w:val="0"/>
        <w:pageBreakBefore w:val="0"/>
        <w:kinsoku/>
        <w:wordWrap/>
        <w:overflowPunct/>
        <w:topLinePunct w:val="0"/>
        <w:autoSpaceDE/>
        <w:autoSpaceDN/>
        <w:bidi w:val="0"/>
        <w:adjustRightInd/>
        <w:snapToGrid/>
        <w:spacing w:line="440" w:lineRule="exact"/>
        <w:ind w:firstLine="480" w:firstLineChars="200"/>
        <w:rPr>
          <w:rFonts w:ascii="宋体"/>
          <w:b/>
          <w:color w:val="auto"/>
          <w:sz w:val="24"/>
          <w:highlight w:val="none"/>
        </w:rPr>
      </w:pPr>
      <w:r>
        <w:rPr>
          <w:rFonts w:hint="eastAsia" w:ascii="宋体"/>
          <w:color w:val="auto"/>
          <w:sz w:val="24"/>
          <w:highlight w:val="none"/>
        </w:rPr>
        <w:t>附：</w:t>
      </w:r>
      <w:r>
        <w:rPr>
          <w:rFonts w:hint="eastAsia" w:ascii="宋体"/>
          <w:b/>
          <w:color w:val="auto"/>
          <w:sz w:val="24"/>
          <w:highlight w:val="none"/>
        </w:rPr>
        <w:t>委托代理人有效身份证扫描件</w:t>
      </w:r>
    </w:p>
    <w:p w14:paraId="44983DE0">
      <w:pPr>
        <w:keepNext w:val="0"/>
        <w:keepLines w:val="0"/>
        <w:pageBreakBefore w:val="0"/>
        <w:kinsoku/>
        <w:wordWrap/>
        <w:overflowPunct/>
        <w:topLinePunct w:val="0"/>
        <w:autoSpaceDE/>
        <w:autoSpaceDN/>
        <w:bidi w:val="0"/>
        <w:adjustRightInd/>
        <w:snapToGrid/>
        <w:spacing w:line="440" w:lineRule="exact"/>
        <w:ind w:firstLine="964" w:firstLineChars="400"/>
        <w:rPr>
          <w:rFonts w:ascii="宋体"/>
          <w:b/>
          <w:color w:val="auto"/>
          <w:sz w:val="24"/>
          <w:highlight w:val="none"/>
        </w:rPr>
      </w:pPr>
      <w:r>
        <w:rPr>
          <w:rFonts w:hint="eastAsia" w:ascii="宋体"/>
          <w:b/>
          <w:color w:val="auto"/>
          <w:sz w:val="24"/>
          <w:highlight w:val="none"/>
        </w:rPr>
        <w:t>法定代表人有效身份证扫描件</w:t>
      </w:r>
    </w:p>
    <w:p w14:paraId="11162A0F">
      <w:pPr>
        <w:keepNext w:val="0"/>
        <w:keepLines w:val="0"/>
        <w:pageBreakBefore w:val="0"/>
        <w:kinsoku/>
        <w:wordWrap/>
        <w:overflowPunct/>
        <w:topLinePunct w:val="0"/>
        <w:autoSpaceDE/>
        <w:autoSpaceDN/>
        <w:bidi w:val="0"/>
        <w:adjustRightInd/>
        <w:snapToGrid/>
        <w:spacing w:line="440" w:lineRule="exact"/>
        <w:ind w:firstLine="833" w:firstLineChars="397"/>
        <w:rPr>
          <w:color w:val="auto"/>
          <w:highlight w:val="none"/>
        </w:rPr>
      </w:pPr>
    </w:p>
    <w:p w14:paraId="3DE6CC4E">
      <w:pPr>
        <w:keepNext w:val="0"/>
        <w:keepLines w:val="0"/>
        <w:pageBreakBefore w:val="0"/>
        <w:kinsoku/>
        <w:wordWrap/>
        <w:overflowPunct/>
        <w:topLinePunct w:val="0"/>
        <w:autoSpaceDE/>
        <w:autoSpaceDN/>
        <w:bidi w:val="0"/>
        <w:adjustRightInd/>
        <w:snapToGrid/>
        <w:spacing w:line="440" w:lineRule="exact"/>
        <w:ind w:firstLine="3720" w:firstLineChars="1550"/>
        <w:rPr>
          <w:rFonts w:hint="eastAsia" w:ascii="宋体" w:hAnsi="Times New Roman" w:eastAsia="宋体" w:cs="Times New Roman"/>
          <w:color w:val="auto"/>
          <w:sz w:val="24"/>
          <w:highlight w:val="none"/>
        </w:rPr>
      </w:pPr>
      <w:r>
        <w:rPr>
          <w:rFonts w:hint="eastAsia" w:ascii="宋体" w:hAnsi="Times New Roman" w:eastAsia="宋体" w:cs="Times New Roman"/>
          <w:color w:val="auto"/>
          <w:sz w:val="24"/>
          <w:highlight w:val="none"/>
        </w:rPr>
        <w:t xml:space="preserve"> 投标人（盖章）：</w:t>
      </w:r>
    </w:p>
    <w:p w14:paraId="0ED74FB6">
      <w:pPr>
        <w:keepNext w:val="0"/>
        <w:keepLines w:val="0"/>
        <w:pageBreakBefore w:val="0"/>
        <w:kinsoku/>
        <w:wordWrap/>
        <w:overflowPunct/>
        <w:topLinePunct w:val="0"/>
        <w:autoSpaceDE/>
        <w:autoSpaceDN/>
        <w:bidi w:val="0"/>
        <w:adjustRightInd/>
        <w:snapToGrid/>
        <w:spacing w:line="440" w:lineRule="exact"/>
        <w:ind w:firstLine="3720" w:firstLineChars="1550"/>
        <w:rPr>
          <w:rFonts w:hint="eastAsia" w:ascii="宋体" w:hAnsi="Times New Roman" w:eastAsia="宋体" w:cs="Times New Roman"/>
          <w:color w:val="auto"/>
          <w:sz w:val="24"/>
          <w:highlight w:val="none"/>
        </w:rPr>
      </w:pPr>
      <w:r>
        <w:rPr>
          <w:rFonts w:hint="eastAsia" w:ascii="宋体" w:hAnsi="Times New Roman" w:eastAsia="宋体" w:cs="Times New Roman"/>
          <w:color w:val="auto"/>
          <w:sz w:val="24"/>
          <w:highlight w:val="none"/>
        </w:rPr>
        <w:t>法定代表人（身份证号码）：    （签字或盖章）</w:t>
      </w:r>
    </w:p>
    <w:p w14:paraId="543FDA29">
      <w:pPr>
        <w:keepNext w:val="0"/>
        <w:keepLines w:val="0"/>
        <w:pageBreakBefore w:val="0"/>
        <w:kinsoku/>
        <w:wordWrap/>
        <w:overflowPunct/>
        <w:topLinePunct w:val="0"/>
        <w:autoSpaceDE/>
        <w:autoSpaceDN/>
        <w:bidi w:val="0"/>
        <w:adjustRightInd/>
        <w:snapToGrid/>
        <w:spacing w:line="440" w:lineRule="exact"/>
        <w:ind w:firstLine="5640" w:firstLineChars="2350"/>
        <w:rPr>
          <w:rFonts w:hint="eastAsia" w:ascii="宋体" w:hAnsi="Times New Roman" w:eastAsia="宋体" w:cs="Times New Roman"/>
          <w:color w:val="auto"/>
          <w:sz w:val="24"/>
          <w:highlight w:val="none"/>
        </w:rPr>
      </w:pPr>
      <w:r>
        <w:rPr>
          <w:rFonts w:hint="eastAsia" w:ascii="宋体" w:hAnsi="Times New Roman" w:eastAsia="宋体" w:cs="Times New Roman"/>
          <w:color w:val="auto"/>
          <w:sz w:val="24"/>
          <w:highlight w:val="none"/>
        </w:rPr>
        <w:t>联系电话：</w:t>
      </w:r>
    </w:p>
    <w:p w14:paraId="699D5FF7">
      <w:pPr>
        <w:keepNext w:val="0"/>
        <w:keepLines w:val="0"/>
        <w:pageBreakBefore w:val="0"/>
        <w:kinsoku/>
        <w:wordWrap/>
        <w:overflowPunct/>
        <w:topLinePunct w:val="0"/>
        <w:autoSpaceDE/>
        <w:autoSpaceDN/>
        <w:bidi w:val="0"/>
        <w:adjustRightInd/>
        <w:snapToGrid/>
        <w:spacing w:line="440" w:lineRule="exact"/>
        <w:ind w:firstLine="3720" w:firstLineChars="1550"/>
        <w:rPr>
          <w:rFonts w:hint="eastAsia" w:ascii="宋体" w:hAnsi="Times New Roman" w:eastAsia="宋体" w:cs="Times New Roman"/>
          <w:color w:val="auto"/>
          <w:sz w:val="24"/>
          <w:highlight w:val="none"/>
        </w:rPr>
      </w:pPr>
      <w:r>
        <w:rPr>
          <w:rFonts w:hint="eastAsia" w:ascii="宋体" w:hAnsi="Times New Roman" w:eastAsia="宋体" w:cs="Times New Roman"/>
          <w:color w:val="auto"/>
          <w:sz w:val="24"/>
          <w:highlight w:val="none"/>
        </w:rPr>
        <w:t>委托代理人（身份证号码）：    （签字或盖章）</w:t>
      </w:r>
    </w:p>
    <w:p w14:paraId="0B27B0F4">
      <w:pPr>
        <w:keepNext w:val="0"/>
        <w:keepLines w:val="0"/>
        <w:pageBreakBefore w:val="0"/>
        <w:kinsoku/>
        <w:wordWrap/>
        <w:overflowPunct/>
        <w:topLinePunct w:val="0"/>
        <w:autoSpaceDE/>
        <w:autoSpaceDN/>
        <w:bidi w:val="0"/>
        <w:adjustRightInd/>
        <w:snapToGrid/>
        <w:spacing w:line="440" w:lineRule="exact"/>
        <w:ind w:firstLine="5040" w:firstLineChars="2100"/>
        <w:rPr>
          <w:rFonts w:ascii="宋体"/>
          <w:color w:val="auto"/>
          <w:sz w:val="24"/>
          <w:highlight w:val="none"/>
        </w:rPr>
      </w:pPr>
      <w:r>
        <w:rPr>
          <w:rFonts w:hint="eastAsia" w:ascii="宋体"/>
          <w:color w:val="auto"/>
          <w:sz w:val="24"/>
          <w:highlight w:val="none"/>
        </w:rPr>
        <w:t xml:space="preserve">  </w:t>
      </w:r>
      <w:r>
        <w:rPr>
          <w:rFonts w:hint="eastAsia" w:ascii="宋体"/>
          <w:color w:val="auto"/>
          <w:sz w:val="24"/>
          <w:highlight w:val="none"/>
          <w:lang w:val="en-US" w:eastAsia="zh-CN"/>
        </w:rPr>
        <w:t xml:space="preserve">  </w:t>
      </w:r>
      <w:r>
        <w:rPr>
          <w:rFonts w:hint="eastAsia" w:ascii="宋体"/>
          <w:color w:val="auto"/>
          <w:sz w:val="24"/>
          <w:highlight w:val="none"/>
        </w:rPr>
        <w:t xml:space="preserve"> 联系电话：</w:t>
      </w:r>
    </w:p>
    <w:p w14:paraId="25E3EB47">
      <w:pPr>
        <w:keepNext w:val="0"/>
        <w:keepLines w:val="0"/>
        <w:pageBreakBefore w:val="0"/>
        <w:kinsoku/>
        <w:wordWrap/>
        <w:overflowPunct/>
        <w:topLinePunct w:val="0"/>
        <w:autoSpaceDE/>
        <w:autoSpaceDN/>
        <w:bidi w:val="0"/>
        <w:adjustRightInd/>
        <w:snapToGrid/>
        <w:spacing w:line="440" w:lineRule="exact"/>
        <w:ind w:firstLine="5700" w:firstLineChars="2375"/>
        <w:rPr>
          <w:rFonts w:ascii="宋体"/>
          <w:color w:val="auto"/>
          <w:sz w:val="24"/>
          <w:highlight w:val="none"/>
        </w:rPr>
      </w:pPr>
      <w:r>
        <w:rPr>
          <w:rFonts w:hint="eastAsia" w:ascii="宋体"/>
          <w:color w:val="auto"/>
          <w:sz w:val="24"/>
          <w:highlight w:val="none"/>
        </w:rPr>
        <w:t>年    月    日</w:t>
      </w:r>
    </w:p>
    <w:p w14:paraId="6AD4BA39">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b/>
          <w:color w:val="auto"/>
          <w:sz w:val="28"/>
          <w:szCs w:val="28"/>
          <w:highlight w:val="none"/>
        </w:rPr>
      </w:pPr>
    </w:p>
    <w:p w14:paraId="081B3D23">
      <w:pPr>
        <w:rPr>
          <w:rFonts w:hint="eastAsia"/>
          <w:b/>
          <w:color w:val="auto"/>
          <w:sz w:val="28"/>
          <w:szCs w:val="28"/>
          <w:highlight w:val="none"/>
        </w:rPr>
      </w:pPr>
      <w:r>
        <w:rPr>
          <w:rFonts w:hint="eastAsia"/>
          <w:b/>
          <w:color w:val="auto"/>
          <w:sz w:val="28"/>
          <w:szCs w:val="28"/>
          <w:highlight w:val="none"/>
        </w:rPr>
        <w:br w:type="page"/>
      </w:r>
    </w:p>
    <w:p w14:paraId="05FAE17E">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b/>
          <w:color w:val="auto"/>
          <w:sz w:val="28"/>
          <w:szCs w:val="28"/>
          <w:highlight w:val="none"/>
        </w:rPr>
      </w:pPr>
      <w:r>
        <w:rPr>
          <w:rFonts w:hint="eastAsia"/>
          <w:b/>
          <w:color w:val="auto"/>
          <w:sz w:val="28"/>
          <w:szCs w:val="28"/>
          <w:highlight w:val="none"/>
        </w:rPr>
        <w:t>（2）诚信投标承诺书</w:t>
      </w:r>
      <w:bookmarkEnd w:id="851"/>
      <w:bookmarkEnd w:id="852"/>
      <w:bookmarkEnd w:id="853"/>
    </w:p>
    <w:p w14:paraId="088C8867">
      <w:pPr>
        <w:keepNext w:val="0"/>
        <w:keepLines w:val="0"/>
        <w:pageBreakBefore w:val="0"/>
        <w:widowControl w:val="0"/>
        <w:kinsoku/>
        <w:wordWrap/>
        <w:overflowPunct/>
        <w:topLinePunct w:val="0"/>
        <w:autoSpaceDE/>
        <w:autoSpaceDN/>
        <w:bidi w:val="0"/>
        <w:adjustRightInd/>
        <w:snapToGrid/>
        <w:spacing w:line="360" w:lineRule="exact"/>
        <w:textAlignment w:val="auto"/>
        <w:rPr>
          <w:rFonts w:ascii="宋体" w:hAnsi="宋体"/>
          <w:color w:val="auto"/>
          <w:szCs w:val="21"/>
          <w:highlight w:val="none"/>
        </w:rPr>
      </w:pPr>
      <w:r>
        <w:rPr>
          <w:rFonts w:hint="eastAsia" w:ascii="宋体" w:hAnsi="宋体"/>
          <w:color w:val="auto"/>
          <w:szCs w:val="21"/>
          <w:highlight w:val="none"/>
        </w:rPr>
        <w:t>本人以企业法定代表人的身份郑重承诺：</w:t>
      </w:r>
    </w:p>
    <w:p w14:paraId="5C3C7182">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一、将遵循公开、公正和诚实信用的原则自愿参加</w:t>
      </w:r>
      <w:r>
        <w:rPr>
          <w:rFonts w:hint="eastAsia" w:ascii="宋体" w:hAnsi="宋体"/>
          <w:color w:val="auto"/>
          <w:szCs w:val="21"/>
          <w:highlight w:val="none"/>
          <w:u w:val="single"/>
        </w:rPr>
        <w:t xml:space="preserve">       （项目名称）        </w:t>
      </w:r>
      <w:r>
        <w:rPr>
          <w:rFonts w:hint="eastAsia" w:ascii="宋体" w:hAnsi="宋体"/>
          <w:color w:val="auto"/>
          <w:szCs w:val="21"/>
          <w:highlight w:val="none"/>
        </w:rPr>
        <w:t>项目的投标；</w:t>
      </w:r>
    </w:p>
    <w:p w14:paraId="7D7B9B83">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二、所提供的一切材料都是真实、有效、合法的；</w:t>
      </w:r>
    </w:p>
    <w:p w14:paraId="09962C91">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三、不出借、转让资质证书，不让他人挂靠投标，不以他人名义投标或者以其他方式弄虚作假，骗取中标；</w:t>
      </w:r>
    </w:p>
    <w:p w14:paraId="5388F4A5">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四、不与其他投标人相互串通投标报价，不排挤其他投标人的公平竞争、损害招标人的合法权益；</w:t>
      </w:r>
    </w:p>
    <w:p w14:paraId="6F7FB6C0">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五、不与招标人、招标代理机构或其他投标人串通投标，损害国家利益、社会公共利益或者他人的合法权益；</w:t>
      </w:r>
    </w:p>
    <w:p w14:paraId="69704371">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color w:val="auto"/>
          <w:szCs w:val="21"/>
          <w:highlight w:val="none"/>
        </w:rPr>
      </w:pPr>
      <w:r>
        <w:rPr>
          <w:rFonts w:hint="eastAsia" w:ascii="宋体" w:hAnsi="宋体"/>
          <w:color w:val="auto"/>
          <w:szCs w:val="21"/>
          <w:highlight w:val="none"/>
        </w:rPr>
        <w:t>六、</w:t>
      </w:r>
      <w:r>
        <w:rPr>
          <w:rFonts w:hint="eastAsia" w:ascii="宋体" w:hAnsi="宋体"/>
          <w:color w:val="auto"/>
          <w:szCs w:val="21"/>
          <w:highlight w:val="none"/>
          <w:u w:val="single"/>
          <w:lang w:val="en-US" w:eastAsia="zh-CN"/>
        </w:rPr>
        <w:t>我公司</w:t>
      </w:r>
      <w:r>
        <w:rPr>
          <w:rFonts w:hint="eastAsia" w:ascii="宋体" w:hAnsi="宋体"/>
          <w:color w:val="auto"/>
          <w:szCs w:val="21"/>
          <w:highlight w:val="none"/>
        </w:rPr>
        <w:t>没有下列情形： 1、被人民法院列入失信被执行人的；2、我公司及其法定代表人、拟任项目经理（</w:t>
      </w:r>
      <w:r>
        <w:rPr>
          <w:rFonts w:hint="eastAsia" w:ascii="宋体" w:hAnsi="宋体"/>
          <w:color w:val="auto"/>
          <w:szCs w:val="21"/>
          <w:highlight w:val="none"/>
          <w:lang w:val="en-US" w:eastAsia="zh-CN"/>
        </w:rPr>
        <w:t>总监理工程师</w:t>
      </w:r>
      <w:r>
        <w:rPr>
          <w:rFonts w:hint="eastAsia" w:ascii="宋体" w:hAnsi="宋体"/>
          <w:color w:val="auto"/>
          <w:szCs w:val="21"/>
          <w:highlight w:val="none"/>
        </w:rPr>
        <w:t>）前三年有行贿犯罪行为的；3、被市场监督管理部门列入经营异常名录或者严重违法企业名单的，且未被移除的；4、被税务部门列入重大税收违法案件当事人的；5、在“信用中国”网站上披露仍在公示期的严重失信行为的；6、被滁州市县两级各行业主管部门及公管部门取消在一定期限内的投标资格且在取消期限内的；7被人力资源社会保障主管部门列入拖欠农民工工资‘黑名单’或因拖欠农民工工资被县级及以上有关行政主管部门限制投标资格且在限制期限内的；</w:t>
      </w:r>
      <w:r>
        <w:rPr>
          <w:rFonts w:hint="eastAsia" w:ascii="宋体" w:hAnsi="宋体"/>
          <w:color w:val="auto"/>
          <w:szCs w:val="21"/>
          <w:highlight w:val="none"/>
          <w:lang w:val="en-US" w:eastAsia="zh-CN"/>
        </w:rPr>
        <w:t>8</w:t>
      </w:r>
      <w:r>
        <w:rPr>
          <w:rFonts w:hint="eastAsia" w:ascii="宋体" w:hAnsi="宋体"/>
          <w:color w:val="auto"/>
          <w:szCs w:val="21"/>
          <w:highlight w:val="none"/>
        </w:rPr>
        <w:t>、</w:t>
      </w:r>
      <w:r>
        <w:rPr>
          <w:rFonts w:hint="eastAsia"/>
          <w:color w:val="auto"/>
          <w:szCs w:val="21"/>
          <w:highlight w:val="none"/>
        </w:rPr>
        <w:t>被列入省级、市级农民工工资支付异常名录的施工企业，限制其参加全市范围内房建和市政工程建设项目投标；列入县级异常名录的施工企业，限制其参加本行政区域内房建和市政建设项目投标。</w:t>
      </w:r>
    </w:p>
    <w:p w14:paraId="4F5050AE">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七、严格遵守开标现场纪律，服从监管人员管理；</w:t>
      </w:r>
    </w:p>
    <w:p w14:paraId="0D3D34CE">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八、保证中标后不转包及使用挂靠施工队伍，若有分包征得建设单位同意；</w:t>
      </w:r>
    </w:p>
    <w:p w14:paraId="44DCDFED">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九、保证中标之后，按照投标文件承诺派驻管理人员及投入机械设备，如有违反，同意接受建设单位违约处罚；</w:t>
      </w:r>
    </w:p>
    <w:p w14:paraId="778598D5">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十、保证企业及所属相关人员在本次投标中无行贿等犯罪行为；</w:t>
      </w:r>
    </w:p>
    <w:p w14:paraId="5597B460">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十</w:t>
      </w:r>
      <w:r>
        <w:rPr>
          <w:rFonts w:hint="eastAsia" w:ascii="宋体" w:hAnsi="宋体"/>
          <w:color w:val="auto"/>
          <w:szCs w:val="21"/>
          <w:highlight w:val="none"/>
          <w:lang w:val="en-US" w:eastAsia="zh-CN"/>
        </w:rPr>
        <w:t>一</w:t>
      </w:r>
      <w:r>
        <w:rPr>
          <w:rFonts w:hint="eastAsia" w:ascii="宋体" w:hAnsi="宋体"/>
          <w:color w:val="auto"/>
          <w:szCs w:val="21"/>
          <w:highlight w:val="none"/>
        </w:rPr>
        <w:t>、如在投标过程和公示期间发生投诉行为，依法进行投诉。投诉内容符合要求，投诉材料加盖企业公章或由法定代表人授权委托人签字，并附有关身份证明复印件。不恶意投诉，对本公司提供的投诉线索的真实性负责，否则愿接受有关部门的处罚；</w:t>
      </w:r>
    </w:p>
    <w:p w14:paraId="0B3035A8">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十</w:t>
      </w:r>
      <w:r>
        <w:rPr>
          <w:rFonts w:hint="eastAsia" w:ascii="宋体" w:hAnsi="宋体"/>
          <w:color w:val="auto"/>
          <w:szCs w:val="21"/>
          <w:highlight w:val="none"/>
          <w:lang w:val="en-US" w:eastAsia="zh-CN"/>
        </w:rPr>
        <w:t>二</w:t>
      </w:r>
      <w:r>
        <w:rPr>
          <w:rFonts w:hint="eastAsia" w:ascii="宋体" w:hAnsi="宋体"/>
          <w:color w:val="auto"/>
          <w:szCs w:val="21"/>
          <w:highlight w:val="none"/>
        </w:rPr>
        <w:t>、如我公司中标，按照国务院《关于全面治理拖欠农民工工资问题的意见》（国办发[2016]1号）及国家住建部和人社部关于《建筑工人实名制管理办法》（建市[2019]18号）的规定，总承包单位对所承建的工程项目的建筑工人实名制管理负总责，对建筑工人实行实名制管理；实行人工费用与其他工程款分账管理制度；建筑工程承包单位必须开设农民工工资专户；建设单位在支付工程款时，应将人工费部分按规定汇入建筑工程承包单位的农民工工资专户，由建筑工程承包单位按劳动合同约定，通过农民工工资专户按月足额将工资发放给建筑工人；</w:t>
      </w:r>
    </w:p>
    <w:p w14:paraId="2C3A23AC">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以上内容我已仔细阅读，本公司若有违反承诺内容的行为，自愿接受取消投标或者中标资格、记入不良行为记录等有关处理，愿意承担法律责任，给招标人造成损失的，依法承担赔偿责任。</w:t>
      </w:r>
    </w:p>
    <w:p w14:paraId="5737A6A2">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olor w:val="auto"/>
          <w:szCs w:val="21"/>
          <w:highlight w:val="none"/>
        </w:rPr>
      </w:pPr>
    </w:p>
    <w:p w14:paraId="307ABFC3">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开户银行：                          基本账户：</w:t>
      </w:r>
    </w:p>
    <w:p w14:paraId="5E520FD8">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 xml:space="preserve">投标人（盖章）：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 xml:space="preserve">  法定代表人（签字或</w:t>
      </w:r>
      <w:r>
        <w:rPr>
          <w:rFonts w:hint="eastAsia" w:ascii="宋体" w:hAnsi="宋体"/>
          <w:color w:val="auto"/>
          <w:szCs w:val="21"/>
          <w:highlight w:val="none"/>
          <w:lang w:val="en-US" w:eastAsia="zh-CN"/>
        </w:rPr>
        <w:t>盖</w:t>
      </w:r>
      <w:r>
        <w:rPr>
          <w:rFonts w:hint="eastAsia" w:ascii="宋体" w:hAnsi="宋体"/>
          <w:color w:val="auto"/>
          <w:szCs w:val="21"/>
          <w:highlight w:val="none"/>
        </w:rPr>
        <w:t>章）：</w:t>
      </w:r>
    </w:p>
    <w:p w14:paraId="5C2B7F5A">
      <w:pPr>
        <w:keepNext w:val="0"/>
        <w:keepLines w:val="0"/>
        <w:pageBreakBefore w:val="0"/>
        <w:widowControl w:val="0"/>
        <w:kinsoku/>
        <w:wordWrap/>
        <w:overflowPunct/>
        <w:topLinePunct w:val="0"/>
        <w:autoSpaceDE/>
        <w:autoSpaceDN/>
        <w:bidi w:val="0"/>
        <w:adjustRightInd/>
        <w:snapToGrid/>
        <w:spacing w:line="360" w:lineRule="exact"/>
        <w:ind w:firstLine="5250" w:firstLineChars="2500"/>
        <w:textAlignment w:val="auto"/>
        <w:rPr>
          <w:rFonts w:hint="eastAsia" w:ascii="宋体" w:hAnsi="宋体"/>
          <w:color w:val="auto"/>
          <w:szCs w:val="21"/>
          <w:highlight w:val="none"/>
        </w:rPr>
      </w:pPr>
      <w:r>
        <w:rPr>
          <w:rFonts w:hint="eastAsia" w:ascii="宋体" w:hAnsi="宋体"/>
          <w:color w:val="auto"/>
          <w:szCs w:val="21"/>
          <w:highlight w:val="none"/>
        </w:rPr>
        <w:t>日期：    年   月   日</w:t>
      </w:r>
    </w:p>
    <w:p w14:paraId="1CE6832D">
      <w:pPr>
        <w:rPr>
          <w:rFonts w:hint="eastAsia"/>
          <w:color w:val="auto"/>
          <w:highlight w:val="none"/>
          <w:lang w:val="en-US" w:eastAsia="zh-CN"/>
        </w:rPr>
      </w:pPr>
      <w:r>
        <w:rPr>
          <w:rFonts w:hint="eastAsia"/>
          <w:color w:val="auto"/>
          <w:highlight w:val="none"/>
          <w:lang w:val="en-US" w:eastAsia="zh-CN"/>
        </w:rPr>
        <w:br w:type="page"/>
      </w:r>
    </w:p>
    <w:p w14:paraId="19B7982B">
      <w:pPr>
        <w:pStyle w:val="8"/>
        <w:adjustRightInd w:val="0"/>
        <w:snapToGrid w:val="0"/>
        <w:spacing w:before="0" w:after="0" w:line="560" w:lineRule="exact"/>
        <w:jc w:val="center"/>
        <w:rPr>
          <w:color w:val="auto"/>
          <w:highlight w:val="none"/>
        </w:rPr>
      </w:pPr>
      <w:r>
        <w:rPr>
          <w:rFonts w:hint="eastAsia"/>
          <w:color w:val="auto"/>
          <w:highlight w:val="none"/>
          <w:lang w:val="en-US" w:eastAsia="zh-CN"/>
        </w:rPr>
        <w:t>(3)</w:t>
      </w:r>
      <w:r>
        <w:rPr>
          <w:color w:val="auto"/>
          <w:highlight w:val="none"/>
        </w:rPr>
        <w:t>项目管理机构</w:t>
      </w:r>
    </w:p>
    <w:p w14:paraId="4D419A01">
      <w:pPr>
        <w:pStyle w:val="9"/>
        <w:jc w:val="center"/>
        <w:rPr>
          <w:color w:val="auto"/>
          <w:highlight w:val="none"/>
        </w:rPr>
      </w:pPr>
      <w:r>
        <w:rPr>
          <w:rFonts w:hint="eastAsia"/>
          <w:color w:val="auto"/>
          <w:highlight w:val="none"/>
        </w:rPr>
        <w:t>附表1：</w:t>
      </w:r>
      <w:r>
        <w:rPr>
          <w:color w:val="auto"/>
          <w:highlight w:val="none"/>
        </w:rPr>
        <w:t>项目管理机构</w:t>
      </w:r>
      <w:r>
        <w:rPr>
          <w:rFonts w:hint="eastAsia"/>
          <w:color w:val="auto"/>
          <w:highlight w:val="none"/>
        </w:rPr>
        <w:t>主要人员</w:t>
      </w:r>
      <w:r>
        <w:rPr>
          <w:color w:val="auto"/>
          <w:highlight w:val="none"/>
        </w:rPr>
        <w:t>组成表</w:t>
      </w:r>
    </w:p>
    <w:tbl>
      <w:tblPr>
        <w:tblStyle w:val="4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814"/>
        <w:gridCol w:w="812"/>
        <w:gridCol w:w="1220"/>
        <w:gridCol w:w="812"/>
        <w:gridCol w:w="814"/>
        <w:gridCol w:w="811"/>
        <w:gridCol w:w="2848"/>
        <w:gridCol w:w="759"/>
      </w:tblGrid>
      <w:tr w14:paraId="151BA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6" w:hRule="atLeast"/>
          <w:jc w:val="center"/>
        </w:trPr>
        <w:tc>
          <w:tcPr>
            <w:tcW w:w="730" w:type="dxa"/>
            <w:vMerge w:val="restart"/>
            <w:noWrap w:val="0"/>
            <w:vAlign w:val="center"/>
          </w:tcPr>
          <w:p w14:paraId="0DAB69A7">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r>
              <w:rPr>
                <w:rFonts w:hint="default"/>
                <w:color w:val="auto"/>
                <w:szCs w:val="21"/>
                <w:highlight w:val="none"/>
              </w:rPr>
              <w:t>职务</w:t>
            </w:r>
          </w:p>
        </w:tc>
        <w:tc>
          <w:tcPr>
            <w:tcW w:w="814" w:type="dxa"/>
            <w:vMerge w:val="restart"/>
            <w:noWrap w:val="0"/>
            <w:vAlign w:val="center"/>
          </w:tcPr>
          <w:p w14:paraId="161039B4">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r>
              <w:rPr>
                <w:rFonts w:hint="default"/>
                <w:color w:val="auto"/>
                <w:szCs w:val="21"/>
                <w:highlight w:val="none"/>
              </w:rPr>
              <w:t>姓名</w:t>
            </w:r>
          </w:p>
        </w:tc>
        <w:tc>
          <w:tcPr>
            <w:tcW w:w="812" w:type="dxa"/>
            <w:vMerge w:val="restart"/>
            <w:noWrap w:val="0"/>
            <w:vAlign w:val="center"/>
          </w:tcPr>
          <w:p w14:paraId="24D400B9">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r>
              <w:rPr>
                <w:rFonts w:hint="default"/>
                <w:color w:val="auto"/>
                <w:szCs w:val="21"/>
                <w:highlight w:val="none"/>
              </w:rPr>
              <w:t>职称</w:t>
            </w:r>
          </w:p>
        </w:tc>
        <w:tc>
          <w:tcPr>
            <w:tcW w:w="6505" w:type="dxa"/>
            <w:gridSpan w:val="5"/>
            <w:noWrap w:val="0"/>
            <w:vAlign w:val="center"/>
          </w:tcPr>
          <w:p w14:paraId="62C11BC2">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r>
              <w:rPr>
                <w:rFonts w:hint="default"/>
                <w:color w:val="auto"/>
                <w:szCs w:val="21"/>
                <w:highlight w:val="none"/>
              </w:rPr>
              <w:t>执业或职业资格证明</w:t>
            </w:r>
          </w:p>
        </w:tc>
        <w:tc>
          <w:tcPr>
            <w:tcW w:w="759" w:type="dxa"/>
            <w:noWrap w:val="0"/>
            <w:vAlign w:val="center"/>
          </w:tcPr>
          <w:p w14:paraId="7FB9BE48">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r>
              <w:rPr>
                <w:rFonts w:hint="default"/>
                <w:color w:val="auto"/>
                <w:szCs w:val="21"/>
                <w:highlight w:val="none"/>
              </w:rPr>
              <w:t>备注</w:t>
            </w:r>
          </w:p>
        </w:tc>
      </w:tr>
      <w:tr w14:paraId="6BFF0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6" w:hRule="atLeast"/>
          <w:jc w:val="center"/>
        </w:trPr>
        <w:tc>
          <w:tcPr>
            <w:tcW w:w="730" w:type="dxa"/>
            <w:vMerge w:val="continue"/>
            <w:noWrap w:val="0"/>
            <w:vAlign w:val="center"/>
          </w:tcPr>
          <w:p w14:paraId="1C8ACD8F">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4" w:type="dxa"/>
            <w:vMerge w:val="continue"/>
            <w:noWrap w:val="0"/>
            <w:vAlign w:val="center"/>
          </w:tcPr>
          <w:p w14:paraId="09F2B1F2">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2" w:type="dxa"/>
            <w:vMerge w:val="continue"/>
            <w:noWrap w:val="0"/>
            <w:vAlign w:val="center"/>
          </w:tcPr>
          <w:p w14:paraId="1CAA660D">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1220" w:type="dxa"/>
            <w:noWrap w:val="0"/>
            <w:vAlign w:val="center"/>
          </w:tcPr>
          <w:p w14:paraId="6B9D78B0">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r>
              <w:rPr>
                <w:rFonts w:hint="default"/>
                <w:color w:val="auto"/>
                <w:szCs w:val="21"/>
                <w:highlight w:val="none"/>
              </w:rPr>
              <w:t>证书名称</w:t>
            </w:r>
          </w:p>
        </w:tc>
        <w:tc>
          <w:tcPr>
            <w:tcW w:w="812" w:type="dxa"/>
            <w:noWrap w:val="0"/>
            <w:vAlign w:val="center"/>
          </w:tcPr>
          <w:p w14:paraId="2F9A29DA">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r>
              <w:rPr>
                <w:rFonts w:hint="default"/>
                <w:color w:val="auto"/>
                <w:szCs w:val="21"/>
                <w:highlight w:val="none"/>
              </w:rPr>
              <w:t>级别</w:t>
            </w:r>
          </w:p>
        </w:tc>
        <w:tc>
          <w:tcPr>
            <w:tcW w:w="814" w:type="dxa"/>
            <w:noWrap w:val="0"/>
            <w:vAlign w:val="center"/>
          </w:tcPr>
          <w:p w14:paraId="440C7C08">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r>
              <w:rPr>
                <w:rFonts w:hint="default"/>
                <w:color w:val="auto"/>
                <w:szCs w:val="21"/>
                <w:highlight w:val="none"/>
              </w:rPr>
              <w:t>证号</w:t>
            </w:r>
          </w:p>
        </w:tc>
        <w:tc>
          <w:tcPr>
            <w:tcW w:w="811" w:type="dxa"/>
            <w:noWrap w:val="0"/>
            <w:vAlign w:val="center"/>
          </w:tcPr>
          <w:p w14:paraId="76FBC8ED">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r>
              <w:rPr>
                <w:rFonts w:hint="default"/>
                <w:color w:val="auto"/>
                <w:szCs w:val="21"/>
                <w:highlight w:val="none"/>
              </w:rPr>
              <w:t>专业</w:t>
            </w:r>
          </w:p>
        </w:tc>
        <w:tc>
          <w:tcPr>
            <w:tcW w:w="2848" w:type="dxa"/>
            <w:noWrap w:val="0"/>
            <w:vAlign w:val="center"/>
          </w:tcPr>
          <w:p w14:paraId="1210CB5A">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r>
              <w:rPr>
                <w:rFonts w:hint="default"/>
                <w:color w:val="auto"/>
                <w:szCs w:val="21"/>
                <w:highlight w:val="none"/>
              </w:rPr>
              <w:t>养老保险</w:t>
            </w:r>
          </w:p>
        </w:tc>
        <w:tc>
          <w:tcPr>
            <w:tcW w:w="759" w:type="dxa"/>
            <w:noWrap w:val="0"/>
            <w:vAlign w:val="center"/>
          </w:tcPr>
          <w:p w14:paraId="01E73F60">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r>
      <w:tr w14:paraId="472EA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30" w:type="dxa"/>
            <w:noWrap w:val="0"/>
            <w:vAlign w:val="center"/>
          </w:tcPr>
          <w:p w14:paraId="07FC8519">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r>
              <w:rPr>
                <w:rFonts w:hint="eastAsia"/>
                <w:color w:val="auto"/>
                <w:szCs w:val="21"/>
                <w:highlight w:val="none"/>
              </w:rPr>
              <w:t>项目经理（建造师）</w:t>
            </w:r>
          </w:p>
        </w:tc>
        <w:tc>
          <w:tcPr>
            <w:tcW w:w="814" w:type="dxa"/>
            <w:noWrap w:val="0"/>
            <w:vAlign w:val="center"/>
          </w:tcPr>
          <w:p w14:paraId="376F485D">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2" w:type="dxa"/>
            <w:noWrap w:val="0"/>
            <w:vAlign w:val="center"/>
          </w:tcPr>
          <w:p w14:paraId="75CC3185">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1220" w:type="dxa"/>
            <w:noWrap w:val="0"/>
            <w:vAlign w:val="center"/>
          </w:tcPr>
          <w:p w14:paraId="352622F4">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2" w:type="dxa"/>
            <w:noWrap w:val="0"/>
            <w:vAlign w:val="center"/>
          </w:tcPr>
          <w:p w14:paraId="6E796AE4">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4" w:type="dxa"/>
            <w:noWrap w:val="0"/>
            <w:vAlign w:val="center"/>
          </w:tcPr>
          <w:p w14:paraId="7AE4B405">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1" w:type="dxa"/>
            <w:noWrap w:val="0"/>
            <w:vAlign w:val="center"/>
          </w:tcPr>
          <w:p w14:paraId="7D0EBAD2">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2848" w:type="dxa"/>
            <w:noWrap w:val="0"/>
            <w:vAlign w:val="center"/>
          </w:tcPr>
          <w:p w14:paraId="3ACB231F">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759" w:type="dxa"/>
            <w:noWrap w:val="0"/>
            <w:vAlign w:val="center"/>
          </w:tcPr>
          <w:p w14:paraId="477CE144">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r>
      <w:tr w14:paraId="49F06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30" w:type="dxa"/>
            <w:noWrap w:val="0"/>
            <w:vAlign w:val="top"/>
          </w:tcPr>
          <w:p w14:paraId="1F750BBE">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r>
              <w:rPr>
                <w:rFonts w:hint="eastAsia"/>
                <w:color w:val="auto"/>
                <w:szCs w:val="21"/>
                <w:highlight w:val="none"/>
              </w:rPr>
              <w:t>技术负责人</w:t>
            </w:r>
          </w:p>
        </w:tc>
        <w:tc>
          <w:tcPr>
            <w:tcW w:w="814" w:type="dxa"/>
            <w:noWrap w:val="0"/>
            <w:vAlign w:val="top"/>
          </w:tcPr>
          <w:p w14:paraId="6E2472BC">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2" w:type="dxa"/>
            <w:noWrap w:val="0"/>
            <w:vAlign w:val="top"/>
          </w:tcPr>
          <w:p w14:paraId="6779770E">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1220" w:type="dxa"/>
            <w:noWrap w:val="0"/>
            <w:vAlign w:val="top"/>
          </w:tcPr>
          <w:p w14:paraId="70DF29AA">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2" w:type="dxa"/>
            <w:noWrap w:val="0"/>
            <w:vAlign w:val="top"/>
          </w:tcPr>
          <w:p w14:paraId="204E9FE3">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4" w:type="dxa"/>
            <w:noWrap w:val="0"/>
            <w:vAlign w:val="top"/>
          </w:tcPr>
          <w:p w14:paraId="74935099">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1" w:type="dxa"/>
            <w:noWrap w:val="0"/>
            <w:vAlign w:val="top"/>
          </w:tcPr>
          <w:p w14:paraId="479E245A">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2848" w:type="dxa"/>
            <w:noWrap w:val="0"/>
            <w:vAlign w:val="top"/>
          </w:tcPr>
          <w:p w14:paraId="7226FD33">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759" w:type="dxa"/>
            <w:noWrap w:val="0"/>
            <w:vAlign w:val="top"/>
          </w:tcPr>
          <w:p w14:paraId="30425EAC">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r>
      <w:tr w14:paraId="07747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30" w:type="dxa"/>
            <w:noWrap w:val="0"/>
            <w:vAlign w:val="top"/>
          </w:tcPr>
          <w:p w14:paraId="0345D0F2">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4" w:type="dxa"/>
            <w:noWrap w:val="0"/>
            <w:vAlign w:val="top"/>
          </w:tcPr>
          <w:p w14:paraId="38CEEFEE">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2" w:type="dxa"/>
            <w:noWrap w:val="0"/>
            <w:vAlign w:val="top"/>
          </w:tcPr>
          <w:p w14:paraId="54AE1FE5">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1220" w:type="dxa"/>
            <w:noWrap w:val="0"/>
            <w:vAlign w:val="top"/>
          </w:tcPr>
          <w:p w14:paraId="345803E5">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2" w:type="dxa"/>
            <w:noWrap w:val="0"/>
            <w:vAlign w:val="top"/>
          </w:tcPr>
          <w:p w14:paraId="2FAA5C24">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4" w:type="dxa"/>
            <w:noWrap w:val="0"/>
            <w:vAlign w:val="top"/>
          </w:tcPr>
          <w:p w14:paraId="007DFA08">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1" w:type="dxa"/>
            <w:noWrap w:val="0"/>
            <w:vAlign w:val="top"/>
          </w:tcPr>
          <w:p w14:paraId="4AC15B76">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2848" w:type="dxa"/>
            <w:noWrap w:val="0"/>
            <w:vAlign w:val="top"/>
          </w:tcPr>
          <w:p w14:paraId="409099C6">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759" w:type="dxa"/>
            <w:noWrap w:val="0"/>
            <w:vAlign w:val="top"/>
          </w:tcPr>
          <w:p w14:paraId="3570F8D3">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r>
      <w:tr w14:paraId="44D92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30" w:type="dxa"/>
            <w:noWrap w:val="0"/>
            <w:vAlign w:val="top"/>
          </w:tcPr>
          <w:p w14:paraId="3D191249">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4" w:type="dxa"/>
            <w:noWrap w:val="0"/>
            <w:vAlign w:val="top"/>
          </w:tcPr>
          <w:p w14:paraId="47B2A10C">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2" w:type="dxa"/>
            <w:noWrap w:val="0"/>
            <w:vAlign w:val="top"/>
          </w:tcPr>
          <w:p w14:paraId="7B8BC606">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1220" w:type="dxa"/>
            <w:noWrap w:val="0"/>
            <w:vAlign w:val="top"/>
          </w:tcPr>
          <w:p w14:paraId="22D20C69">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2" w:type="dxa"/>
            <w:noWrap w:val="0"/>
            <w:vAlign w:val="top"/>
          </w:tcPr>
          <w:p w14:paraId="6EF7830C">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4" w:type="dxa"/>
            <w:noWrap w:val="0"/>
            <w:vAlign w:val="top"/>
          </w:tcPr>
          <w:p w14:paraId="3091C3DD">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1" w:type="dxa"/>
            <w:noWrap w:val="0"/>
            <w:vAlign w:val="top"/>
          </w:tcPr>
          <w:p w14:paraId="01F47A6F">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2848" w:type="dxa"/>
            <w:noWrap w:val="0"/>
            <w:vAlign w:val="top"/>
          </w:tcPr>
          <w:p w14:paraId="4CBB229C">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759" w:type="dxa"/>
            <w:noWrap w:val="0"/>
            <w:vAlign w:val="top"/>
          </w:tcPr>
          <w:p w14:paraId="3C7C81A6">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r>
      <w:tr w14:paraId="109D4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30" w:type="dxa"/>
            <w:noWrap w:val="0"/>
            <w:vAlign w:val="top"/>
          </w:tcPr>
          <w:p w14:paraId="1B669582">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4" w:type="dxa"/>
            <w:noWrap w:val="0"/>
            <w:vAlign w:val="top"/>
          </w:tcPr>
          <w:p w14:paraId="1221DF6F">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2" w:type="dxa"/>
            <w:noWrap w:val="0"/>
            <w:vAlign w:val="top"/>
          </w:tcPr>
          <w:p w14:paraId="1BF53EB1">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1220" w:type="dxa"/>
            <w:noWrap w:val="0"/>
            <w:vAlign w:val="top"/>
          </w:tcPr>
          <w:p w14:paraId="372FAB2C">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2" w:type="dxa"/>
            <w:noWrap w:val="0"/>
            <w:vAlign w:val="top"/>
          </w:tcPr>
          <w:p w14:paraId="1F3C72D2">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4" w:type="dxa"/>
            <w:noWrap w:val="0"/>
            <w:vAlign w:val="top"/>
          </w:tcPr>
          <w:p w14:paraId="6FC97253">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1" w:type="dxa"/>
            <w:noWrap w:val="0"/>
            <w:vAlign w:val="top"/>
          </w:tcPr>
          <w:p w14:paraId="15FD8A76">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2848" w:type="dxa"/>
            <w:noWrap w:val="0"/>
            <w:vAlign w:val="top"/>
          </w:tcPr>
          <w:p w14:paraId="00482EC6">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759" w:type="dxa"/>
            <w:noWrap w:val="0"/>
            <w:vAlign w:val="top"/>
          </w:tcPr>
          <w:p w14:paraId="4FF3D4C6">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r>
      <w:tr w14:paraId="28D95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30" w:type="dxa"/>
            <w:tcBorders>
              <w:top w:val="single" w:color="auto" w:sz="4" w:space="0"/>
              <w:left w:val="single" w:color="auto" w:sz="4" w:space="0"/>
              <w:bottom w:val="single" w:color="auto" w:sz="4" w:space="0"/>
              <w:right w:val="single" w:color="auto" w:sz="4" w:space="0"/>
            </w:tcBorders>
            <w:noWrap w:val="0"/>
            <w:vAlign w:val="top"/>
          </w:tcPr>
          <w:p w14:paraId="08DF7312">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4" w:type="dxa"/>
            <w:tcBorders>
              <w:top w:val="single" w:color="auto" w:sz="4" w:space="0"/>
              <w:left w:val="single" w:color="auto" w:sz="4" w:space="0"/>
              <w:bottom w:val="single" w:color="auto" w:sz="4" w:space="0"/>
              <w:right w:val="single" w:color="auto" w:sz="4" w:space="0"/>
            </w:tcBorders>
            <w:noWrap w:val="0"/>
            <w:vAlign w:val="top"/>
          </w:tcPr>
          <w:p w14:paraId="7D408CB1">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2" w:type="dxa"/>
            <w:tcBorders>
              <w:top w:val="single" w:color="auto" w:sz="4" w:space="0"/>
              <w:left w:val="single" w:color="auto" w:sz="4" w:space="0"/>
              <w:bottom w:val="single" w:color="auto" w:sz="4" w:space="0"/>
              <w:right w:val="single" w:color="auto" w:sz="4" w:space="0"/>
            </w:tcBorders>
            <w:noWrap w:val="0"/>
            <w:vAlign w:val="top"/>
          </w:tcPr>
          <w:p w14:paraId="1A525CAC">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1220" w:type="dxa"/>
            <w:tcBorders>
              <w:top w:val="single" w:color="auto" w:sz="4" w:space="0"/>
              <w:left w:val="single" w:color="auto" w:sz="4" w:space="0"/>
              <w:bottom w:val="single" w:color="auto" w:sz="4" w:space="0"/>
              <w:right w:val="single" w:color="auto" w:sz="4" w:space="0"/>
            </w:tcBorders>
            <w:noWrap w:val="0"/>
            <w:vAlign w:val="top"/>
          </w:tcPr>
          <w:p w14:paraId="7C615A60">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2" w:type="dxa"/>
            <w:tcBorders>
              <w:top w:val="single" w:color="auto" w:sz="4" w:space="0"/>
              <w:left w:val="single" w:color="auto" w:sz="4" w:space="0"/>
              <w:bottom w:val="single" w:color="auto" w:sz="4" w:space="0"/>
              <w:right w:val="single" w:color="auto" w:sz="4" w:space="0"/>
            </w:tcBorders>
            <w:noWrap w:val="0"/>
            <w:vAlign w:val="top"/>
          </w:tcPr>
          <w:p w14:paraId="7EBC51A4">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4" w:type="dxa"/>
            <w:tcBorders>
              <w:top w:val="single" w:color="auto" w:sz="4" w:space="0"/>
              <w:left w:val="single" w:color="auto" w:sz="4" w:space="0"/>
              <w:bottom w:val="single" w:color="auto" w:sz="4" w:space="0"/>
              <w:right w:val="single" w:color="auto" w:sz="4" w:space="0"/>
            </w:tcBorders>
            <w:noWrap w:val="0"/>
            <w:vAlign w:val="top"/>
          </w:tcPr>
          <w:p w14:paraId="1DAE47D9">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1" w:type="dxa"/>
            <w:tcBorders>
              <w:top w:val="single" w:color="auto" w:sz="4" w:space="0"/>
              <w:left w:val="single" w:color="auto" w:sz="4" w:space="0"/>
              <w:bottom w:val="single" w:color="auto" w:sz="4" w:space="0"/>
              <w:right w:val="single" w:color="auto" w:sz="4" w:space="0"/>
            </w:tcBorders>
            <w:noWrap w:val="0"/>
            <w:vAlign w:val="top"/>
          </w:tcPr>
          <w:p w14:paraId="646104D0">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2848" w:type="dxa"/>
            <w:tcBorders>
              <w:top w:val="single" w:color="auto" w:sz="4" w:space="0"/>
              <w:left w:val="single" w:color="auto" w:sz="4" w:space="0"/>
              <w:bottom w:val="single" w:color="auto" w:sz="4" w:space="0"/>
              <w:right w:val="single" w:color="auto" w:sz="4" w:space="0"/>
            </w:tcBorders>
            <w:noWrap w:val="0"/>
            <w:vAlign w:val="top"/>
          </w:tcPr>
          <w:p w14:paraId="1D9664D2">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759" w:type="dxa"/>
            <w:tcBorders>
              <w:top w:val="single" w:color="auto" w:sz="4" w:space="0"/>
              <w:left w:val="single" w:color="auto" w:sz="4" w:space="0"/>
              <w:bottom w:val="single" w:color="auto" w:sz="4" w:space="0"/>
              <w:right w:val="single" w:color="auto" w:sz="4" w:space="0"/>
            </w:tcBorders>
            <w:noWrap w:val="0"/>
            <w:vAlign w:val="top"/>
          </w:tcPr>
          <w:p w14:paraId="4B9DFA3E">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r>
      <w:tr w14:paraId="2DE0B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30" w:type="dxa"/>
            <w:tcBorders>
              <w:top w:val="single" w:color="auto" w:sz="4" w:space="0"/>
              <w:left w:val="single" w:color="auto" w:sz="4" w:space="0"/>
              <w:bottom w:val="single" w:color="auto" w:sz="4" w:space="0"/>
              <w:right w:val="single" w:color="auto" w:sz="4" w:space="0"/>
            </w:tcBorders>
            <w:noWrap w:val="0"/>
            <w:vAlign w:val="top"/>
          </w:tcPr>
          <w:p w14:paraId="3F5E64B3">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4" w:type="dxa"/>
            <w:tcBorders>
              <w:top w:val="single" w:color="auto" w:sz="4" w:space="0"/>
              <w:left w:val="single" w:color="auto" w:sz="4" w:space="0"/>
              <w:bottom w:val="single" w:color="auto" w:sz="4" w:space="0"/>
              <w:right w:val="single" w:color="auto" w:sz="4" w:space="0"/>
            </w:tcBorders>
            <w:noWrap w:val="0"/>
            <w:vAlign w:val="top"/>
          </w:tcPr>
          <w:p w14:paraId="0BB49FF9">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2" w:type="dxa"/>
            <w:tcBorders>
              <w:top w:val="single" w:color="auto" w:sz="4" w:space="0"/>
              <w:left w:val="single" w:color="auto" w:sz="4" w:space="0"/>
              <w:bottom w:val="single" w:color="auto" w:sz="4" w:space="0"/>
              <w:right w:val="single" w:color="auto" w:sz="4" w:space="0"/>
            </w:tcBorders>
            <w:noWrap w:val="0"/>
            <w:vAlign w:val="top"/>
          </w:tcPr>
          <w:p w14:paraId="27D6BC1E">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1220" w:type="dxa"/>
            <w:tcBorders>
              <w:top w:val="single" w:color="auto" w:sz="4" w:space="0"/>
              <w:left w:val="single" w:color="auto" w:sz="4" w:space="0"/>
              <w:bottom w:val="single" w:color="auto" w:sz="4" w:space="0"/>
              <w:right w:val="single" w:color="auto" w:sz="4" w:space="0"/>
            </w:tcBorders>
            <w:noWrap w:val="0"/>
            <w:vAlign w:val="top"/>
          </w:tcPr>
          <w:p w14:paraId="4F287FB1">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2" w:type="dxa"/>
            <w:tcBorders>
              <w:top w:val="single" w:color="auto" w:sz="4" w:space="0"/>
              <w:left w:val="single" w:color="auto" w:sz="4" w:space="0"/>
              <w:bottom w:val="single" w:color="auto" w:sz="4" w:space="0"/>
              <w:right w:val="single" w:color="auto" w:sz="4" w:space="0"/>
            </w:tcBorders>
            <w:noWrap w:val="0"/>
            <w:vAlign w:val="top"/>
          </w:tcPr>
          <w:p w14:paraId="1AB0EE6F">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4" w:type="dxa"/>
            <w:tcBorders>
              <w:top w:val="single" w:color="auto" w:sz="4" w:space="0"/>
              <w:left w:val="single" w:color="auto" w:sz="4" w:space="0"/>
              <w:bottom w:val="single" w:color="auto" w:sz="4" w:space="0"/>
              <w:right w:val="single" w:color="auto" w:sz="4" w:space="0"/>
            </w:tcBorders>
            <w:noWrap w:val="0"/>
            <w:vAlign w:val="top"/>
          </w:tcPr>
          <w:p w14:paraId="17CB6B4C">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811" w:type="dxa"/>
            <w:tcBorders>
              <w:top w:val="single" w:color="auto" w:sz="4" w:space="0"/>
              <w:left w:val="single" w:color="auto" w:sz="4" w:space="0"/>
              <w:bottom w:val="single" w:color="auto" w:sz="4" w:space="0"/>
              <w:right w:val="single" w:color="auto" w:sz="4" w:space="0"/>
            </w:tcBorders>
            <w:noWrap w:val="0"/>
            <w:vAlign w:val="top"/>
          </w:tcPr>
          <w:p w14:paraId="434B7240">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2848" w:type="dxa"/>
            <w:tcBorders>
              <w:top w:val="single" w:color="auto" w:sz="4" w:space="0"/>
              <w:left w:val="single" w:color="auto" w:sz="4" w:space="0"/>
              <w:bottom w:val="single" w:color="auto" w:sz="4" w:space="0"/>
              <w:right w:val="single" w:color="auto" w:sz="4" w:space="0"/>
            </w:tcBorders>
            <w:noWrap w:val="0"/>
            <w:vAlign w:val="top"/>
          </w:tcPr>
          <w:p w14:paraId="56B8DD48">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c>
          <w:tcPr>
            <w:tcW w:w="759" w:type="dxa"/>
            <w:tcBorders>
              <w:top w:val="single" w:color="auto" w:sz="4" w:space="0"/>
              <w:left w:val="single" w:color="auto" w:sz="4" w:space="0"/>
              <w:bottom w:val="single" w:color="auto" w:sz="4" w:space="0"/>
              <w:right w:val="single" w:color="auto" w:sz="4" w:space="0"/>
            </w:tcBorders>
            <w:noWrap w:val="0"/>
            <w:vAlign w:val="top"/>
          </w:tcPr>
          <w:p w14:paraId="405C2F32">
            <w:pPr>
              <w:keepNext w:val="0"/>
              <w:keepLines w:val="0"/>
              <w:suppressLineNumbers w:val="0"/>
              <w:adjustRightInd w:val="0"/>
              <w:snapToGrid w:val="0"/>
              <w:spacing w:before="0" w:beforeAutospacing="0" w:after="0" w:afterAutospacing="0" w:line="560" w:lineRule="exact"/>
              <w:ind w:left="0" w:right="0"/>
              <w:jc w:val="center"/>
              <w:rPr>
                <w:rFonts w:hint="default"/>
                <w:color w:val="auto"/>
                <w:szCs w:val="21"/>
                <w:highlight w:val="none"/>
              </w:rPr>
            </w:pPr>
          </w:p>
        </w:tc>
      </w:tr>
    </w:tbl>
    <w:p w14:paraId="1B3180F2">
      <w:pPr>
        <w:adjustRightInd w:val="0"/>
        <w:snapToGrid w:val="0"/>
        <w:spacing w:line="560" w:lineRule="exact"/>
        <w:rPr>
          <w:rFonts w:hint="eastAsia"/>
          <w:color w:val="auto"/>
          <w:highlight w:val="none"/>
        </w:rPr>
      </w:pPr>
      <w:r>
        <w:rPr>
          <w:rFonts w:hint="eastAsia"/>
          <w:b/>
          <w:color w:val="auto"/>
          <w:szCs w:val="21"/>
          <w:highlight w:val="none"/>
        </w:rPr>
        <w:t>备注：</w:t>
      </w:r>
      <w:r>
        <w:rPr>
          <w:rFonts w:hint="eastAsia"/>
          <w:color w:val="auto"/>
          <w:highlight w:val="none"/>
        </w:rPr>
        <w:t>根据安徽省住房和城乡建设厅《关于调整招标投标活动中有关住房城乡建设领域现场专业人员证书要求的通知》（建市函〔2019〕1112 号）要求，不再将住房城乡建设领域现场专业技术人员（包括施工员、质量员、安全员、资料员、材料员、劳务员、机械员、标准员）及取样员持证情况列入招标投标文件，招标人或招标代理机构需按照住房和城乡建设部及安徽省相关标准规定 明确投标人需要配备其他主要管理人员和技术人员数量的最低要求。中标人和招标人在签订合同时应按照不低于上述人员配置的要求填写承包人主要施工管理人员表，并作为合同的附件之一。</w:t>
      </w:r>
    </w:p>
    <w:p w14:paraId="68A5B884">
      <w:pPr>
        <w:spacing w:line="560" w:lineRule="exact"/>
        <w:rPr>
          <w:rFonts w:hint="eastAsia"/>
          <w:color w:val="auto"/>
          <w:highlight w:val="none"/>
        </w:rPr>
      </w:pPr>
    </w:p>
    <w:p w14:paraId="41D68F6D">
      <w:pPr>
        <w:pStyle w:val="9"/>
        <w:jc w:val="center"/>
        <w:rPr>
          <w:color w:val="auto"/>
          <w:sz w:val="23"/>
          <w:szCs w:val="23"/>
          <w:highlight w:val="none"/>
        </w:rPr>
      </w:pPr>
      <w:r>
        <w:rPr>
          <w:rFonts w:hint="eastAsia"/>
          <w:color w:val="auto"/>
          <w:highlight w:val="none"/>
        </w:rPr>
        <w:t>附表2：拟任项目经理（建造师）</w:t>
      </w:r>
      <w:r>
        <w:rPr>
          <w:color w:val="auto"/>
          <w:highlight w:val="none"/>
        </w:rPr>
        <w:t>简历表</w:t>
      </w:r>
    </w:p>
    <w:tbl>
      <w:tblPr>
        <w:tblStyle w:val="4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3"/>
        <w:gridCol w:w="394"/>
        <w:gridCol w:w="791"/>
        <w:gridCol w:w="1018"/>
        <w:gridCol w:w="1170"/>
        <w:gridCol w:w="777"/>
        <w:gridCol w:w="1385"/>
        <w:gridCol w:w="177"/>
        <w:gridCol w:w="2345"/>
      </w:tblGrid>
      <w:tr w14:paraId="19A1C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303" w:type="dxa"/>
            <w:noWrap w:val="0"/>
            <w:vAlign w:val="center"/>
          </w:tcPr>
          <w:p w14:paraId="02394652">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color w:val="auto"/>
                <w:szCs w:val="21"/>
                <w:highlight w:val="none"/>
              </w:rPr>
            </w:pPr>
            <w:r>
              <w:rPr>
                <w:rFonts w:hint="default" w:ascii="宋体" w:hAnsi="宋体"/>
                <w:color w:val="auto"/>
                <w:szCs w:val="21"/>
                <w:highlight w:val="none"/>
              </w:rPr>
              <w:t>姓  名</w:t>
            </w:r>
          </w:p>
        </w:tc>
        <w:tc>
          <w:tcPr>
            <w:tcW w:w="1185" w:type="dxa"/>
            <w:gridSpan w:val="2"/>
            <w:noWrap w:val="0"/>
            <w:vAlign w:val="center"/>
          </w:tcPr>
          <w:p w14:paraId="69654347">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color w:val="auto"/>
                <w:szCs w:val="21"/>
                <w:highlight w:val="none"/>
              </w:rPr>
            </w:pPr>
          </w:p>
        </w:tc>
        <w:tc>
          <w:tcPr>
            <w:tcW w:w="1018" w:type="dxa"/>
            <w:noWrap w:val="0"/>
            <w:vAlign w:val="center"/>
          </w:tcPr>
          <w:p w14:paraId="5797C05A">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color w:val="auto"/>
                <w:szCs w:val="21"/>
                <w:highlight w:val="none"/>
              </w:rPr>
            </w:pPr>
            <w:r>
              <w:rPr>
                <w:rFonts w:hint="default" w:ascii="宋体" w:hAnsi="宋体"/>
                <w:color w:val="auto"/>
                <w:szCs w:val="21"/>
                <w:highlight w:val="none"/>
              </w:rPr>
              <w:t>年 龄</w:t>
            </w:r>
          </w:p>
        </w:tc>
        <w:tc>
          <w:tcPr>
            <w:tcW w:w="1170" w:type="dxa"/>
            <w:noWrap w:val="0"/>
            <w:vAlign w:val="center"/>
          </w:tcPr>
          <w:p w14:paraId="3D3E8237">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color w:val="auto"/>
                <w:szCs w:val="21"/>
                <w:highlight w:val="none"/>
              </w:rPr>
            </w:pPr>
          </w:p>
        </w:tc>
        <w:tc>
          <w:tcPr>
            <w:tcW w:w="2339" w:type="dxa"/>
            <w:gridSpan w:val="3"/>
            <w:noWrap w:val="0"/>
            <w:vAlign w:val="center"/>
          </w:tcPr>
          <w:p w14:paraId="548C523E">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color w:val="auto"/>
                <w:szCs w:val="21"/>
                <w:highlight w:val="none"/>
              </w:rPr>
            </w:pPr>
            <w:r>
              <w:rPr>
                <w:rFonts w:hint="default" w:ascii="宋体" w:hAnsi="宋体"/>
                <w:color w:val="auto"/>
                <w:szCs w:val="21"/>
                <w:highlight w:val="none"/>
              </w:rPr>
              <w:t>学历</w:t>
            </w:r>
          </w:p>
        </w:tc>
        <w:tc>
          <w:tcPr>
            <w:tcW w:w="2345" w:type="dxa"/>
            <w:noWrap w:val="0"/>
            <w:vAlign w:val="center"/>
          </w:tcPr>
          <w:p w14:paraId="3C47D0BD">
            <w:pPr>
              <w:keepNext w:val="0"/>
              <w:keepLines w:val="0"/>
              <w:suppressLineNumbers w:val="0"/>
              <w:adjustRightInd w:val="0"/>
              <w:snapToGrid w:val="0"/>
              <w:spacing w:before="0" w:beforeAutospacing="0" w:after="0" w:afterAutospacing="0" w:line="560" w:lineRule="exact"/>
              <w:ind w:left="0" w:right="0"/>
              <w:rPr>
                <w:rFonts w:hint="default" w:ascii="宋体" w:hAnsi="宋体"/>
                <w:color w:val="auto"/>
                <w:szCs w:val="21"/>
                <w:highlight w:val="none"/>
              </w:rPr>
            </w:pPr>
          </w:p>
        </w:tc>
      </w:tr>
      <w:tr w14:paraId="5930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303" w:type="dxa"/>
            <w:noWrap w:val="0"/>
            <w:vAlign w:val="center"/>
          </w:tcPr>
          <w:p w14:paraId="41142B00">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color w:val="auto"/>
                <w:szCs w:val="21"/>
                <w:highlight w:val="none"/>
              </w:rPr>
            </w:pPr>
            <w:r>
              <w:rPr>
                <w:rFonts w:hint="default" w:ascii="宋体" w:hAnsi="宋体"/>
                <w:color w:val="auto"/>
                <w:szCs w:val="21"/>
                <w:highlight w:val="none"/>
              </w:rPr>
              <w:t>职  称</w:t>
            </w:r>
          </w:p>
        </w:tc>
        <w:tc>
          <w:tcPr>
            <w:tcW w:w="1185" w:type="dxa"/>
            <w:gridSpan w:val="2"/>
            <w:noWrap w:val="0"/>
            <w:vAlign w:val="center"/>
          </w:tcPr>
          <w:p w14:paraId="0B4318F5">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color w:val="auto"/>
                <w:szCs w:val="21"/>
                <w:highlight w:val="none"/>
              </w:rPr>
            </w:pPr>
          </w:p>
        </w:tc>
        <w:tc>
          <w:tcPr>
            <w:tcW w:w="1018" w:type="dxa"/>
            <w:noWrap w:val="0"/>
            <w:vAlign w:val="center"/>
          </w:tcPr>
          <w:p w14:paraId="46130363">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color w:val="auto"/>
                <w:szCs w:val="21"/>
                <w:highlight w:val="none"/>
              </w:rPr>
            </w:pPr>
            <w:r>
              <w:rPr>
                <w:rFonts w:hint="default" w:ascii="宋体" w:hAnsi="宋体"/>
                <w:color w:val="auto"/>
                <w:szCs w:val="21"/>
                <w:highlight w:val="none"/>
              </w:rPr>
              <w:t>职 务</w:t>
            </w:r>
          </w:p>
        </w:tc>
        <w:tc>
          <w:tcPr>
            <w:tcW w:w="1170" w:type="dxa"/>
            <w:noWrap w:val="0"/>
            <w:vAlign w:val="center"/>
          </w:tcPr>
          <w:p w14:paraId="75FAD811">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color w:val="auto"/>
                <w:szCs w:val="21"/>
                <w:highlight w:val="none"/>
              </w:rPr>
            </w:pPr>
          </w:p>
        </w:tc>
        <w:tc>
          <w:tcPr>
            <w:tcW w:w="2339" w:type="dxa"/>
            <w:gridSpan w:val="3"/>
            <w:noWrap w:val="0"/>
            <w:vAlign w:val="center"/>
          </w:tcPr>
          <w:p w14:paraId="1CEA9123">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color w:val="auto"/>
                <w:szCs w:val="21"/>
                <w:highlight w:val="none"/>
              </w:rPr>
            </w:pPr>
            <w:r>
              <w:rPr>
                <w:rFonts w:hint="default" w:ascii="宋体" w:hAnsi="宋体"/>
                <w:color w:val="auto"/>
                <w:szCs w:val="21"/>
                <w:highlight w:val="none"/>
              </w:rPr>
              <w:t>拟在本合同任职</w:t>
            </w:r>
          </w:p>
        </w:tc>
        <w:tc>
          <w:tcPr>
            <w:tcW w:w="2345" w:type="dxa"/>
            <w:noWrap w:val="0"/>
            <w:vAlign w:val="center"/>
          </w:tcPr>
          <w:p w14:paraId="3AD2EC5D">
            <w:pPr>
              <w:keepNext w:val="0"/>
              <w:keepLines w:val="0"/>
              <w:suppressLineNumbers w:val="0"/>
              <w:adjustRightInd w:val="0"/>
              <w:snapToGrid w:val="0"/>
              <w:spacing w:before="0" w:beforeAutospacing="0" w:after="0" w:afterAutospacing="0" w:line="560" w:lineRule="exact"/>
              <w:ind w:left="0" w:right="0"/>
              <w:rPr>
                <w:rFonts w:hint="default" w:ascii="宋体" w:hAnsi="宋体"/>
                <w:color w:val="auto"/>
                <w:szCs w:val="21"/>
                <w:highlight w:val="none"/>
              </w:rPr>
            </w:pPr>
          </w:p>
        </w:tc>
      </w:tr>
      <w:tr w14:paraId="7DF5E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303" w:type="dxa"/>
            <w:noWrap w:val="0"/>
            <w:vAlign w:val="center"/>
          </w:tcPr>
          <w:p w14:paraId="2720F756">
            <w:pPr>
              <w:keepNext w:val="0"/>
              <w:keepLines w:val="0"/>
              <w:suppressLineNumbers w:val="0"/>
              <w:adjustRightInd w:val="0"/>
              <w:snapToGrid w:val="0"/>
              <w:spacing w:before="0" w:beforeAutospacing="0" w:after="0" w:afterAutospacing="0" w:line="560" w:lineRule="exact"/>
              <w:ind w:left="0" w:right="0"/>
              <w:rPr>
                <w:rFonts w:hint="default" w:ascii="宋体" w:hAnsi="宋体"/>
                <w:color w:val="auto"/>
                <w:szCs w:val="21"/>
                <w:highlight w:val="none"/>
              </w:rPr>
            </w:pPr>
            <w:r>
              <w:rPr>
                <w:rFonts w:hint="default" w:ascii="宋体" w:hAnsi="宋体"/>
                <w:color w:val="auto"/>
                <w:szCs w:val="21"/>
                <w:highlight w:val="none"/>
              </w:rPr>
              <w:t>毕业学校</w:t>
            </w:r>
          </w:p>
        </w:tc>
        <w:tc>
          <w:tcPr>
            <w:tcW w:w="8057" w:type="dxa"/>
            <w:gridSpan w:val="8"/>
            <w:noWrap w:val="0"/>
            <w:vAlign w:val="top"/>
          </w:tcPr>
          <w:p w14:paraId="11FA82B7">
            <w:pPr>
              <w:keepNext w:val="0"/>
              <w:keepLines w:val="0"/>
              <w:suppressLineNumbers w:val="0"/>
              <w:adjustRightInd w:val="0"/>
              <w:snapToGrid w:val="0"/>
              <w:spacing w:before="0" w:beforeAutospacing="0" w:after="0" w:afterAutospacing="0" w:line="560" w:lineRule="exact"/>
              <w:ind w:left="0" w:right="0"/>
              <w:rPr>
                <w:rFonts w:hint="default" w:ascii="宋体" w:hAnsi="宋体"/>
                <w:color w:val="auto"/>
                <w:szCs w:val="21"/>
                <w:highlight w:val="none"/>
              </w:rPr>
            </w:pPr>
            <w:r>
              <w:rPr>
                <w:rFonts w:hint="default" w:ascii="宋体" w:hAnsi="宋体"/>
                <w:color w:val="auto"/>
                <w:szCs w:val="21"/>
                <w:highlight w:val="none"/>
              </w:rPr>
              <w:t xml:space="preserve">      年毕业于            学校        专业</w:t>
            </w:r>
          </w:p>
        </w:tc>
      </w:tr>
      <w:tr w14:paraId="2E47A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360" w:type="dxa"/>
            <w:gridSpan w:val="9"/>
            <w:noWrap w:val="0"/>
            <w:vAlign w:val="center"/>
          </w:tcPr>
          <w:p w14:paraId="5FF28822">
            <w:pPr>
              <w:keepNext w:val="0"/>
              <w:keepLines w:val="0"/>
              <w:suppressLineNumbers w:val="0"/>
              <w:adjustRightInd w:val="0"/>
              <w:snapToGrid w:val="0"/>
              <w:spacing w:before="0" w:beforeAutospacing="0" w:after="0" w:afterAutospacing="0" w:line="560" w:lineRule="exact"/>
              <w:ind w:left="0" w:right="0"/>
              <w:rPr>
                <w:rFonts w:hint="default" w:ascii="宋体" w:hAnsi="宋体"/>
                <w:color w:val="auto"/>
                <w:szCs w:val="21"/>
                <w:highlight w:val="none"/>
              </w:rPr>
            </w:pPr>
            <w:r>
              <w:rPr>
                <w:rFonts w:hint="default" w:ascii="宋体" w:hAnsi="宋体"/>
                <w:color w:val="auto"/>
                <w:szCs w:val="21"/>
                <w:highlight w:val="none"/>
              </w:rPr>
              <w:t>主要工作经历</w:t>
            </w:r>
          </w:p>
        </w:tc>
      </w:tr>
      <w:tr w14:paraId="66615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697" w:type="dxa"/>
            <w:gridSpan w:val="2"/>
            <w:noWrap w:val="0"/>
            <w:vAlign w:val="center"/>
          </w:tcPr>
          <w:p w14:paraId="4645B578">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color w:val="auto"/>
                <w:szCs w:val="21"/>
                <w:highlight w:val="none"/>
              </w:rPr>
            </w:pPr>
            <w:r>
              <w:rPr>
                <w:rFonts w:hint="default" w:ascii="宋体" w:hAnsi="宋体"/>
                <w:color w:val="auto"/>
                <w:szCs w:val="21"/>
                <w:highlight w:val="none"/>
              </w:rPr>
              <w:t>时  间</w:t>
            </w:r>
          </w:p>
        </w:tc>
        <w:tc>
          <w:tcPr>
            <w:tcW w:w="3756" w:type="dxa"/>
            <w:gridSpan w:val="4"/>
            <w:noWrap w:val="0"/>
            <w:vAlign w:val="center"/>
          </w:tcPr>
          <w:p w14:paraId="418A93DB">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color w:val="auto"/>
                <w:szCs w:val="21"/>
                <w:highlight w:val="none"/>
              </w:rPr>
            </w:pPr>
            <w:r>
              <w:rPr>
                <w:rFonts w:hint="default" w:ascii="宋体" w:hAnsi="宋体"/>
                <w:color w:val="auto"/>
                <w:szCs w:val="21"/>
                <w:highlight w:val="none"/>
              </w:rPr>
              <w:t>参加过的类似项目</w:t>
            </w:r>
          </w:p>
        </w:tc>
        <w:tc>
          <w:tcPr>
            <w:tcW w:w="1385" w:type="dxa"/>
            <w:noWrap w:val="0"/>
            <w:vAlign w:val="center"/>
          </w:tcPr>
          <w:p w14:paraId="74304F3A">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color w:val="auto"/>
                <w:szCs w:val="21"/>
                <w:highlight w:val="none"/>
              </w:rPr>
            </w:pPr>
            <w:r>
              <w:rPr>
                <w:rFonts w:hint="default" w:ascii="宋体" w:hAnsi="宋体"/>
                <w:color w:val="auto"/>
                <w:szCs w:val="21"/>
                <w:highlight w:val="none"/>
              </w:rPr>
              <w:t>担任职务</w:t>
            </w:r>
          </w:p>
        </w:tc>
        <w:tc>
          <w:tcPr>
            <w:tcW w:w="2522" w:type="dxa"/>
            <w:gridSpan w:val="2"/>
            <w:noWrap w:val="0"/>
            <w:vAlign w:val="center"/>
          </w:tcPr>
          <w:p w14:paraId="7C4FEBB1">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color w:val="auto"/>
                <w:szCs w:val="21"/>
                <w:highlight w:val="none"/>
              </w:rPr>
            </w:pPr>
            <w:r>
              <w:rPr>
                <w:rFonts w:hint="default" w:ascii="宋体" w:hAnsi="宋体"/>
                <w:color w:val="auto"/>
                <w:szCs w:val="21"/>
                <w:highlight w:val="none"/>
              </w:rPr>
              <w:t>发包人及联系电话</w:t>
            </w:r>
          </w:p>
        </w:tc>
      </w:tr>
      <w:tr w14:paraId="0D31F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1697" w:type="dxa"/>
            <w:gridSpan w:val="2"/>
            <w:noWrap w:val="0"/>
            <w:vAlign w:val="top"/>
          </w:tcPr>
          <w:p w14:paraId="232263B2">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3756" w:type="dxa"/>
            <w:gridSpan w:val="4"/>
            <w:noWrap w:val="0"/>
            <w:vAlign w:val="top"/>
          </w:tcPr>
          <w:p w14:paraId="57E4F81E">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1385" w:type="dxa"/>
            <w:noWrap w:val="0"/>
            <w:vAlign w:val="top"/>
          </w:tcPr>
          <w:p w14:paraId="0836DDAF">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2522" w:type="dxa"/>
            <w:gridSpan w:val="2"/>
            <w:noWrap w:val="0"/>
            <w:vAlign w:val="top"/>
          </w:tcPr>
          <w:p w14:paraId="1E2F40A7">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r>
      <w:tr w14:paraId="5C837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1697" w:type="dxa"/>
            <w:gridSpan w:val="2"/>
            <w:noWrap w:val="0"/>
            <w:vAlign w:val="top"/>
          </w:tcPr>
          <w:p w14:paraId="0468BB9C">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3756" w:type="dxa"/>
            <w:gridSpan w:val="4"/>
            <w:noWrap w:val="0"/>
            <w:vAlign w:val="top"/>
          </w:tcPr>
          <w:p w14:paraId="58F379FD">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1385" w:type="dxa"/>
            <w:noWrap w:val="0"/>
            <w:vAlign w:val="top"/>
          </w:tcPr>
          <w:p w14:paraId="755E756E">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2522" w:type="dxa"/>
            <w:gridSpan w:val="2"/>
            <w:noWrap w:val="0"/>
            <w:vAlign w:val="top"/>
          </w:tcPr>
          <w:p w14:paraId="22522F7C">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r>
      <w:tr w14:paraId="56800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1697" w:type="dxa"/>
            <w:gridSpan w:val="2"/>
            <w:noWrap w:val="0"/>
            <w:vAlign w:val="top"/>
          </w:tcPr>
          <w:p w14:paraId="27955B5F">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3756" w:type="dxa"/>
            <w:gridSpan w:val="4"/>
            <w:noWrap w:val="0"/>
            <w:vAlign w:val="top"/>
          </w:tcPr>
          <w:p w14:paraId="40F2A3CD">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1385" w:type="dxa"/>
            <w:noWrap w:val="0"/>
            <w:vAlign w:val="top"/>
          </w:tcPr>
          <w:p w14:paraId="4C48B4E1">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2522" w:type="dxa"/>
            <w:gridSpan w:val="2"/>
            <w:noWrap w:val="0"/>
            <w:vAlign w:val="top"/>
          </w:tcPr>
          <w:p w14:paraId="4D6E72A6">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r>
      <w:tr w14:paraId="08D9E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1697" w:type="dxa"/>
            <w:gridSpan w:val="2"/>
            <w:noWrap w:val="0"/>
            <w:vAlign w:val="top"/>
          </w:tcPr>
          <w:p w14:paraId="38CF8C4B">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3756" w:type="dxa"/>
            <w:gridSpan w:val="4"/>
            <w:noWrap w:val="0"/>
            <w:vAlign w:val="top"/>
          </w:tcPr>
          <w:p w14:paraId="6070BB44">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1385" w:type="dxa"/>
            <w:noWrap w:val="0"/>
            <w:vAlign w:val="top"/>
          </w:tcPr>
          <w:p w14:paraId="1A33A244">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2522" w:type="dxa"/>
            <w:gridSpan w:val="2"/>
            <w:noWrap w:val="0"/>
            <w:vAlign w:val="top"/>
          </w:tcPr>
          <w:p w14:paraId="1884DB72">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r>
      <w:tr w14:paraId="49A95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1697" w:type="dxa"/>
            <w:gridSpan w:val="2"/>
            <w:noWrap w:val="0"/>
            <w:vAlign w:val="top"/>
          </w:tcPr>
          <w:p w14:paraId="271AD145">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3756" w:type="dxa"/>
            <w:gridSpan w:val="4"/>
            <w:noWrap w:val="0"/>
            <w:vAlign w:val="top"/>
          </w:tcPr>
          <w:p w14:paraId="59CCC5AD">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1385" w:type="dxa"/>
            <w:noWrap w:val="0"/>
            <w:vAlign w:val="top"/>
          </w:tcPr>
          <w:p w14:paraId="6AB2BA01">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2522" w:type="dxa"/>
            <w:gridSpan w:val="2"/>
            <w:noWrap w:val="0"/>
            <w:vAlign w:val="top"/>
          </w:tcPr>
          <w:p w14:paraId="3E511904">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r>
      <w:tr w14:paraId="06202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1697" w:type="dxa"/>
            <w:gridSpan w:val="2"/>
            <w:noWrap w:val="0"/>
            <w:vAlign w:val="top"/>
          </w:tcPr>
          <w:p w14:paraId="5CAECDBD">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3756" w:type="dxa"/>
            <w:gridSpan w:val="4"/>
            <w:noWrap w:val="0"/>
            <w:vAlign w:val="top"/>
          </w:tcPr>
          <w:p w14:paraId="10B276DE">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1385" w:type="dxa"/>
            <w:noWrap w:val="0"/>
            <w:vAlign w:val="top"/>
          </w:tcPr>
          <w:p w14:paraId="742CC8A2">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2522" w:type="dxa"/>
            <w:gridSpan w:val="2"/>
            <w:noWrap w:val="0"/>
            <w:vAlign w:val="top"/>
          </w:tcPr>
          <w:p w14:paraId="460A9DF4">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r>
      <w:tr w14:paraId="40078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1697" w:type="dxa"/>
            <w:gridSpan w:val="2"/>
            <w:noWrap w:val="0"/>
            <w:vAlign w:val="top"/>
          </w:tcPr>
          <w:p w14:paraId="514DFE7D">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3756" w:type="dxa"/>
            <w:gridSpan w:val="4"/>
            <w:noWrap w:val="0"/>
            <w:vAlign w:val="top"/>
          </w:tcPr>
          <w:p w14:paraId="6742D635">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1385" w:type="dxa"/>
            <w:noWrap w:val="0"/>
            <w:vAlign w:val="top"/>
          </w:tcPr>
          <w:p w14:paraId="69C6C8B9">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2522" w:type="dxa"/>
            <w:gridSpan w:val="2"/>
            <w:noWrap w:val="0"/>
            <w:vAlign w:val="top"/>
          </w:tcPr>
          <w:p w14:paraId="0B12D571">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r>
      <w:tr w14:paraId="2F658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1697" w:type="dxa"/>
            <w:gridSpan w:val="2"/>
            <w:noWrap w:val="0"/>
            <w:vAlign w:val="top"/>
          </w:tcPr>
          <w:p w14:paraId="35D60362">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3756" w:type="dxa"/>
            <w:gridSpan w:val="4"/>
            <w:noWrap w:val="0"/>
            <w:vAlign w:val="top"/>
          </w:tcPr>
          <w:p w14:paraId="5C79AD56">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1385" w:type="dxa"/>
            <w:noWrap w:val="0"/>
            <w:vAlign w:val="top"/>
          </w:tcPr>
          <w:p w14:paraId="7F952662">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2522" w:type="dxa"/>
            <w:gridSpan w:val="2"/>
            <w:noWrap w:val="0"/>
            <w:vAlign w:val="top"/>
          </w:tcPr>
          <w:p w14:paraId="05E7A8B2">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r>
      <w:tr w14:paraId="0B2B9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1697" w:type="dxa"/>
            <w:gridSpan w:val="2"/>
            <w:noWrap w:val="0"/>
            <w:vAlign w:val="top"/>
          </w:tcPr>
          <w:p w14:paraId="29371098">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3756" w:type="dxa"/>
            <w:gridSpan w:val="4"/>
            <w:noWrap w:val="0"/>
            <w:vAlign w:val="top"/>
          </w:tcPr>
          <w:p w14:paraId="7161546C">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1385" w:type="dxa"/>
            <w:noWrap w:val="0"/>
            <w:vAlign w:val="top"/>
          </w:tcPr>
          <w:p w14:paraId="48E76EEF">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2522" w:type="dxa"/>
            <w:gridSpan w:val="2"/>
            <w:noWrap w:val="0"/>
            <w:vAlign w:val="top"/>
          </w:tcPr>
          <w:p w14:paraId="1882C80F">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r>
      <w:tr w14:paraId="6BBBD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1697" w:type="dxa"/>
            <w:gridSpan w:val="2"/>
            <w:noWrap w:val="0"/>
            <w:vAlign w:val="top"/>
          </w:tcPr>
          <w:p w14:paraId="2E4A6BC1">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3756" w:type="dxa"/>
            <w:gridSpan w:val="4"/>
            <w:noWrap w:val="0"/>
            <w:vAlign w:val="top"/>
          </w:tcPr>
          <w:p w14:paraId="653AA903">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1385" w:type="dxa"/>
            <w:noWrap w:val="0"/>
            <w:vAlign w:val="top"/>
          </w:tcPr>
          <w:p w14:paraId="7945B734">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2522" w:type="dxa"/>
            <w:gridSpan w:val="2"/>
            <w:noWrap w:val="0"/>
            <w:vAlign w:val="top"/>
          </w:tcPr>
          <w:p w14:paraId="1DEF6D8C">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r>
      <w:tr w14:paraId="434F9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1697" w:type="dxa"/>
            <w:gridSpan w:val="2"/>
            <w:noWrap w:val="0"/>
            <w:vAlign w:val="top"/>
          </w:tcPr>
          <w:p w14:paraId="7BCD4F92">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3756" w:type="dxa"/>
            <w:gridSpan w:val="4"/>
            <w:noWrap w:val="0"/>
            <w:vAlign w:val="top"/>
          </w:tcPr>
          <w:p w14:paraId="7EDA1488">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1385" w:type="dxa"/>
            <w:noWrap w:val="0"/>
            <w:vAlign w:val="top"/>
          </w:tcPr>
          <w:p w14:paraId="572AAF93">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2522" w:type="dxa"/>
            <w:gridSpan w:val="2"/>
            <w:noWrap w:val="0"/>
            <w:vAlign w:val="top"/>
          </w:tcPr>
          <w:p w14:paraId="270A2BBA">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r>
    </w:tbl>
    <w:p w14:paraId="08C9A83B">
      <w:pPr>
        <w:rPr>
          <w:rFonts w:hint="eastAsia"/>
          <w:color w:val="auto"/>
          <w:highlight w:val="none"/>
        </w:rPr>
      </w:pPr>
      <w:r>
        <w:rPr>
          <w:rFonts w:hint="eastAsia"/>
          <w:color w:val="auto"/>
          <w:highlight w:val="none"/>
        </w:rPr>
        <w:br w:type="page"/>
      </w:r>
    </w:p>
    <w:p w14:paraId="03332020">
      <w:pPr>
        <w:pStyle w:val="9"/>
        <w:jc w:val="center"/>
        <w:rPr>
          <w:color w:val="auto"/>
          <w:sz w:val="23"/>
          <w:szCs w:val="23"/>
          <w:highlight w:val="none"/>
        </w:rPr>
      </w:pPr>
      <w:r>
        <w:rPr>
          <w:rFonts w:hint="eastAsia"/>
          <w:color w:val="auto"/>
          <w:highlight w:val="none"/>
        </w:rPr>
        <w:t>附表3：拟任项目技术负责人简历表</w:t>
      </w:r>
    </w:p>
    <w:tbl>
      <w:tblPr>
        <w:tblStyle w:val="46"/>
        <w:tblW w:w="9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8"/>
        <w:gridCol w:w="396"/>
        <w:gridCol w:w="794"/>
        <w:gridCol w:w="1023"/>
        <w:gridCol w:w="1175"/>
        <w:gridCol w:w="781"/>
        <w:gridCol w:w="1390"/>
        <w:gridCol w:w="178"/>
        <w:gridCol w:w="2355"/>
      </w:tblGrid>
      <w:tr w14:paraId="72FEE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308" w:type="dxa"/>
            <w:noWrap w:val="0"/>
            <w:vAlign w:val="center"/>
          </w:tcPr>
          <w:p w14:paraId="0A4A2FF2">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color w:val="auto"/>
                <w:szCs w:val="21"/>
                <w:highlight w:val="none"/>
              </w:rPr>
            </w:pPr>
            <w:r>
              <w:rPr>
                <w:rFonts w:hint="default" w:ascii="宋体" w:hAnsi="宋体"/>
                <w:color w:val="auto"/>
                <w:szCs w:val="21"/>
                <w:highlight w:val="none"/>
              </w:rPr>
              <w:t>姓  名</w:t>
            </w:r>
          </w:p>
        </w:tc>
        <w:tc>
          <w:tcPr>
            <w:tcW w:w="1190" w:type="dxa"/>
            <w:gridSpan w:val="2"/>
            <w:noWrap w:val="0"/>
            <w:vAlign w:val="center"/>
          </w:tcPr>
          <w:p w14:paraId="30E4D033">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color w:val="auto"/>
                <w:szCs w:val="21"/>
                <w:highlight w:val="none"/>
              </w:rPr>
            </w:pPr>
          </w:p>
        </w:tc>
        <w:tc>
          <w:tcPr>
            <w:tcW w:w="1023" w:type="dxa"/>
            <w:noWrap w:val="0"/>
            <w:vAlign w:val="center"/>
          </w:tcPr>
          <w:p w14:paraId="7FAA39B5">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color w:val="auto"/>
                <w:szCs w:val="21"/>
                <w:highlight w:val="none"/>
              </w:rPr>
            </w:pPr>
            <w:r>
              <w:rPr>
                <w:rFonts w:hint="default" w:ascii="宋体" w:hAnsi="宋体"/>
                <w:color w:val="auto"/>
                <w:szCs w:val="21"/>
                <w:highlight w:val="none"/>
              </w:rPr>
              <w:t>年 龄</w:t>
            </w:r>
          </w:p>
        </w:tc>
        <w:tc>
          <w:tcPr>
            <w:tcW w:w="1175" w:type="dxa"/>
            <w:noWrap w:val="0"/>
            <w:vAlign w:val="center"/>
          </w:tcPr>
          <w:p w14:paraId="09A3CF5F">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color w:val="auto"/>
                <w:szCs w:val="21"/>
                <w:highlight w:val="none"/>
              </w:rPr>
            </w:pPr>
          </w:p>
        </w:tc>
        <w:tc>
          <w:tcPr>
            <w:tcW w:w="2349" w:type="dxa"/>
            <w:gridSpan w:val="3"/>
            <w:noWrap w:val="0"/>
            <w:vAlign w:val="center"/>
          </w:tcPr>
          <w:p w14:paraId="44D7DACC">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color w:val="auto"/>
                <w:szCs w:val="21"/>
                <w:highlight w:val="none"/>
              </w:rPr>
            </w:pPr>
            <w:r>
              <w:rPr>
                <w:rFonts w:hint="default" w:ascii="宋体" w:hAnsi="宋体"/>
                <w:color w:val="auto"/>
                <w:szCs w:val="21"/>
                <w:highlight w:val="none"/>
              </w:rPr>
              <w:t>学历</w:t>
            </w:r>
          </w:p>
        </w:tc>
        <w:tc>
          <w:tcPr>
            <w:tcW w:w="2355" w:type="dxa"/>
            <w:noWrap w:val="0"/>
            <w:vAlign w:val="center"/>
          </w:tcPr>
          <w:p w14:paraId="7F8BDC23">
            <w:pPr>
              <w:keepNext w:val="0"/>
              <w:keepLines w:val="0"/>
              <w:suppressLineNumbers w:val="0"/>
              <w:adjustRightInd w:val="0"/>
              <w:snapToGrid w:val="0"/>
              <w:spacing w:before="0" w:beforeAutospacing="0" w:after="0" w:afterAutospacing="0" w:line="560" w:lineRule="exact"/>
              <w:ind w:left="0" w:right="0"/>
              <w:rPr>
                <w:rFonts w:hint="default" w:ascii="宋体" w:hAnsi="宋体"/>
                <w:color w:val="auto"/>
                <w:szCs w:val="21"/>
                <w:highlight w:val="none"/>
              </w:rPr>
            </w:pPr>
          </w:p>
        </w:tc>
      </w:tr>
      <w:tr w14:paraId="71164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308" w:type="dxa"/>
            <w:noWrap w:val="0"/>
            <w:vAlign w:val="center"/>
          </w:tcPr>
          <w:p w14:paraId="3545E106">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color w:val="auto"/>
                <w:szCs w:val="21"/>
                <w:highlight w:val="none"/>
              </w:rPr>
            </w:pPr>
            <w:r>
              <w:rPr>
                <w:rFonts w:hint="default" w:ascii="宋体" w:hAnsi="宋体"/>
                <w:color w:val="auto"/>
                <w:szCs w:val="21"/>
                <w:highlight w:val="none"/>
              </w:rPr>
              <w:t>职  称</w:t>
            </w:r>
          </w:p>
        </w:tc>
        <w:tc>
          <w:tcPr>
            <w:tcW w:w="1190" w:type="dxa"/>
            <w:gridSpan w:val="2"/>
            <w:noWrap w:val="0"/>
            <w:vAlign w:val="center"/>
          </w:tcPr>
          <w:p w14:paraId="2971243C">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color w:val="auto"/>
                <w:szCs w:val="21"/>
                <w:highlight w:val="none"/>
              </w:rPr>
            </w:pPr>
          </w:p>
        </w:tc>
        <w:tc>
          <w:tcPr>
            <w:tcW w:w="1023" w:type="dxa"/>
            <w:noWrap w:val="0"/>
            <w:vAlign w:val="center"/>
          </w:tcPr>
          <w:p w14:paraId="6B49A249">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color w:val="auto"/>
                <w:szCs w:val="21"/>
                <w:highlight w:val="none"/>
              </w:rPr>
            </w:pPr>
            <w:r>
              <w:rPr>
                <w:rFonts w:hint="default" w:ascii="宋体" w:hAnsi="宋体"/>
                <w:color w:val="auto"/>
                <w:szCs w:val="21"/>
                <w:highlight w:val="none"/>
              </w:rPr>
              <w:t>职 务</w:t>
            </w:r>
          </w:p>
        </w:tc>
        <w:tc>
          <w:tcPr>
            <w:tcW w:w="1175" w:type="dxa"/>
            <w:noWrap w:val="0"/>
            <w:vAlign w:val="center"/>
          </w:tcPr>
          <w:p w14:paraId="030DD9E1">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color w:val="auto"/>
                <w:szCs w:val="21"/>
                <w:highlight w:val="none"/>
              </w:rPr>
            </w:pPr>
          </w:p>
        </w:tc>
        <w:tc>
          <w:tcPr>
            <w:tcW w:w="2349" w:type="dxa"/>
            <w:gridSpan w:val="3"/>
            <w:noWrap w:val="0"/>
            <w:vAlign w:val="center"/>
          </w:tcPr>
          <w:p w14:paraId="2AB46C13">
            <w:pPr>
              <w:keepNext w:val="0"/>
              <w:keepLines w:val="0"/>
              <w:suppressLineNumbers w:val="0"/>
              <w:adjustRightInd w:val="0"/>
              <w:snapToGrid w:val="0"/>
              <w:spacing w:before="0" w:beforeAutospacing="0" w:after="0" w:afterAutospacing="0" w:line="560" w:lineRule="exact"/>
              <w:ind w:left="0" w:right="0"/>
              <w:jc w:val="center"/>
              <w:rPr>
                <w:rFonts w:hint="default" w:ascii="宋体" w:hAnsi="宋体"/>
                <w:color w:val="auto"/>
                <w:szCs w:val="21"/>
                <w:highlight w:val="none"/>
              </w:rPr>
            </w:pPr>
            <w:r>
              <w:rPr>
                <w:rFonts w:hint="default" w:ascii="宋体" w:hAnsi="宋体"/>
                <w:color w:val="auto"/>
                <w:szCs w:val="21"/>
                <w:highlight w:val="none"/>
              </w:rPr>
              <w:t>拟在本合同任职</w:t>
            </w:r>
          </w:p>
        </w:tc>
        <w:tc>
          <w:tcPr>
            <w:tcW w:w="2355" w:type="dxa"/>
            <w:noWrap w:val="0"/>
            <w:vAlign w:val="center"/>
          </w:tcPr>
          <w:p w14:paraId="42ED94B7">
            <w:pPr>
              <w:keepNext w:val="0"/>
              <w:keepLines w:val="0"/>
              <w:suppressLineNumbers w:val="0"/>
              <w:adjustRightInd w:val="0"/>
              <w:snapToGrid w:val="0"/>
              <w:spacing w:before="0" w:beforeAutospacing="0" w:after="0" w:afterAutospacing="0" w:line="560" w:lineRule="exact"/>
              <w:ind w:left="0" w:right="0"/>
              <w:rPr>
                <w:rFonts w:hint="default" w:ascii="宋体" w:hAnsi="宋体"/>
                <w:color w:val="auto"/>
                <w:szCs w:val="21"/>
                <w:highlight w:val="none"/>
              </w:rPr>
            </w:pPr>
          </w:p>
        </w:tc>
      </w:tr>
      <w:tr w14:paraId="4BC95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308" w:type="dxa"/>
            <w:noWrap w:val="0"/>
            <w:vAlign w:val="center"/>
          </w:tcPr>
          <w:p w14:paraId="423E2268">
            <w:pPr>
              <w:keepNext w:val="0"/>
              <w:keepLines w:val="0"/>
              <w:suppressLineNumbers w:val="0"/>
              <w:adjustRightInd w:val="0"/>
              <w:snapToGrid w:val="0"/>
              <w:spacing w:before="0" w:beforeAutospacing="0" w:after="0" w:afterAutospacing="0" w:line="560" w:lineRule="exact"/>
              <w:ind w:left="0" w:right="0"/>
              <w:rPr>
                <w:rFonts w:hint="default" w:ascii="宋体" w:hAnsi="宋体"/>
                <w:color w:val="auto"/>
                <w:szCs w:val="21"/>
                <w:highlight w:val="none"/>
              </w:rPr>
            </w:pPr>
            <w:r>
              <w:rPr>
                <w:rFonts w:hint="default" w:ascii="宋体" w:hAnsi="宋体"/>
                <w:color w:val="auto"/>
                <w:szCs w:val="21"/>
                <w:highlight w:val="none"/>
              </w:rPr>
              <w:t>毕业学校</w:t>
            </w:r>
          </w:p>
        </w:tc>
        <w:tc>
          <w:tcPr>
            <w:tcW w:w="8092" w:type="dxa"/>
            <w:gridSpan w:val="8"/>
            <w:noWrap w:val="0"/>
            <w:vAlign w:val="top"/>
          </w:tcPr>
          <w:p w14:paraId="5AE27DFC">
            <w:pPr>
              <w:keepNext w:val="0"/>
              <w:keepLines w:val="0"/>
              <w:suppressLineNumbers w:val="0"/>
              <w:adjustRightInd w:val="0"/>
              <w:snapToGrid w:val="0"/>
              <w:spacing w:before="0" w:beforeAutospacing="0" w:after="0" w:afterAutospacing="0" w:line="560" w:lineRule="exact"/>
              <w:ind w:left="0" w:right="0"/>
              <w:rPr>
                <w:rFonts w:hint="default" w:ascii="宋体" w:hAnsi="宋体"/>
                <w:color w:val="auto"/>
                <w:szCs w:val="21"/>
                <w:highlight w:val="none"/>
              </w:rPr>
            </w:pPr>
            <w:r>
              <w:rPr>
                <w:rFonts w:hint="default" w:ascii="宋体" w:hAnsi="宋体"/>
                <w:color w:val="auto"/>
                <w:szCs w:val="21"/>
                <w:highlight w:val="none"/>
              </w:rPr>
              <w:t xml:space="preserve">      年毕业于            学校        专业</w:t>
            </w:r>
          </w:p>
        </w:tc>
      </w:tr>
      <w:tr w14:paraId="55D3D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400" w:type="dxa"/>
            <w:gridSpan w:val="9"/>
            <w:noWrap w:val="0"/>
            <w:vAlign w:val="center"/>
          </w:tcPr>
          <w:p w14:paraId="6FB33A5C">
            <w:pPr>
              <w:keepNext w:val="0"/>
              <w:keepLines w:val="0"/>
              <w:suppressLineNumbers w:val="0"/>
              <w:adjustRightInd w:val="0"/>
              <w:snapToGrid w:val="0"/>
              <w:spacing w:before="0" w:beforeAutospacing="0" w:after="0" w:afterAutospacing="0" w:line="560" w:lineRule="exact"/>
              <w:ind w:left="0" w:right="0"/>
              <w:rPr>
                <w:rFonts w:hint="default" w:ascii="宋体" w:hAnsi="宋体"/>
                <w:color w:val="auto"/>
                <w:szCs w:val="21"/>
                <w:highlight w:val="none"/>
              </w:rPr>
            </w:pPr>
            <w:r>
              <w:rPr>
                <w:rFonts w:hint="default" w:ascii="宋体" w:hAnsi="宋体"/>
                <w:color w:val="auto"/>
                <w:szCs w:val="21"/>
                <w:highlight w:val="none"/>
              </w:rPr>
              <w:t>主要工作经历</w:t>
            </w:r>
          </w:p>
        </w:tc>
      </w:tr>
      <w:tr w14:paraId="1387F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704" w:type="dxa"/>
            <w:gridSpan w:val="2"/>
            <w:noWrap w:val="0"/>
            <w:vAlign w:val="center"/>
          </w:tcPr>
          <w:p w14:paraId="7323340F">
            <w:pPr>
              <w:keepNext w:val="0"/>
              <w:keepLines w:val="0"/>
              <w:suppressLineNumbers w:val="0"/>
              <w:adjustRightInd w:val="0"/>
              <w:snapToGrid w:val="0"/>
              <w:spacing w:before="0" w:beforeAutospacing="0" w:after="0" w:afterAutospacing="0" w:line="560" w:lineRule="exact"/>
              <w:ind w:left="0" w:right="0"/>
              <w:rPr>
                <w:rFonts w:hint="default" w:ascii="宋体" w:hAnsi="宋体"/>
                <w:color w:val="auto"/>
                <w:szCs w:val="21"/>
                <w:highlight w:val="none"/>
              </w:rPr>
            </w:pPr>
            <w:r>
              <w:rPr>
                <w:rFonts w:hint="default" w:ascii="宋体" w:hAnsi="宋体"/>
                <w:color w:val="auto"/>
                <w:szCs w:val="21"/>
                <w:highlight w:val="none"/>
              </w:rPr>
              <w:t>时  间</w:t>
            </w:r>
          </w:p>
        </w:tc>
        <w:tc>
          <w:tcPr>
            <w:tcW w:w="3773" w:type="dxa"/>
            <w:gridSpan w:val="4"/>
            <w:noWrap w:val="0"/>
            <w:vAlign w:val="center"/>
          </w:tcPr>
          <w:p w14:paraId="7CF6EACB">
            <w:pPr>
              <w:keepNext w:val="0"/>
              <w:keepLines w:val="0"/>
              <w:suppressLineNumbers w:val="0"/>
              <w:adjustRightInd w:val="0"/>
              <w:snapToGrid w:val="0"/>
              <w:spacing w:before="0" w:beforeAutospacing="0" w:after="0" w:afterAutospacing="0" w:line="560" w:lineRule="exact"/>
              <w:ind w:left="0" w:right="0"/>
              <w:rPr>
                <w:rFonts w:hint="default" w:ascii="宋体" w:hAnsi="宋体"/>
                <w:color w:val="auto"/>
                <w:szCs w:val="21"/>
                <w:highlight w:val="none"/>
              </w:rPr>
            </w:pPr>
            <w:r>
              <w:rPr>
                <w:rFonts w:hint="default" w:ascii="宋体" w:hAnsi="宋体"/>
                <w:color w:val="auto"/>
                <w:szCs w:val="21"/>
                <w:highlight w:val="none"/>
              </w:rPr>
              <w:t>参加过的类似项目</w:t>
            </w:r>
          </w:p>
        </w:tc>
        <w:tc>
          <w:tcPr>
            <w:tcW w:w="1390" w:type="dxa"/>
            <w:noWrap w:val="0"/>
            <w:vAlign w:val="center"/>
          </w:tcPr>
          <w:p w14:paraId="70936C93">
            <w:pPr>
              <w:keepNext w:val="0"/>
              <w:keepLines w:val="0"/>
              <w:suppressLineNumbers w:val="0"/>
              <w:adjustRightInd w:val="0"/>
              <w:snapToGrid w:val="0"/>
              <w:spacing w:before="0" w:beforeAutospacing="0" w:after="0" w:afterAutospacing="0" w:line="560" w:lineRule="exact"/>
              <w:ind w:left="0" w:right="0"/>
              <w:rPr>
                <w:rFonts w:hint="default" w:ascii="宋体" w:hAnsi="宋体"/>
                <w:color w:val="auto"/>
                <w:szCs w:val="21"/>
                <w:highlight w:val="none"/>
              </w:rPr>
            </w:pPr>
            <w:r>
              <w:rPr>
                <w:rFonts w:hint="default" w:ascii="宋体" w:hAnsi="宋体"/>
                <w:color w:val="auto"/>
                <w:szCs w:val="21"/>
                <w:highlight w:val="none"/>
              </w:rPr>
              <w:t>担任职务</w:t>
            </w:r>
          </w:p>
        </w:tc>
        <w:tc>
          <w:tcPr>
            <w:tcW w:w="2533" w:type="dxa"/>
            <w:gridSpan w:val="2"/>
            <w:noWrap w:val="0"/>
            <w:vAlign w:val="center"/>
          </w:tcPr>
          <w:p w14:paraId="5EB6C964">
            <w:pPr>
              <w:keepNext w:val="0"/>
              <w:keepLines w:val="0"/>
              <w:suppressLineNumbers w:val="0"/>
              <w:adjustRightInd w:val="0"/>
              <w:snapToGrid w:val="0"/>
              <w:spacing w:before="0" w:beforeAutospacing="0" w:after="0" w:afterAutospacing="0" w:line="560" w:lineRule="exact"/>
              <w:ind w:left="0" w:right="0"/>
              <w:rPr>
                <w:rFonts w:hint="default" w:ascii="宋体" w:hAnsi="宋体"/>
                <w:color w:val="auto"/>
                <w:szCs w:val="21"/>
                <w:highlight w:val="none"/>
              </w:rPr>
            </w:pPr>
            <w:r>
              <w:rPr>
                <w:rFonts w:hint="default" w:ascii="宋体" w:hAnsi="宋体"/>
                <w:color w:val="auto"/>
                <w:szCs w:val="21"/>
                <w:highlight w:val="none"/>
              </w:rPr>
              <w:t>发包人及联系电话</w:t>
            </w:r>
          </w:p>
        </w:tc>
      </w:tr>
      <w:tr w14:paraId="0C3D0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1704" w:type="dxa"/>
            <w:gridSpan w:val="2"/>
            <w:noWrap w:val="0"/>
            <w:vAlign w:val="top"/>
          </w:tcPr>
          <w:p w14:paraId="1F73BCBD">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3773" w:type="dxa"/>
            <w:gridSpan w:val="4"/>
            <w:noWrap w:val="0"/>
            <w:vAlign w:val="top"/>
          </w:tcPr>
          <w:p w14:paraId="5CB47D02">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1390" w:type="dxa"/>
            <w:noWrap w:val="0"/>
            <w:vAlign w:val="top"/>
          </w:tcPr>
          <w:p w14:paraId="0C8B4CDA">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2533" w:type="dxa"/>
            <w:gridSpan w:val="2"/>
            <w:noWrap w:val="0"/>
            <w:vAlign w:val="top"/>
          </w:tcPr>
          <w:p w14:paraId="2770E1CA">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r>
      <w:tr w14:paraId="56B8A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1704" w:type="dxa"/>
            <w:gridSpan w:val="2"/>
            <w:noWrap w:val="0"/>
            <w:vAlign w:val="top"/>
          </w:tcPr>
          <w:p w14:paraId="5E2DA196">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3773" w:type="dxa"/>
            <w:gridSpan w:val="4"/>
            <w:noWrap w:val="0"/>
            <w:vAlign w:val="top"/>
          </w:tcPr>
          <w:p w14:paraId="7E38B883">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1390" w:type="dxa"/>
            <w:noWrap w:val="0"/>
            <w:vAlign w:val="top"/>
          </w:tcPr>
          <w:p w14:paraId="2EDFBD18">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2533" w:type="dxa"/>
            <w:gridSpan w:val="2"/>
            <w:noWrap w:val="0"/>
            <w:vAlign w:val="top"/>
          </w:tcPr>
          <w:p w14:paraId="6A571D8D">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r>
      <w:tr w14:paraId="19EEC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1704" w:type="dxa"/>
            <w:gridSpan w:val="2"/>
            <w:noWrap w:val="0"/>
            <w:vAlign w:val="top"/>
          </w:tcPr>
          <w:p w14:paraId="696C1808">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3773" w:type="dxa"/>
            <w:gridSpan w:val="4"/>
            <w:noWrap w:val="0"/>
            <w:vAlign w:val="top"/>
          </w:tcPr>
          <w:p w14:paraId="41B10CED">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1390" w:type="dxa"/>
            <w:noWrap w:val="0"/>
            <w:vAlign w:val="top"/>
          </w:tcPr>
          <w:p w14:paraId="4B0C91C9">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2533" w:type="dxa"/>
            <w:gridSpan w:val="2"/>
            <w:noWrap w:val="0"/>
            <w:vAlign w:val="top"/>
          </w:tcPr>
          <w:p w14:paraId="1A8EE44A">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r>
      <w:tr w14:paraId="431D9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1704" w:type="dxa"/>
            <w:gridSpan w:val="2"/>
            <w:noWrap w:val="0"/>
            <w:vAlign w:val="top"/>
          </w:tcPr>
          <w:p w14:paraId="61CA01B2">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3773" w:type="dxa"/>
            <w:gridSpan w:val="4"/>
            <w:noWrap w:val="0"/>
            <w:vAlign w:val="top"/>
          </w:tcPr>
          <w:p w14:paraId="18AC3EB0">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1390" w:type="dxa"/>
            <w:noWrap w:val="0"/>
            <w:vAlign w:val="top"/>
          </w:tcPr>
          <w:p w14:paraId="2230F6C6">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2533" w:type="dxa"/>
            <w:gridSpan w:val="2"/>
            <w:noWrap w:val="0"/>
            <w:vAlign w:val="top"/>
          </w:tcPr>
          <w:p w14:paraId="4B76C6EE">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r>
      <w:tr w14:paraId="2D08C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1704" w:type="dxa"/>
            <w:gridSpan w:val="2"/>
            <w:noWrap w:val="0"/>
            <w:vAlign w:val="top"/>
          </w:tcPr>
          <w:p w14:paraId="4FCDD063">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3773" w:type="dxa"/>
            <w:gridSpan w:val="4"/>
            <w:noWrap w:val="0"/>
            <w:vAlign w:val="top"/>
          </w:tcPr>
          <w:p w14:paraId="31B149F4">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1390" w:type="dxa"/>
            <w:noWrap w:val="0"/>
            <w:vAlign w:val="top"/>
          </w:tcPr>
          <w:p w14:paraId="69F05CF6">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2533" w:type="dxa"/>
            <w:gridSpan w:val="2"/>
            <w:noWrap w:val="0"/>
            <w:vAlign w:val="top"/>
          </w:tcPr>
          <w:p w14:paraId="0F381FDB">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r>
      <w:tr w14:paraId="34581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1704" w:type="dxa"/>
            <w:gridSpan w:val="2"/>
            <w:noWrap w:val="0"/>
            <w:vAlign w:val="top"/>
          </w:tcPr>
          <w:p w14:paraId="4419D074">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3773" w:type="dxa"/>
            <w:gridSpan w:val="4"/>
            <w:noWrap w:val="0"/>
            <w:vAlign w:val="top"/>
          </w:tcPr>
          <w:p w14:paraId="0DC3DDB9">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1390" w:type="dxa"/>
            <w:noWrap w:val="0"/>
            <w:vAlign w:val="top"/>
          </w:tcPr>
          <w:p w14:paraId="58A71C34">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2533" w:type="dxa"/>
            <w:gridSpan w:val="2"/>
            <w:noWrap w:val="0"/>
            <w:vAlign w:val="top"/>
          </w:tcPr>
          <w:p w14:paraId="7D0CD66F">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r>
      <w:tr w14:paraId="7EE9A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1704" w:type="dxa"/>
            <w:gridSpan w:val="2"/>
            <w:noWrap w:val="0"/>
            <w:vAlign w:val="top"/>
          </w:tcPr>
          <w:p w14:paraId="30B96006">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3773" w:type="dxa"/>
            <w:gridSpan w:val="4"/>
            <w:noWrap w:val="0"/>
            <w:vAlign w:val="top"/>
          </w:tcPr>
          <w:p w14:paraId="32ECE857">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1390" w:type="dxa"/>
            <w:noWrap w:val="0"/>
            <w:vAlign w:val="top"/>
          </w:tcPr>
          <w:p w14:paraId="06790ED1">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2533" w:type="dxa"/>
            <w:gridSpan w:val="2"/>
            <w:noWrap w:val="0"/>
            <w:vAlign w:val="top"/>
          </w:tcPr>
          <w:p w14:paraId="14A46738">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r>
      <w:tr w14:paraId="210D7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1704" w:type="dxa"/>
            <w:gridSpan w:val="2"/>
            <w:noWrap w:val="0"/>
            <w:vAlign w:val="top"/>
          </w:tcPr>
          <w:p w14:paraId="070DA551">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3773" w:type="dxa"/>
            <w:gridSpan w:val="4"/>
            <w:noWrap w:val="0"/>
            <w:vAlign w:val="top"/>
          </w:tcPr>
          <w:p w14:paraId="5B056D26">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1390" w:type="dxa"/>
            <w:noWrap w:val="0"/>
            <w:vAlign w:val="top"/>
          </w:tcPr>
          <w:p w14:paraId="35185AF9">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2533" w:type="dxa"/>
            <w:gridSpan w:val="2"/>
            <w:noWrap w:val="0"/>
            <w:vAlign w:val="top"/>
          </w:tcPr>
          <w:p w14:paraId="3C0B7DBA">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r>
      <w:tr w14:paraId="35D0D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1704" w:type="dxa"/>
            <w:gridSpan w:val="2"/>
            <w:noWrap w:val="0"/>
            <w:vAlign w:val="top"/>
          </w:tcPr>
          <w:p w14:paraId="6698CD97">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3773" w:type="dxa"/>
            <w:gridSpan w:val="4"/>
            <w:noWrap w:val="0"/>
            <w:vAlign w:val="top"/>
          </w:tcPr>
          <w:p w14:paraId="101E429D">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1390" w:type="dxa"/>
            <w:noWrap w:val="0"/>
            <w:vAlign w:val="top"/>
          </w:tcPr>
          <w:p w14:paraId="520FD74D">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2533" w:type="dxa"/>
            <w:gridSpan w:val="2"/>
            <w:noWrap w:val="0"/>
            <w:vAlign w:val="top"/>
          </w:tcPr>
          <w:p w14:paraId="2F156D44">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r>
      <w:tr w14:paraId="128AA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1704" w:type="dxa"/>
            <w:gridSpan w:val="2"/>
            <w:noWrap w:val="0"/>
            <w:vAlign w:val="top"/>
          </w:tcPr>
          <w:p w14:paraId="2837CEDA">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3773" w:type="dxa"/>
            <w:gridSpan w:val="4"/>
            <w:noWrap w:val="0"/>
            <w:vAlign w:val="top"/>
          </w:tcPr>
          <w:p w14:paraId="4DEC14D5">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1390" w:type="dxa"/>
            <w:noWrap w:val="0"/>
            <w:vAlign w:val="top"/>
          </w:tcPr>
          <w:p w14:paraId="55B2C3D4">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2533" w:type="dxa"/>
            <w:gridSpan w:val="2"/>
            <w:noWrap w:val="0"/>
            <w:vAlign w:val="top"/>
          </w:tcPr>
          <w:p w14:paraId="7CBE85D6">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r>
      <w:tr w14:paraId="6103D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1704" w:type="dxa"/>
            <w:gridSpan w:val="2"/>
            <w:noWrap w:val="0"/>
            <w:vAlign w:val="top"/>
          </w:tcPr>
          <w:p w14:paraId="5909DF2A">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3773" w:type="dxa"/>
            <w:gridSpan w:val="4"/>
            <w:noWrap w:val="0"/>
            <w:vAlign w:val="top"/>
          </w:tcPr>
          <w:p w14:paraId="09015EAD">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1390" w:type="dxa"/>
            <w:noWrap w:val="0"/>
            <w:vAlign w:val="top"/>
          </w:tcPr>
          <w:p w14:paraId="66F8EB9E">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2533" w:type="dxa"/>
            <w:gridSpan w:val="2"/>
            <w:noWrap w:val="0"/>
            <w:vAlign w:val="top"/>
          </w:tcPr>
          <w:p w14:paraId="2CC01E58">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r>
      <w:tr w14:paraId="7C274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1704" w:type="dxa"/>
            <w:gridSpan w:val="2"/>
            <w:noWrap w:val="0"/>
            <w:vAlign w:val="top"/>
          </w:tcPr>
          <w:p w14:paraId="3A5D9456">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3773" w:type="dxa"/>
            <w:gridSpan w:val="4"/>
            <w:noWrap w:val="0"/>
            <w:vAlign w:val="top"/>
          </w:tcPr>
          <w:p w14:paraId="7E223E41">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1390" w:type="dxa"/>
            <w:noWrap w:val="0"/>
            <w:vAlign w:val="top"/>
          </w:tcPr>
          <w:p w14:paraId="42C26BF7">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c>
          <w:tcPr>
            <w:tcW w:w="2533" w:type="dxa"/>
            <w:gridSpan w:val="2"/>
            <w:noWrap w:val="0"/>
            <w:vAlign w:val="top"/>
          </w:tcPr>
          <w:p w14:paraId="0A27696C">
            <w:pPr>
              <w:keepNext w:val="0"/>
              <w:keepLines w:val="0"/>
              <w:suppressLineNumbers w:val="0"/>
              <w:adjustRightInd w:val="0"/>
              <w:snapToGrid w:val="0"/>
              <w:spacing w:before="0" w:beforeAutospacing="0" w:after="0" w:afterAutospacing="0" w:line="560" w:lineRule="exact"/>
              <w:ind w:left="0" w:right="0"/>
              <w:rPr>
                <w:rFonts w:hint="default" w:eastAsia="黑体"/>
                <w:color w:val="auto"/>
                <w:szCs w:val="21"/>
                <w:highlight w:val="none"/>
              </w:rPr>
            </w:pPr>
          </w:p>
        </w:tc>
      </w:tr>
    </w:tbl>
    <w:p w14:paraId="706EC8FB">
      <w:pPr>
        <w:rPr>
          <w:rFonts w:hint="eastAsia" w:ascii="Arial" w:hAnsi="Arial" w:eastAsia="黑体" w:cs="Times New Roman"/>
          <w:b/>
          <w:bCs/>
          <w:color w:val="auto"/>
          <w:kern w:val="2"/>
          <w:sz w:val="28"/>
          <w:szCs w:val="28"/>
          <w:highlight w:val="none"/>
          <w:lang w:val="en-US" w:eastAsia="zh-CN" w:bidi="ar-SA"/>
        </w:rPr>
      </w:pPr>
      <w:r>
        <w:rPr>
          <w:rFonts w:hint="eastAsia" w:ascii="Arial" w:hAnsi="Arial" w:eastAsia="黑体" w:cs="Times New Roman"/>
          <w:b/>
          <w:bCs/>
          <w:color w:val="auto"/>
          <w:kern w:val="2"/>
          <w:sz w:val="28"/>
          <w:szCs w:val="28"/>
          <w:highlight w:val="none"/>
          <w:lang w:val="en-US" w:eastAsia="zh-CN" w:bidi="ar-SA"/>
        </w:rPr>
        <w:br w:type="page"/>
      </w:r>
    </w:p>
    <w:p w14:paraId="047A0554">
      <w:pPr>
        <w:rPr>
          <w:rFonts w:hint="eastAsia" w:ascii="Arial" w:hAnsi="Arial" w:eastAsia="黑体" w:cs="Times New Roman"/>
          <w:b/>
          <w:bCs/>
          <w:color w:val="auto"/>
          <w:kern w:val="2"/>
          <w:sz w:val="28"/>
          <w:szCs w:val="28"/>
          <w:highlight w:val="none"/>
          <w:lang w:val="en-US" w:eastAsia="zh-CN" w:bidi="ar-SA"/>
        </w:rPr>
      </w:pPr>
      <w:r>
        <w:rPr>
          <w:rFonts w:hint="eastAsia" w:ascii="Arial" w:hAnsi="Arial" w:eastAsia="黑体" w:cs="Times New Roman"/>
          <w:b/>
          <w:bCs/>
          <w:color w:val="auto"/>
          <w:kern w:val="2"/>
          <w:sz w:val="28"/>
          <w:szCs w:val="28"/>
          <w:highlight w:val="none"/>
          <w:lang w:val="en-US" w:eastAsia="zh-CN" w:bidi="ar-SA"/>
        </w:rPr>
        <w:t>(4)</w:t>
      </w:r>
    </w:p>
    <w:p w14:paraId="0101635D">
      <w:pPr>
        <w:jc w:val="center"/>
        <w:rPr>
          <w:rFonts w:hint="eastAsia" w:ascii="Arial" w:hAnsi="Arial" w:eastAsia="黑体" w:cs="Times New Roman"/>
          <w:b/>
          <w:bCs/>
          <w:color w:val="auto"/>
          <w:kern w:val="2"/>
          <w:sz w:val="28"/>
          <w:szCs w:val="28"/>
          <w:highlight w:val="none"/>
          <w:lang w:val="en-US" w:eastAsia="zh-CN" w:bidi="ar-SA"/>
        </w:rPr>
      </w:pPr>
    </w:p>
    <w:p w14:paraId="1CBCE12F">
      <w:pPr>
        <w:jc w:val="center"/>
        <w:rPr>
          <w:rFonts w:hint="eastAsia" w:ascii="Arial" w:hAnsi="Arial" w:eastAsia="黑体" w:cs="Times New Roman"/>
          <w:b/>
          <w:bCs/>
          <w:color w:val="auto"/>
          <w:kern w:val="2"/>
          <w:sz w:val="28"/>
          <w:szCs w:val="28"/>
          <w:highlight w:val="none"/>
          <w:lang w:val="en-US" w:eastAsia="zh-CN" w:bidi="ar-SA"/>
        </w:rPr>
      </w:pPr>
      <w:r>
        <w:rPr>
          <w:rFonts w:hint="eastAsia" w:ascii="Arial" w:hAnsi="Arial" w:eastAsia="黑体" w:cs="Times New Roman"/>
          <w:b/>
          <w:bCs/>
          <w:color w:val="auto"/>
          <w:kern w:val="2"/>
          <w:sz w:val="28"/>
          <w:szCs w:val="28"/>
          <w:highlight w:val="none"/>
          <w:lang w:val="en-US" w:eastAsia="zh-CN" w:bidi="ar-SA"/>
        </w:rPr>
        <w:t>承诺函</w:t>
      </w:r>
    </w:p>
    <w:p w14:paraId="1CCBFDA5">
      <w:pPr>
        <w:rPr>
          <w:rFonts w:hint="eastAsia"/>
          <w:b/>
          <w:color w:val="auto"/>
          <w:sz w:val="28"/>
          <w:szCs w:val="28"/>
          <w:highlight w:val="none"/>
        </w:rPr>
      </w:pPr>
    </w:p>
    <w:p w14:paraId="1B8F0B3E">
      <w:pPr>
        <w:rPr>
          <w:rFonts w:hint="eastAsia"/>
          <w:b/>
          <w:color w:val="auto"/>
          <w:sz w:val="28"/>
          <w:szCs w:val="28"/>
          <w:highlight w:val="none"/>
        </w:rPr>
      </w:pPr>
    </w:p>
    <w:p w14:paraId="3E217D3A">
      <w:pPr>
        <w:rPr>
          <w:rFonts w:hint="eastAsia"/>
          <w:b/>
          <w:color w:val="auto"/>
          <w:sz w:val="28"/>
          <w:szCs w:val="28"/>
          <w:highlight w:val="none"/>
        </w:rPr>
      </w:pPr>
    </w:p>
    <w:p w14:paraId="4CACFA49">
      <w:pPr>
        <w:adjustRightInd w:val="0"/>
        <w:snapToGrid w:val="0"/>
        <w:spacing w:line="480" w:lineRule="auto"/>
        <w:ind w:firstLine="420" w:firstLineChars="200"/>
        <w:rPr>
          <w:rFonts w:ascii="宋体" w:hAnsi="宋体"/>
          <w:color w:val="auto"/>
          <w:szCs w:val="21"/>
          <w:highlight w:val="none"/>
        </w:rPr>
      </w:pPr>
      <w:r>
        <w:rPr>
          <w:rFonts w:hint="eastAsia" w:ascii="宋体" w:hAnsi="宋体"/>
          <w:color w:val="auto"/>
          <w:szCs w:val="21"/>
          <w:highlight w:val="none"/>
        </w:rPr>
        <w:t>本人以企业法定代表人的身份郑重承诺：</w:t>
      </w:r>
    </w:p>
    <w:p w14:paraId="46D550DF">
      <w:pPr>
        <w:spacing w:line="480" w:lineRule="auto"/>
        <w:ind w:firstLine="840" w:firstLineChars="400"/>
        <w:rPr>
          <w:rFonts w:hint="eastAsia"/>
          <w:b/>
          <w:color w:val="auto"/>
          <w:sz w:val="28"/>
          <w:szCs w:val="28"/>
          <w:highlight w:val="none"/>
        </w:rPr>
      </w:pPr>
      <w:r>
        <w:rPr>
          <w:rFonts w:hint="eastAsia" w:ascii="宋体" w:hAnsi="宋体"/>
          <w:color w:val="auto"/>
          <w:szCs w:val="21"/>
          <w:highlight w:val="none"/>
          <w:lang w:val="en-US" w:eastAsia="zh-CN"/>
        </w:rPr>
        <w:t>我单位承诺</w:t>
      </w:r>
      <w:r>
        <w:rPr>
          <w:rFonts w:hint="eastAsia" w:ascii="宋体" w:hAnsi="宋体" w:cs="宋体"/>
          <w:color w:val="auto"/>
          <w:highlight w:val="none"/>
        </w:rPr>
        <w:t>现场施工人员</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u w:val="single"/>
        </w:rPr>
        <w:t>%</w:t>
      </w:r>
      <w:r>
        <w:rPr>
          <w:rFonts w:hint="eastAsia" w:ascii="宋体" w:hAnsi="宋体" w:cs="宋体"/>
          <w:color w:val="auto"/>
          <w:highlight w:val="none"/>
        </w:rPr>
        <w:t>以上是</w:t>
      </w:r>
      <w:r>
        <w:rPr>
          <w:rFonts w:hint="eastAsia" w:ascii="宋体" w:hAnsi="宋体" w:cs="宋体"/>
          <w:color w:val="auto"/>
          <w:highlight w:val="none"/>
          <w:lang w:val="en-US" w:eastAsia="zh-CN"/>
        </w:rPr>
        <w:t>本</w:t>
      </w:r>
      <w:r>
        <w:rPr>
          <w:rFonts w:hint="eastAsia" w:ascii="宋体" w:hAnsi="宋体" w:cs="宋体"/>
          <w:color w:val="auto"/>
          <w:highlight w:val="none"/>
        </w:rPr>
        <w:t>单位自有人员，否则，按照10000元/人进行处罚。</w:t>
      </w:r>
    </w:p>
    <w:p w14:paraId="58470149">
      <w:pPr>
        <w:rPr>
          <w:rFonts w:hint="eastAsia"/>
          <w:b/>
          <w:color w:val="auto"/>
          <w:sz w:val="28"/>
          <w:szCs w:val="28"/>
          <w:highlight w:val="none"/>
        </w:rPr>
      </w:pPr>
    </w:p>
    <w:p w14:paraId="52D91800">
      <w:pPr>
        <w:rPr>
          <w:rFonts w:hint="eastAsia"/>
          <w:b/>
          <w:color w:val="auto"/>
          <w:sz w:val="28"/>
          <w:szCs w:val="28"/>
          <w:highlight w:val="none"/>
        </w:rPr>
      </w:pPr>
    </w:p>
    <w:p w14:paraId="5BF8192C">
      <w:pPr>
        <w:rPr>
          <w:rFonts w:hint="eastAsia"/>
          <w:b/>
          <w:color w:val="auto"/>
          <w:sz w:val="28"/>
          <w:szCs w:val="28"/>
          <w:highlight w:val="none"/>
        </w:rPr>
      </w:pPr>
    </w:p>
    <w:p w14:paraId="090692DC">
      <w:pPr>
        <w:rPr>
          <w:rFonts w:hint="eastAsia"/>
          <w:b/>
          <w:color w:val="auto"/>
          <w:sz w:val="28"/>
          <w:szCs w:val="28"/>
          <w:highlight w:val="none"/>
        </w:rPr>
      </w:pPr>
    </w:p>
    <w:p w14:paraId="4634E899">
      <w:pPr>
        <w:rPr>
          <w:rFonts w:hint="eastAsia"/>
          <w:b/>
          <w:color w:val="auto"/>
          <w:sz w:val="28"/>
          <w:szCs w:val="28"/>
          <w:highlight w:val="none"/>
        </w:rPr>
      </w:pPr>
    </w:p>
    <w:p w14:paraId="5DDE47F8">
      <w:pPr>
        <w:adjustRightInd w:val="0"/>
        <w:snapToGrid w:val="0"/>
        <w:spacing w:line="560" w:lineRule="exact"/>
        <w:ind w:firstLine="420" w:firstLineChars="200"/>
        <w:rPr>
          <w:rFonts w:hint="eastAsia" w:ascii="宋体" w:hAnsi="宋体"/>
          <w:color w:val="auto"/>
          <w:szCs w:val="21"/>
          <w:highlight w:val="none"/>
          <w:u w:val="single"/>
        </w:rPr>
      </w:pPr>
      <w:r>
        <w:rPr>
          <w:rFonts w:hint="eastAsia" w:ascii="宋体" w:hAnsi="宋体"/>
          <w:color w:val="auto"/>
          <w:szCs w:val="21"/>
          <w:highlight w:val="none"/>
        </w:rPr>
        <w:t xml:space="preserve">投标人（签章）：  </w:t>
      </w:r>
      <w:r>
        <w:rPr>
          <w:rFonts w:hint="eastAsia" w:ascii="宋体" w:hAnsi="宋体"/>
          <w:color w:val="auto"/>
          <w:szCs w:val="21"/>
          <w:highlight w:val="none"/>
          <w:u w:val="single"/>
        </w:rPr>
        <w:t xml:space="preserve">        </w:t>
      </w:r>
      <w:r>
        <w:rPr>
          <w:rFonts w:hint="eastAsia" w:ascii="宋体" w:hAnsi="宋体"/>
          <w:color w:val="auto"/>
          <w:szCs w:val="21"/>
          <w:highlight w:val="none"/>
        </w:rPr>
        <w:t>法定代表人（签章）：</w:t>
      </w:r>
      <w:r>
        <w:rPr>
          <w:rFonts w:hint="eastAsia" w:ascii="宋体" w:hAnsi="宋体"/>
          <w:color w:val="auto"/>
          <w:szCs w:val="21"/>
          <w:highlight w:val="none"/>
          <w:u w:val="single"/>
        </w:rPr>
        <w:t xml:space="preserve">                           </w:t>
      </w:r>
    </w:p>
    <w:p w14:paraId="41C5E188">
      <w:pPr>
        <w:adjustRightInd w:val="0"/>
        <w:snapToGrid w:val="0"/>
        <w:spacing w:line="560" w:lineRule="exact"/>
        <w:rPr>
          <w:rFonts w:hint="eastAsia" w:ascii="宋体" w:hAnsi="宋体"/>
          <w:color w:val="auto"/>
          <w:szCs w:val="21"/>
          <w:highlight w:val="none"/>
        </w:rPr>
      </w:pPr>
    </w:p>
    <w:p w14:paraId="7A237651">
      <w:pPr>
        <w:pStyle w:val="2"/>
        <w:rPr>
          <w:rFonts w:hint="eastAsia"/>
          <w:color w:val="auto"/>
          <w:highlight w:val="none"/>
        </w:rPr>
      </w:pPr>
      <w:r>
        <w:rPr>
          <w:rFonts w:hint="eastAsia" w:ascii="宋体" w:hAnsi="宋体"/>
          <w:color w:val="auto"/>
          <w:szCs w:val="21"/>
          <w:highlight w:val="none"/>
        </w:rPr>
        <w:t>日期：</w:t>
      </w:r>
      <w:r>
        <w:rPr>
          <w:rFonts w:ascii="宋体" w:hAnsi="宋体"/>
          <w:color w:val="auto"/>
          <w:szCs w:val="21"/>
          <w:highlight w:val="none"/>
          <w:u w:val="single"/>
        </w:rPr>
        <w:t xml:space="preserve">           </w:t>
      </w:r>
      <w:r>
        <w:rPr>
          <w:rFonts w:hint="eastAsia" w:ascii="宋体" w:hAnsi="宋体"/>
          <w:color w:val="auto"/>
          <w:szCs w:val="21"/>
          <w:highlight w:val="none"/>
        </w:rPr>
        <w:t>年</w:t>
      </w:r>
      <w:r>
        <w:rPr>
          <w:rFonts w:ascii="宋体" w:hAnsi="宋体"/>
          <w:color w:val="auto"/>
          <w:szCs w:val="21"/>
          <w:highlight w:val="non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月</w:t>
      </w:r>
      <w:r>
        <w:rPr>
          <w:rFonts w:ascii="宋体" w:hAnsi="宋体"/>
          <w:color w:val="auto"/>
          <w:szCs w:val="21"/>
          <w:highlight w:val="non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日</w:t>
      </w:r>
    </w:p>
    <w:p w14:paraId="4FBC6277">
      <w:pPr>
        <w:rPr>
          <w:rFonts w:hint="eastAsia"/>
          <w:b/>
          <w:color w:val="auto"/>
          <w:sz w:val="28"/>
          <w:szCs w:val="28"/>
          <w:highlight w:val="none"/>
        </w:rPr>
      </w:pPr>
    </w:p>
    <w:p w14:paraId="66FA51F9">
      <w:pPr>
        <w:rPr>
          <w:rFonts w:hint="eastAsia"/>
          <w:b/>
          <w:color w:val="auto"/>
          <w:sz w:val="28"/>
          <w:szCs w:val="28"/>
          <w:highlight w:val="none"/>
        </w:rPr>
      </w:pPr>
    </w:p>
    <w:p w14:paraId="4F31F5F0">
      <w:pPr>
        <w:rPr>
          <w:rFonts w:hint="default" w:eastAsia="黑体"/>
          <w:color w:val="auto"/>
          <w:sz w:val="28"/>
          <w:szCs w:val="28"/>
          <w:highlight w:val="none"/>
          <w:u w:val="single"/>
          <w:lang w:val="en-US" w:eastAsia="zh-CN"/>
        </w:rPr>
      </w:pPr>
    </w:p>
    <w:p w14:paraId="4BEBBD1C">
      <w:pPr>
        <w:rPr>
          <w:color w:val="auto"/>
          <w:highlight w:val="none"/>
        </w:rPr>
      </w:pPr>
    </w:p>
    <w:p w14:paraId="6617A123">
      <w:pPr>
        <w:rPr>
          <w:rFonts w:eastAsia="黑体"/>
          <w:color w:val="auto"/>
          <w:sz w:val="28"/>
          <w:szCs w:val="28"/>
          <w:highlight w:val="none"/>
        </w:rPr>
      </w:pPr>
      <w:r>
        <w:rPr>
          <w:rFonts w:eastAsia="黑体"/>
          <w:color w:val="auto"/>
          <w:sz w:val="28"/>
          <w:szCs w:val="28"/>
          <w:highlight w:val="none"/>
        </w:rPr>
        <w:br w:type="page"/>
      </w:r>
    </w:p>
    <w:p w14:paraId="773E8A3A">
      <w:pPr>
        <w:jc w:val="center"/>
        <w:rPr>
          <w:rFonts w:eastAsia="黑体"/>
          <w:color w:val="auto"/>
          <w:sz w:val="28"/>
          <w:szCs w:val="28"/>
          <w:highlight w:val="none"/>
        </w:rPr>
      </w:pPr>
    </w:p>
    <w:p w14:paraId="7413BE56">
      <w:pPr>
        <w:pStyle w:val="8"/>
        <w:adjustRightInd w:val="0"/>
        <w:snapToGrid w:val="0"/>
        <w:spacing w:before="0" w:after="0" w:line="560" w:lineRule="exact"/>
        <w:jc w:val="center"/>
        <w:rPr>
          <w:rFonts w:hint="eastAsia"/>
          <w:color w:val="auto"/>
          <w:highlight w:val="none"/>
        </w:rPr>
      </w:pPr>
      <w:r>
        <w:rPr>
          <w:rFonts w:hint="eastAsia" w:eastAsia="黑体"/>
          <w:color w:val="auto"/>
          <w:sz w:val="28"/>
          <w:szCs w:val="28"/>
          <w:highlight w:val="none"/>
          <w:lang w:eastAsia="zh-CN"/>
        </w:rPr>
        <w:t>（</w:t>
      </w:r>
      <w:r>
        <w:rPr>
          <w:rFonts w:hint="eastAsia" w:eastAsia="黑体"/>
          <w:color w:val="auto"/>
          <w:sz w:val="28"/>
          <w:szCs w:val="28"/>
          <w:highlight w:val="none"/>
          <w:lang w:val="en-US" w:eastAsia="zh-CN"/>
        </w:rPr>
        <w:t>5</w:t>
      </w:r>
      <w:r>
        <w:rPr>
          <w:rFonts w:hint="eastAsia" w:eastAsia="黑体"/>
          <w:color w:val="auto"/>
          <w:sz w:val="28"/>
          <w:szCs w:val="28"/>
          <w:highlight w:val="none"/>
          <w:lang w:eastAsia="zh-CN"/>
        </w:rPr>
        <w:t>）</w:t>
      </w:r>
      <w:r>
        <w:rPr>
          <w:rFonts w:hint="eastAsia"/>
          <w:color w:val="auto"/>
          <w:highlight w:val="none"/>
        </w:rPr>
        <w:t>联合体协议书（如有）</w:t>
      </w:r>
    </w:p>
    <w:p w14:paraId="2CFDF136">
      <w:pPr>
        <w:adjustRightInd w:val="0"/>
        <w:snapToGrid w:val="0"/>
        <w:spacing w:line="520" w:lineRule="exact"/>
        <w:ind w:firstLine="422" w:firstLineChars="200"/>
        <w:jc w:val="left"/>
        <w:rPr>
          <w:rFonts w:hint="eastAsia" w:ascii="宋体" w:hAnsi="宋体"/>
          <w:color w:val="auto"/>
          <w:szCs w:val="21"/>
          <w:highlight w:val="none"/>
        </w:rPr>
      </w:pPr>
      <w:r>
        <w:rPr>
          <w:rFonts w:hint="eastAsia" w:ascii="宋体" w:hAnsi="宋体"/>
          <w:b/>
          <w:color w:val="auto"/>
          <w:szCs w:val="21"/>
          <w:highlight w:val="none"/>
          <w:u w:val="single"/>
        </w:rPr>
        <w:t xml:space="preserve">                </w:t>
      </w:r>
      <w:r>
        <w:rPr>
          <w:rFonts w:hint="eastAsia" w:ascii="宋体" w:hAnsi="宋体"/>
          <w:color w:val="auto"/>
          <w:szCs w:val="21"/>
          <w:highlight w:val="none"/>
        </w:rPr>
        <w:t>（所有成员单位名</w:t>
      </w:r>
      <w:bookmarkStart w:id="854" w:name="_Toc506107345"/>
      <w:bookmarkStart w:id="855" w:name="_Toc15058939"/>
      <w:bookmarkStart w:id="856" w:name="_Toc58229120"/>
      <w:bookmarkStart w:id="857" w:name="_Toc60061579"/>
      <w:bookmarkStart w:id="858" w:name="_Toc152045803"/>
      <w:bookmarkStart w:id="859" w:name="_Toc144974871"/>
      <w:bookmarkStart w:id="860" w:name="_Toc179632823"/>
      <w:bookmarkStart w:id="861" w:name="_Toc152042592"/>
      <w:r>
        <w:rPr>
          <w:rFonts w:hint="eastAsia" w:ascii="宋体" w:hAnsi="宋体"/>
          <w:color w:val="auto"/>
          <w:szCs w:val="21"/>
          <w:highlight w:val="none"/>
        </w:rPr>
        <w:t xml:space="preserve">称）自愿组成 </w:t>
      </w:r>
      <w:r>
        <w:rPr>
          <w:rFonts w:hint="eastAsia" w:ascii="宋体" w:hAnsi="宋体"/>
          <w:color w:val="auto"/>
          <w:szCs w:val="21"/>
          <w:highlight w:val="none"/>
          <w:u w:val="single"/>
        </w:rPr>
        <w:t xml:space="preserve">  </w:t>
      </w:r>
      <w:bookmarkEnd w:id="854"/>
      <w:r>
        <w:rPr>
          <w:rFonts w:hint="eastAsia" w:ascii="宋体" w:hAnsi="宋体"/>
          <w:color w:val="auto"/>
          <w:szCs w:val="21"/>
          <w:highlight w:val="none"/>
          <w:u w:val="single"/>
        </w:rPr>
        <w:t xml:space="preserve">    </w:t>
      </w:r>
      <w:bookmarkEnd w:id="855"/>
      <w:bookmarkEnd w:id="856"/>
      <w:bookmarkEnd w:id="857"/>
      <w:r>
        <w:rPr>
          <w:rFonts w:hint="eastAsia" w:ascii="宋体" w:hAnsi="宋体"/>
          <w:color w:val="auto"/>
          <w:szCs w:val="21"/>
          <w:highlight w:val="none"/>
          <w:u w:val="single"/>
        </w:rPr>
        <w:t xml:space="preserve">   </w:t>
      </w:r>
      <w:r>
        <w:rPr>
          <w:rFonts w:hint="eastAsia" w:ascii="宋体" w:hAnsi="宋体"/>
          <w:color w:val="auto"/>
          <w:szCs w:val="21"/>
          <w:highlight w:val="none"/>
        </w:rPr>
        <w:t>（联合体名称）联合体，共同参加</w:t>
      </w:r>
      <w:r>
        <w:rPr>
          <w:rFonts w:hint="eastAsia" w:ascii="宋体" w:hAnsi="宋体"/>
          <w:b/>
          <w:color w:val="auto"/>
          <w:szCs w:val="21"/>
          <w:highlight w:val="none"/>
          <w:u w:val="single"/>
        </w:rPr>
        <w:t xml:space="preserve">             </w:t>
      </w:r>
      <w:r>
        <w:rPr>
          <w:rFonts w:hint="eastAsia" w:ascii="宋体" w:hAnsi="宋体"/>
          <w:color w:val="auto"/>
          <w:szCs w:val="21"/>
          <w:highlight w:val="none"/>
        </w:rPr>
        <w:t>（项目名称）</w:t>
      </w:r>
      <w:r>
        <w:rPr>
          <w:rFonts w:hint="eastAsia" w:ascii="宋体" w:hAnsi="宋体"/>
          <w:color w:val="auto"/>
          <w:szCs w:val="21"/>
          <w:highlight w:val="none"/>
          <w:u w:val="single"/>
        </w:rPr>
        <w:t xml:space="preserve">       </w:t>
      </w:r>
      <w:r>
        <w:rPr>
          <w:rFonts w:hint="eastAsia" w:ascii="宋体" w:hAnsi="宋体"/>
          <w:color w:val="auto"/>
          <w:szCs w:val="21"/>
          <w:highlight w:val="none"/>
        </w:rPr>
        <w:t>标段施工投标。现就联合体投标事宜订立如下协议：</w:t>
      </w:r>
    </w:p>
    <w:p w14:paraId="3A0E12D6">
      <w:pPr>
        <w:adjustRightInd w:val="0"/>
        <w:snapToGrid w:val="0"/>
        <w:spacing w:line="520" w:lineRule="exact"/>
        <w:ind w:firstLine="420" w:firstLineChars="200"/>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u w:val="single"/>
        </w:rPr>
        <w:t xml:space="preserve">             </w:t>
      </w:r>
      <w:r>
        <w:rPr>
          <w:rFonts w:hint="eastAsia" w:ascii="宋体" w:hAnsi="宋体"/>
          <w:color w:val="auto"/>
          <w:szCs w:val="21"/>
          <w:highlight w:val="none"/>
        </w:rPr>
        <w:t>（某成员单位名称）为</w:t>
      </w:r>
      <w:r>
        <w:rPr>
          <w:rFonts w:hint="eastAsia" w:ascii="宋体" w:hAnsi="宋体"/>
          <w:color w:val="auto"/>
          <w:szCs w:val="21"/>
          <w:highlight w:val="none"/>
          <w:u w:val="single"/>
        </w:rPr>
        <w:t xml:space="preserve">             </w:t>
      </w:r>
      <w:r>
        <w:rPr>
          <w:rFonts w:hint="eastAsia" w:ascii="宋体" w:hAnsi="宋体"/>
          <w:color w:val="auto"/>
          <w:szCs w:val="21"/>
          <w:highlight w:val="none"/>
        </w:rPr>
        <w:t>（联合体名称）牵头人。</w:t>
      </w:r>
    </w:p>
    <w:p w14:paraId="342AB4EC">
      <w:pPr>
        <w:adjustRightInd w:val="0"/>
        <w:snapToGrid w:val="0"/>
        <w:spacing w:line="520" w:lineRule="exact"/>
        <w:ind w:firstLine="420" w:firstLineChars="200"/>
        <w:rPr>
          <w:rFonts w:hint="eastAsia" w:ascii="宋体" w:hAnsi="宋体"/>
          <w:color w:val="auto"/>
          <w:szCs w:val="21"/>
          <w:highlight w:val="none"/>
        </w:rPr>
      </w:pPr>
      <w:r>
        <w:rPr>
          <w:rFonts w:hint="eastAsia" w:ascii="宋体" w:hAnsi="宋体"/>
          <w:color w:val="auto"/>
          <w:szCs w:val="21"/>
          <w:highlight w:val="none"/>
        </w:rPr>
        <w:t>2.联合体牵头人合法代表联合体各成员负责本招标项目投标文件编制和合同谈判活动，并代表联合体提交和接收相关的资料、信息及指示，并处理与之有关的一切事务，负责合同实施阶段的主办、组织和协议工作。</w:t>
      </w:r>
    </w:p>
    <w:p w14:paraId="2B95E898">
      <w:pPr>
        <w:adjustRightInd w:val="0"/>
        <w:snapToGrid w:val="0"/>
        <w:spacing w:line="520" w:lineRule="exact"/>
        <w:ind w:firstLine="420" w:firstLineChars="200"/>
        <w:rPr>
          <w:rFonts w:hint="eastAsia" w:ascii="宋体" w:hAnsi="宋体"/>
          <w:color w:val="auto"/>
          <w:szCs w:val="21"/>
          <w:highlight w:val="none"/>
        </w:rPr>
      </w:pPr>
      <w:r>
        <w:rPr>
          <w:rFonts w:hint="eastAsia" w:ascii="宋体" w:hAnsi="宋体"/>
          <w:color w:val="auto"/>
          <w:szCs w:val="21"/>
          <w:highlight w:val="none"/>
        </w:rPr>
        <w:t>3.联合体将严格按照招标文件的各项要求，递交投标文件，履行合同，并对外承担连带责任。</w:t>
      </w:r>
    </w:p>
    <w:p w14:paraId="07B59AA0">
      <w:pPr>
        <w:adjustRightInd w:val="0"/>
        <w:snapToGrid w:val="0"/>
        <w:spacing w:line="520" w:lineRule="exact"/>
        <w:ind w:firstLine="420" w:firstLineChars="200"/>
        <w:rPr>
          <w:rFonts w:hint="eastAsia" w:ascii="宋体" w:hAnsi="宋体"/>
          <w:color w:val="auto"/>
          <w:szCs w:val="21"/>
          <w:highlight w:val="none"/>
          <w:u w:val="single"/>
        </w:rPr>
      </w:pPr>
      <w:r>
        <w:rPr>
          <w:rFonts w:hint="eastAsia" w:ascii="宋体" w:hAnsi="宋体"/>
          <w:color w:val="auto"/>
          <w:szCs w:val="21"/>
          <w:highlight w:val="none"/>
        </w:rPr>
        <w:t>4.联合体各成员单位内部的职责分工如下：</w:t>
      </w:r>
      <w:r>
        <w:rPr>
          <w:rFonts w:hint="eastAsia" w:ascii="宋体" w:hAnsi="宋体"/>
          <w:color w:val="auto"/>
          <w:szCs w:val="21"/>
          <w:highlight w:val="none"/>
          <w:u w:val="single"/>
        </w:rPr>
        <w:t xml:space="preserve">  </w:t>
      </w:r>
    </w:p>
    <w:p w14:paraId="1B1BCE0B">
      <w:pPr>
        <w:pStyle w:val="216"/>
        <w:snapToGrid w:val="0"/>
        <w:spacing w:line="520" w:lineRule="exact"/>
        <w:ind w:firstLine="525" w:firstLineChars="250"/>
        <w:rPr>
          <w:rFonts w:cs="Times New Roman"/>
          <w:color w:val="auto"/>
          <w:sz w:val="21"/>
          <w:szCs w:val="21"/>
          <w:highlight w:val="none"/>
        </w:rPr>
      </w:pPr>
      <w:r>
        <w:rPr>
          <w:rFonts w:cs="Times New Roman"/>
          <w:color w:val="auto"/>
          <w:sz w:val="21"/>
          <w:szCs w:val="21"/>
          <w:highlight w:val="none"/>
        </w:rPr>
        <w:t>牵头人</w:t>
      </w:r>
      <w:r>
        <w:rPr>
          <w:rFonts w:hint="eastAsia" w:cs="Times New Roman"/>
          <w:color w:val="auto"/>
          <w:sz w:val="21"/>
          <w:szCs w:val="21"/>
          <w:highlight w:val="none"/>
        </w:rPr>
        <w:t>（成员一）</w:t>
      </w:r>
      <w:r>
        <w:rPr>
          <w:rFonts w:cs="Times New Roman"/>
          <w:color w:val="auto"/>
          <w:sz w:val="21"/>
          <w:szCs w:val="21"/>
          <w:highlight w:val="none"/>
        </w:rPr>
        <w:t>名称</w:t>
      </w:r>
      <w:r>
        <w:rPr>
          <w:rFonts w:cs="Times New Roman"/>
          <w:color w:val="auto"/>
          <w:sz w:val="21"/>
          <w:szCs w:val="21"/>
          <w:highlight w:val="none"/>
          <w:u w:val="single"/>
        </w:rPr>
        <w:t>：</w:t>
      </w:r>
      <w:r>
        <w:rPr>
          <w:rFonts w:hint="eastAsia" w:cs="Times New Roman"/>
          <w:color w:val="auto"/>
          <w:sz w:val="21"/>
          <w:szCs w:val="21"/>
          <w:highlight w:val="none"/>
          <w:u w:val="single"/>
        </w:rPr>
        <w:t xml:space="preserve">           </w:t>
      </w:r>
      <w:r>
        <w:rPr>
          <w:rFonts w:cs="Times New Roman"/>
          <w:color w:val="auto"/>
          <w:sz w:val="21"/>
          <w:szCs w:val="21"/>
          <w:highlight w:val="none"/>
          <w:u w:val="single"/>
        </w:rPr>
        <w:t xml:space="preserve"> </w:t>
      </w:r>
      <w:r>
        <w:rPr>
          <w:rFonts w:cs="Times New Roman"/>
          <w:color w:val="auto"/>
          <w:sz w:val="21"/>
          <w:szCs w:val="21"/>
          <w:highlight w:val="none"/>
        </w:rPr>
        <w:t>，具有</w:t>
      </w:r>
      <w:r>
        <w:rPr>
          <w:rFonts w:cs="Times New Roman"/>
          <w:color w:val="auto"/>
          <w:sz w:val="21"/>
          <w:szCs w:val="21"/>
          <w:highlight w:val="none"/>
          <w:u w:val="single"/>
        </w:rPr>
        <w:t xml:space="preserve"> </w:t>
      </w:r>
      <w:r>
        <w:rPr>
          <w:rFonts w:hint="eastAsia" w:cs="Times New Roman"/>
          <w:color w:val="auto"/>
          <w:sz w:val="21"/>
          <w:szCs w:val="21"/>
          <w:highlight w:val="none"/>
          <w:u w:val="single"/>
        </w:rPr>
        <w:t xml:space="preserve">           </w:t>
      </w:r>
      <w:r>
        <w:rPr>
          <w:rFonts w:cs="Times New Roman"/>
          <w:color w:val="auto"/>
          <w:sz w:val="21"/>
          <w:szCs w:val="21"/>
          <w:highlight w:val="none"/>
          <w:u w:val="single"/>
        </w:rPr>
        <w:t>资</w:t>
      </w:r>
      <w:r>
        <w:rPr>
          <w:rFonts w:cs="Times New Roman"/>
          <w:color w:val="auto"/>
          <w:sz w:val="21"/>
          <w:szCs w:val="21"/>
          <w:highlight w:val="none"/>
        </w:rPr>
        <w:t>格，</w:t>
      </w:r>
      <w:r>
        <w:rPr>
          <w:rFonts w:hint="eastAsia" w:cs="Times New Roman"/>
          <w:color w:val="auto"/>
          <w:sz w:val="21"/>
          <w:szCs w:val="21"/>
          <w:highlight w:val="none"/>
        </w:rPr>
        <w:t>负责</w:t>
      </w:r>
      <w:r>
        <w:rPr>
          <w:rFonts w:cs="Times New Roman"/>
          <w:color w:val="auto"/>
          <w:sz w:val="21"/>
          <w:szCs w:val="21"/>
          <w:highlight w:val="none"/>
        </w:rPr>
        <w:t>承担</w:t>
      </w:r>
      <w:r>
        <w:rPr>
          <w:rFonts w:cs="Times New Roman"/>
          <w:color w:val="auto"/>
          <w:sz w:val="21"/>
          <w:szCs w:val="21"/>
          <w:highlight w:val="none"/>
          <w:u w:val="single"/>
        </w:rPr>
        <w:t xml:space="preserve"> </w:t>
      </w:r>
      <w:r>
        <w:rPr>
          <w:rFonts w:hint="eastAsia" w:cs="Times New Roman"/>
          <w:color w:val="auto"/>
          <w:sz w:val="21"/>
          <w:szCs w:val="21"/>
          <w:highlight w:val="none"/>
          <w:u w:val="single"/>
        </w:rPr>
        <w:t xml:space="preserve">       部分</w:t>
      </w:r>
      <w:r>
        <w:rPr>
          <w:rFonts w:cs="Times New Roman"/>
          <w:color w:val="auto"/>
          <w:sz w:val="21"/>
          <w:szCs w:val="21"/>
          <w:highlight w:val="none"/>
        </w:rPr>
        <w:t>专业工程</w:t>
      </w:r>
      <w:r>
        <w:rPr>
          <w:rFonts w:hint="eastAsia" w:cs="Times New Roman"/>
          <w:color w:val="auto"/>
          <w:sz w:val="21"/>
          <w:szCs w:val="21"/>
          <w:highlight w:val="none"/>
        </w:rPr>
        <w:t>施工</w:t>
      </w:r>
      <w:r>
        <w:rPr>
          <w:rFonts w:hint="eastAsia" w:cs="Times New Roman"/>
          <w:color w:val="auto"/>
          <w:sz w:val="21"/>
          <w:szCs w:val="21"/>
          <w:highlight w:val="none"/>
          <w:u w:val="single"/>
        </w:rPr>
        <w:t>，负责内容的合同金额占总合同金额的百分比    %</w:t>
      </w:r>
      <w:r>
        <w:rPr>
          <w:rFonts w:cs="Times New Roman"/>
          <w:color w:val="auto"/>
          <w:sz w:val="21"/>
          <w:szCs w:val="21"/>
          <w:highlight w:val="none"/>
          <w:u w:val="single"/>
        </w:rPr>
        <w:t>；</w:t>
      </w:r>
      <w:r>
        <w:rPr>
          <w:rFonts w:cs="Times New Roman"/>
          <w:color w:val="auto"/>
          <w:sz w:val="21"/>
          <w:szCs w:val="21"/>
          <w:highlight w:val="none"/>
        </w:rPr>
        <w:t xml:space="preserve"> </w:t>
      </w:r>
    </w:p>
    <w:p w14:paraId="27DC0CD2">
      <w:pPr>
        <w:adjustRightInd w:val="0"/>
        <w:snapToGrid w:val="0"/>
        <w:spacing w:line="520" w:lineRule="exact"/>
        <w:ind w:firstLine="630" w:firstLineChars="300"/>
        <w:rPr>
          <w:rFonts w:hint="eastAsia"/>
          <w:color w:val="auto"/>
          <w:szCs w:val="21"/>
          <w:highlight w:val="none"/>
        </w:rPr>
      </w:pPr>
      <w:r>
        <w:rPr>
          <w:color w:val="auto"/>
          <w:szCs w:val="21"/>
          <w:highlight w:val="none"/>
        </w:rPr>
        <w:t>成员</w:t>
      </w:r>
      <w:r>
        <w:rPr>
          <w:rFonts w:hint="eastAsia"/>
          <w:color w:val="auto"/>
          <w:szCs w:val="21"/>
          <w:highlight w:val="none"/>
        </w:rPr>
        <w:t>二</w:t>
      </w:r>
      <w:r>
        <w:rPr>
          <w:color w:val="auto"/>
          <w:szCs w:val="21"/>
          <w:highlight w:val="none"/>
        </w:rPr>
        <w:t>名称</w:t>
      </w:r>
      <w:r>
        <w:rPr>
          <w:color w:val="auto"/>
          <w:szCs w:val="21"/>
          <w:highlight w:val="none"/>
          <w:u w:val="single"/>
        </w:rPr>
        <w:t>：</w:t>
      </w:r>
      <w:r>
        <w:rPr>
          <w:rFonts w:hint="eastAsia"/>
          <w:color w:val="auto"/>
          <w:szCs w:val="21"/>
          <w:highlight w:val="none"/>
          <w:u w:val="single"/>
        </w:rPr>
        <w:t xml:space="preserve">          </w:t>
      </w:r>
      <w:r>
        <w:rPr>
          <w:color w:val="auto"/>
          <w:szCs w:val="21"/>
          <w:highlight w:val="none"/>
          <w:u w:val="single"/>
        </w:rPr>
        <w:t xml:space="preserve"> </w:t>
      </w:r>
      <w:r>
        <w:rPr>
          <w:color w:val="auto"/>
          <w:szCs w:val="21"/>
          <w:highlight w:val="none"/>
        </w:rPr>
        <w:t>，具有</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资</w:t>
      </w:r>
      <w:r>
        <w:rPr>
          <w:color w:val="auto"/>
          <w:szCs w:val="21"/>
          <w:highlight w:val="none"/>
        </w:rPr>
        <w:t>格，</w:t>
      </w:r>
      <w:r>
        <w:rPr>
          <w:rFonts w:hint="eastAsia"/>
          <w:color w:val="auto"/>
          <w:szCs w:val="21"/>
          <w:highlight w:val="none"/>
        </w:rPr>
        <w:t>负责</w:t>
      </w:r>
      <w:r>
        <w:rPr>
          <w:color w:val="auto"/>
          <w:szCs w:val="21"/>
          <w:highlight w:val="none"/>
        </w:rPr>
        <w:t>承</w:t>
      </w:r>
      <w:r>
        <w:rPr>
          <w:color w:val="auto"/>
          <w:szCs w:val="21"/>
          <w:highlight w:val="none"/>
          <w:u w:val="single"/>
        </w:rPr>
        <w:t xml:space="preserve">担 </w:t>
      </w:r>
      <w:r>
        <w:rPr>
          <w:rFonts w:hint="eastAsia"/>
          <w:color w:val="auto"/>
          <w:szCs w:val="21"/>
          <w:highlight w:val="none"/>
          <w:u w:val="single"/>
        </w:rPr>
        <w:t xml:space="preserve">          部分</w:t>
      </w:r>
      <w:r>
        <w:rPr>
          <w:color w:val="auto"/>
          <w:szCs w:val="21"/>
          <w:highlight w:val="none"/>
          <w:u w:val="single"/>
        </w:rPr>
        <w:t>专业</w:t>
      </w:r>
      <w:r>
        <w:rPr>
          <w:color w:val="auto"/>
          <w:szCs w:val="21"/>
          <w:highlight w:val="none"/>
        </w:rPr>
        <w:t>工程</w:t>
      </w:r>
      <w:r>
        <w:rPr>
          <w:rFonts w:hint="eastAsia"/>
          <w:color w:val="auto"/>
          <w:szCs w:val="21"/>
          <w:highlight w:val="none"/>
        </w:rPr>
        <w:t>施工，负责内容的合同金额占总合同金额的百分比    %</w:t>
      </w:r>
      <w:r>
        <w:rPr>
          <w:color w:val="auto"/>
          <w:szCs w:val="21"/>
          <w:highlight w:val="none"/>
        </w:rPr>
        <w:t>；</w:t>
      </w:r>
    </w:p>
    <w:p w14:paraId="5A22B0D3">
      <w:pPr>
        <w:adjustRightInd w:val="0"/>
        <w:snapToGrid w:val="0"/>
        <w:spacing w:line="520" w:lineRule="exact"/>
        <w:rPr>
          <w:rFonts w:hint="eastAsia" w:ascii="宋体" w:hAnsi="宋体"/>
          <w:color w:val="auto"/>
          <w:szCs w:val="21"/>
          <w:highlight w:val="none"/>
        </w:rPr>
      </w:pPr>
      <w:r>
        <w:rPr>
          <w:rFonts w:hint="eastAsia" w:ascii="宋体" w:hAnsi="宋体"/>
          <w:color w:val="auto"/>
          <w:szCs w:val="21"/>
          <w:highlight w:val="none"/>
        </w:rPr>
        <w:t xml:space="preserve">      </w:t>
      </w:r>
      <w:r>
        <w:rPr>
          <w:rFonts w:ascii="宋体" w:hAnsi="宋体"/>
          <w:color w:val="auto"/>
          <w:szCs w:val="21"/>
          <w:highlight w:val="none"/>
        </w:rPr>
        <w:t>……</w:t>
      </w:r>
      <w:r>
        <w:rPr>
          <w:rFonts w:hint="eastAsia" w:ascii="宋体" w:hAnsi="宋体"/>
          <w:color w:val="auto"/>
          <w:szCs w:val="21"/>
          <w:highlight w:val="none"/>
        </w:rPr>
        <w:t xml:space="preserve">                    </w:t>
      </w:r>
    </w:p>
    <w:p w14:paraId="518767AE">
      <w:pPr>
        <w:adjustRightInd w:val="0"/>
        <w:snapToGrid w:val="0"/>
        <w:spacing w:line="520" w:lineRule="exact"/>
        <w:ind w:firstLine="420" w:firstLineChars="200"/>
        <w:rPr>
          <w:rFonts w:hint="eastAsia" w:ascii="宋体" w:hAnsi="宋体"/>
          <w:color w:val="auto"/>
          <w:szCs w:val="21"/>
          <w:highlight w:val="none"/>
        </w:rPr>
      </w:pPr>
      <w:r>
        <w:rPr>
          <w:rFonts w:hint="eastAsia" w:ascii="宋体" w:hAnsi="宋体"/>
          <w:color w:val="auto"/>
          <w:szCs w:val="21"/>
          <w:highlight w:val="none"/>
        </w:rPr>
        <w:t>5.本协议书自签署之日起生效，合同履行完毕后自动失效。</w:t>
      </w:r>
    </w:p>
    <w:p w14:paraId="4F4291C9">
      <w:pPr>
        <w:adjustRightInd w:val="0"/>
        <w:snapToGrid w:val="0"/>
        <w:spacing w:line="520" w:lineRule="exact"/>
        <w:ind w:firstLine="420" w:firstLineChars="200"/>
        <w:rPr>
          <w:rFonts w:hint="eastAsia" w:ascii="宋体" w:hAnsi="宋体"/>
          <w:color w:val="auto"/>
          <w:szCs w:val="21"/>
          <w:highlight w:val="none"/>
        </w:rPr>
      </w:pPr>
      <w:r>
        <w:rPr>
          <w:rFonts w:hint="eastAsia" w:ascii="宋体" w:hAnsi="宋体"/>
          <w:color w:val="auto"/>
          <w:szCs w:val="21"/>
          <w:highlight w:val="none"/>
        </w:rPr>
        <w:t>6.联合体中标后，本联合体协议是合同的附件，对联合体各成员单位有合同约束力。</w:t>
      </w:r>
    </w:p>
    <w:p w14:paraId="4491F48B">
      <w:pPr>
        <w:adjustRightInd w:val="0"/>
        <w:snapToGrid w:val="0"/>
        <w:spacing w:line="520" w:lineRule="exact"/>
        <w:ind w:firstLine="420" w:firstLineChars="200"/>
        <w:rPr>
          <w:rFonts w:hint="eastAsia" w:ascii="宋体" w:hAnsi="宋体"/>
          <w:color w:val="auto"/>
          <w:szCs w:val="21"/>
          <w:highlight w:val="none"/>
        </w:rPr>
      </w:pPr>
      <w:r>
        <w:rPr>
          <w:rFonts w:hint="eastAsia" w:ascii="宋体" w:hAnsi="宋体"/>
          <w:color w:val="auto"/>
          <w:szCs w:val="21"/>
          <w:highlight w:val="none"/>
        </w:rPr>
        <w:t>7.本协议书一式</w:t>
      </w:r>
      <w:r>
        <w:rPr>
          <w:rFonts w:hint="eastAsia" w:ascii="宋体" w:hAnsi="宋体"/>
          <w:color w:val="auto"/>
          <w:szCs w:val="21"/>
          <w:highlight w:val="none"/>
          <w:u w:val="single"/>
        </w:rPr>
        <w:t xml:space="preserve">          </w:t>
      </w:r>
      <w:r>
        <w:rPr>
          <w:rFonts w:hint="eastAsia" w:ascii="宋体" w:hAnsi="宋体"/>
          <w:color w:val="auto"/>
          <w:szCs w:val="21"/>
          <w:highlight w:val="none"/>
        </w:rPr>
        <w:t>份，联合体成员和招标人各执一份。</w:t>
      </w:r>
    </w:p>
    <w:p w14:paraId="1D79EBC3">
      <w:pPr>
        <w:adjustRightInd w:val="0"/>
        <w:snapToGrid w:val="0"/>
        <w:spacing w:line="520" w:lineRule="exact"/>
        <w:ind w:firstLine="420" w:firstLineChars="200"/>
        <w:rPr>
          <w:rFonts w:hint="eastAsia" w:ascii="宋体" w:hAnsi="宋体"/>
          <w:color w:val="auto"/>
          <w:szCs w:val="21"/>
          <w:highlight w:val="none"/>
        </w:rPr>
      </w:pPr>
      <w:r>
        <w:rPr>
          <w:rFonts w:hint="eastAsia" w:ascii="宋体" w:hAnsi="宋体"/>
          <w:color w:val="auto"/>
          <w:szCs w:val="21"/>
          <w:highlight w:val="none"/>
        </w:rPr>
        <w:t>注：本协议由委托代理人签字的，应附法定代表人签字的授权委托书。</w:t>
      </w:r>
    </w:p>
    <w:p w14:paraId="4ACDDFD5">
      <w:pPr>
        <w:adjustRightInd w:val="0"/>
        <w:snapToGrid w:val="0"/>
        <w:spacing w:line="520" w:lineRule="exact"/>
        <w:ind w:firstLine="420" w:firstLineChars="200"/>
        <w:rPr>
          <w:rFonts w:hint="eastAsia" w:ascii="宋体" w:hAnsi="宋体"/>
          <w:color w:val="auto"/>
          <w:szCs w:val="21"/>
          <w:highlight w:val="none"/>
        </w:rPr>
      </w:pPr>
      <w:r>
        <w:rPr>
          <w:rFonts w:hint="eastAsia" w:ascii="宋体" w:hAnsi="宋体"/>
          <w:color w:val="auto"/>
          <w:szCs w:val="21"/>
          <w:highlight w:val="none"/>
        </w:rPr>
        <w:t xml:space="preserve">                             牵头人（成员一）名称：</w:t>
      </w:r>
      <w:r>
        <w:rPr>
          <w:rFonts w:hint="eastAsia" w:ascii="宋体" w:hAnsi="宋体"/>
          <w:color w:val="auto"/>
          <w:szCs w:val="21"/>
          <w:highlight w:val="none"/>
          <w:u w:val="single"/>
        </w:rPr>
        <w:t xml:space="preserve">                         </w:t>
      </w:r>
      <w:r>
        <w:rPr>
          <w:rFonts w:hint="eastAsia" w:ascii="宋体" w:hAnsi="宋体"/>
          <w:color w:val="auto"/>
          <w:szCs w:val="21"/>
          <w:highlight w:val="none"/>
        </w:rPr>
        <w:t>（签章）</w:t>
      </w:r>
    </w:p>
    <w:p w14:paraId="7306F026">
      <w:pPr>
        <w:adjustRightInd w:val="0"/>
        <w:snapToGrid w:val="0"/>
        <w:spacing w:line="520" w:lineRule="exact"/>
        <w:ind w:firstLine="420" w:firstLineChars="200"/>
        <w:rPr>
          <w:rFonts w:hint="eastAsia" w:ascii="宋体" w:hAnsi="宋体"/>
          <w:color w:val="auto"/>
          <w:szCs w:val="21"/>
          <w:highlight w:val="none"/>
        </w:rPr>
      </w:pPr>
      <w:r>
        <w:rPr>
          <w:rFonts w:hint="eastAsia" w:ascii="宋体" w:hAnsi="宋体"/>
          <w:color w:val="auto"/>
          <w:szCs w:val="21"/>
          <w:highlight w:val="none"/>
        </w:rPr>
        <w:t xml:space="preserve">                             法定代表人：</w:t>
      </w:r>
      <w:r>
        <w:rPr>
          <w:rFonts w:hint="eastAsia" w:ascii="宋体" w:hAnsi="宋体"/>
          <w:color w:val="auto"/>
          <w:szCs w:val="21"/>
          <w:highlight w:val="none"/>
          <w:u w:val="single"/>
        </w:rPr>
        <w:t xml:space="preserve">               </w:t>
      </w:r>
      <w:r>
        <w:rPr>
          <w:rFonts w:hint="eastAsia" w:ascii="宋体" w:hAnsi="宋体"/>
          <w:color w:val="auto"/>
          <w:szCs w:val="21"/>
          <w:highlight w:val="none"/>
        </w:rPr>
        <w:t>（签章）</w:t>
      </w:r>
    </w:p>
    <w:p w14:paraId="71A6F93E">
      <w:pPr>
        <w:adjustRightInd w:val="0"/>
        <w:snapToGrid w:val="0"/>
        <w:spacing w:line="520" w:lineRule="exact"/>
        <w:ind w:firstLine="420" w:firstLineChars="200"/>
        <w:rPr>
          <w:rFonts w:hint="eastAsia" w:ascii="宋体" w:hAnsi="宋体"/>
          <w:color w:val="auto"/>
          <w:szCs w:val="21"/>
          <w:highlight w:val="none"/>
        </w:rPr>
      </w:pPr>
    </w:p>
    <w:p w14:paraId="6558F5C0">
      <w:pPr>
        <w:adjustRightInd w:val="0"/>
        <w:snapToGrid w:val="0"/>
        <w:spacing w:line="520" w:lineRule="exact"/>
        <w:ind w:firstLine="420" w:firstLineChars="200"/>
        <w:rPr>
          <w:rFonts w:hint="eastAsia" w:ascii="宋体" w:hAnsi="宋体"/>
          <w:color w:val="auto"/>
          <w:szCs w:val="21"/>
          <w:highlight w:val="none"/>
        </w:rPr>
      </w:pPr>
      <w:r>
        <w:rPr>
          <w:rFonts w:hint="eastAsia" w:ascii="宋体" w:hAnsi="宋体"/>
          <w:color w:val="auto"/>
          <w:szCs w:val="21"/>
          <w:highlight w:val="none"/>
        </w:rPr>
        <w:t xml:space="preserve">                             成员二名称：</w:t>
      </w:r>
      <w:r>
        <w:rPr>
          <w:rFonts w:hint="eastAsia" w:ascii="宋体" w:hAnsi="宋体"/>
          <w:color w:val="auto"/>
          <w:szCs w:val="21"/>
          <w:highlight w:val="none"/>
          <w:u w:val="single"/>
        </w:rPr>
        <w:t xml:space="preserve">                         </w:t>
      </w:r>
      <w:r>
        <w:rPr>
          <w:rFonts w:hint="eastAsia" w:ascii="宋体" w:hAnsi="宋体"/>
          <w:color w:val="auto"/>
          <w:szCs w:val="21"/>
          <w:highlight w:val="none"/>
        </w:rPr>
        <w:t>（签章）</w:t>
      </w:r>
    </w:p>
    <w:p w14:paraId="26843139">
      <w:pPr>
        <w:adjustRightInd w:val="0"/>
        <w:snapToGrid w:val="0"/>
        <w:spacing w:line="520" w:lineRule="exact"/>
        <w:ind w:firstLine="420" w:firstLineChars="200"/>
        <w:rPr>
          <w:rFonts w:hint="eastAsia" w:ascii="宋体" w:hAnsi="宋体"/>
          <w:color w:val="auto"/>
          <w:szCs w:val="21"/>
          <w:highlight w:val="none"/>
        </w:rPr>
      </w:pPr>
      <w:r>
        <w:rPr>
          <w:rFonts w:hint="eastAsia" w:ascii="宋体" w:hAnsi="宋体"/>
          <w:color w:val="auto"/>
          <w:szCs w:val="21"/>
          <w:highlight w:val="none"/>
        </w:rPr>
        <w:t xml:space="preserve">                             法定代表人：</w:t>
      </w:r>
      <w:r>
        <w:rPr>
          <w:rFonts w:hint="eastAsia" w:ascii="宋体" w:hAnsi="宋体"/>
          <w:color w:val="auto"/>
          <w:szCs w:val="21"/>
          <w:highlight w:val="none"/>
          <w:u w:val="single"/>
        </w:rPr>
        <w:t xml:space="preserve">               </w:t>
      </w:r>
      <w:r>
        <w:rPr>
          <w:rFonts w:hint="eastAsia" w:ascii="宋体" w:hAnsi="宋体"/>
          <w:color w:val="auto"/>
          <w:szCs w:val="21"/>
          <w:highlight w:val="none"/>
        </w:rPr>
        <w:t>（签章）</w:t>
      </w:r>
    </w:p>
    <w:p w14:paraId="449C0571">
      <w:pPr>
        <w:adjustRightInd w:val="0"/>
        <w:snapToGrid w:val="0"/>
        <w:spacing w:line="520" w:lineRule="exact"/>
        <w:ind w:firstLine="420" w:firstLineChars="200"/>
        <w:rPr>
          <w:rFonts w:hint="eastAsia" w:ascii="宋体" w:hAnsi="宋体"/>
          <w:color w:val="auto"/>
          <w:szCs w:val="21"/>
          <w:highlight w:val="none"/>
        </w:rPr>
      </w:pPr>
    </w:p>
    <w:p w14:paraId="69B1CCB4">
      <w:pPr>
        <w:adjustRightInd w:val="0"/>
        <w:snapToGrid w:val="0"/>
        <w:spacing w:line="520" w:lineRule="exact"/>
        <w:ind w:firstLine="420" w:firstLineChars="200"/>
        <w:rPr>
          <w:rFonts w:hint="eastAsia" w:ascii="宋体" w:hAnsi="宋体"/>
          <w:color w:val="auto"/>
          <w:szCs w:val="21"/>
          <w:highlight w:val="none"/>
        </w:rPr>
      </w:pPr>
      <w:r>
        <w:rPr>
          <w:rFonts w:hint="eastAsia" w:ascii="宋体" w:hAnsi="宋体"/>
          <w:color w:val="auto"/>
          <w:szCs w:val="21"/>
          <w:highlight w:val="none"/>
        </w:rPr>
        <w:t xml:space="preserve">                             成员三名称：</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（签章）</w:t>
      </w:r>
    </w:p>
    <w:p w14:paraId="5B332FA6">
      <w:pPr>
        <w:adjustRightInd w:val="0"/>
        <w:snapToGrid w:val="0"/>
        <w:spacing w:line="520" w:lineRule="exact"/>
        <w:ind w:firstLine="420" w:firstLineChars="200"/>
        <w:rPr>
          <w:rFonts w:hint="eastAsia" w:ascii="宋体" w:hAnsi="宋体"/>
          <w:color w:val="auto"/>
          <w:szCs w:val="21"/>
          <w:highlight w:val="none"/>
        </w:rPr>
      </w:pPr>
      <w:r>
        <w:rPr>
          <w:rFonts w:hint="eastAsia" w:ascii="宋体" w:hAnsi="宋体"/>
          <w:color w:val="auto"/>
          <w:szCs w:val="21"/>
          <w:highlight w:val="none"/>
        </w:rPr>
        <w:t xml:space="preserve">                             法定代表人： </w:t>
      </w:r>
      <w:r>
        <w:rPr>
          <w:rFonts w:hint="eastAsia" w:ascii="宋体" w:hAnsi="宋体"/>
          <w:color w:val="auto"/>
          <w:szCs w:val="21"/>
          <w:highlight w:val="none"/>
          <w:u w:val="single"/>
        </w:rPr>
        <w:t xml:space="preserve">             </w:t>
      </w:r>
      <w:r>
        <w:rPr>
          <w:rFonts w:hint="eastAsia" w:ascii="宋体" w:hAnsi="宋体"/>
          <w:color w:val="auto"/>
          <w:szCs w:val="21"/>
          <w:highlight w:val="none"/>
        </w:rPr>
        <w:t>（签章）</w:t>
      </w:r>
    </w:p>
    <w:p w14:paraId="02D6C0EE">
      <w:pPr>
        <w:adjustRightInd w:val="0"/>
        <w:snapToGrid w:val="0"/>
        <w:spacing w:line="560" w:lineRule="exact"/>
        <w:ind w:firstLine="420" w:firstLineChars="200"/>
        <w:rPr>
          <w:rFonts w:hint="eastAsia" w:ascii="宋体" w:hAnsi="宋体"/>
          <w:color w:val="auto"/>
          <w:szCs w:val="21"/>
          <w:highlight w:val="none"/>
        </w:rPr>
      </w:pPr>
      <w:r>
        <w:rPr>
          <w:rFonts w:hint="eastAsia" w:ascii="宋体" w:hAnsi="宋体"/>
          <w:color w:val="auto"/>
          <w:szCs w:val="21"/>
          <w:highlight w:val="none"/>
        </w:rPr>
        <w:t xml:space="preserve">                                </w:t>
      </w:r>
    </w:p>
    <w:p w14:paraId="0513E8FC">
      <w:pPr>
        <w:adjustRightInd w:val="0"/>
        <w:snapToGrid w:val="0"/>
        <w:spacing w:line="560" w:lineRule="exact"/>
        <w:ind w:firstLine="5775" w:firstLineChars="2750"/>
        <w:rPr>
          <w:rFonts w:hint="eastAsia"/>
          <w:color w:val="auto"/>
          <w:highlight w:val="none"/>
        </w:rPr>
      </w:pPr>
      <w:r>
        <w:rPr>
          <w:rFonts w:hint="eastAsia" w:ascii="宋体" w:hAnsi="宋体"/>
          <w:color w:val="auto"/>
          <w:szCs w:val="21"/>
          <w:highlight w:val="non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bookmarkEnd w:id="858"/>
    <w:bookmarkEnd w:id="859"/>
    <w:bookmarkEnd w:id="860"/>
    <w:bookmarkEnd w:id="861"/>
    <w:p w14:paraId="0E48025A">
      <w:pPr>
        <w:jc w:val="center"/>
        <w:rPr>
          <w:rFonts w:hint="eastAsia" w:eastAsia="黑体"/>
          <w:color w:val="auto"/>
          <w:sz w:val="28"/>
          <w:szCs w:val="28"/>
          <w:highlight w:val="none"/>
          <w:lang w:eastAsia="zh-CN"/>
        </w:rPr>
      </w:pPr>
    </w:p>
    <w:p w14:paraId="3F01ED19">
      <w:pPr>
        <w:jc w:val="center"/>
        <w:rPr>
          <w:rFonts w:eastAsia="黑体"/>
          <w:color w:val="auto"/>
          <w:sz w:val="28"/>
          <w:szCs w:val="28"/>
          <w:highlight w:val="none"/>
        </w:rPr>
      </w:pPr>
    </w:p>
    <w:p w14:paraId="05DA7A5C">
      <w:pPr>
        <w:jc w:val="center"/>
        <w:rPr>
          <w:rFonts w:eastAsia="黑体"/>
          <w:color w:val="auto"/>
          <w:sz w:val="28"/>
          <w:szCs w:val="28"/>
          <w:highlight w:val="none"/>
        </w:rPr>
      </w:pPr>
    </w:p>
    <w:p w14:paraId="469B3220">
      <w:pPr>
        <w:jc w:val="center"/>
        <w:rPr>
          <w:rFonts w:eastAsia="黑体"/>
          <w:color w:val="auto"/>
          <w:sz w:val="20"/>
          <w:szCs w:val="20"/>
          <w:highlight w:val="none"/>
        </w:rPr>
      </w:pPr>
      <w:r>
        <w:rPr>
          <w:rFonts w:eastAsia="黑体"/>
          <w:color w:val="auto"/>
          <w:sz w:val="28"/>
          <w:szCs w:val="28"/>
          <w:highlight w:val="none"/>
        </w:rPr>
        <w:t>（项目名称）</w:t>
      </w:r>
    </w:p>
    <w:p w14:paraId="50A2EBBD">
      <w:pPr>
        <w:jc w:val="center"/>
        <w:rPr>
          <w:rFonts w:eastAsia="黑体"/>
          <w:color w:val="auto"/>
          <w:sz w:val="20"/>
          <w:szCs w:val="20"/>
          <w:highlight w:val="none"/>
        </w:rPr>
      </w:pPr>
    </w:p>
    <w:p w14:paraId="5F6159CC">
      <w:pPr>
        <w:rPr>
          <w:rFonts w:eastAsia="黑体"/>
          <w:color w:val="auto"/>
          <w:sz w:val="20"/>
          <w:szCs w:val="20"/>
          <w:highlight w:val="none"/>
        </w:rPr>
      </w:pPr>
    </w:p>
    <w:p w14:paraId="19AC9CCC">
      <w:pPr>
        <w:jc w:val="center"/>
        <w:rPr>
          <w:rFonts w:hint="eastAsia" w:eastAsia="黑体"/>
          <w:color w:val="auto"/>
          <w:sz w:val="44"/>
          <w:szCs w:val="44"/>
          <w:highlight w:val="none"/>
          <w:lang w:eastAsia="zh-CN"/>
        </w:rPr>
      </w:pPr>
      <w:r>
        <w:rPr>
          <w:rFonts w:eastAsia="黑体"/>
          <w:color w:val="auto"/>
          <w:sz w:val="44"/>
          <w:szCs w:val="44"/>
          <w:highlight w:val="none"/>
        </w:rPr>
        <w:t>投  标  文  件</w:t>
      </w:r>
      <w:r>
        <w:rPr>
          <w:rFonts w:hint="eastAsia" w:eastAsia="黑体"/>
          <w:color w:val="auto"/>
          <w:sz w:val="44"/>
          <w:szCs w:val="44"/>
          <w:highlight w:val="none"/>
        </w:rPr>
        <w:t xml:space="preserve">  </w:t>
      </w:r>
      <w:r>
        <w:rPr>
          <w:rFonts w:hint="eastAsia" w:eastAsia="黑体"/>
          <w:color w:val="auto"/>
          <w:sz w:val="44"/>
          <w:szCs w:val="44"/>
          <w:highlight w:val="none"/>
          <w:lang w:val="en-US" w:eastAsia="zh-CN"/>
        </w:rPr>
        <w:t>二</w:t>
      </w:r>
    </w:p>
    <w:p w14:paraId="2DFA3CA4">
      <w:pPr>
        <w:jc w:val="center"/>
        <w:rPr>
          <w:rFonts w:eastAsia="黑体"/>
          <w:color w:val="auto"/>
          <w:sz w:val="44"/>
          <w:szCs w:val="44"/>
          <w:highlight w:val="none"/>
        </w:rPr>
      </w:pPr>
      <w:r>
        <w:rPr>
          <w:rFonts w:hint="eastAsia" w:eastAsia="黑体"/>
          <w:color w:val="auto"/>
          <w:sz w:val="44"/>
          <w:szCs w:val="44"/>
          <w:highlight w:val="none"/>
        </w:rPr>
        <w:t>（</w:t>
      </w:r>
      <w:r>
        <w:rPr>
          <w:rFonts w:hint="eastAsia" w:eastAsia="黑体"/>
          <w:color w:val="auto"/>
          <w:sz w:val="44"/>
          <w:szCs w:val="44"/>
          <w:highlight w:val="none"/>
          <w:lang w:val="en-US" w:eastAsia="zh-CN"/>
        </w:rPr>
        <w:t>技术</w:t>
      </w:r>
      <w:r>
        <w:rPr>
          <w:rFonts w:hint="eastAsia" w:eastAsia="黑体"/>
          <w:color w:val="auto"/>
          <w:sz w:val="44"/>
          <w:szCs w:val="44"/>
          <w:highlight w:val="none"/>
        </w:rPr>
        <w:t>标文件）</w:t>
      </w:r>
    </w:p>
    <w:p w14:paraId="6D585FED">
      <w:pPr>
        <w:rPr>
          <w:rFonts w:eastAsia="黑体"/>
          <w:color w:val="auto"/>
          <w:sz w:val="28"/>
          <w:szCs w:val="28"/>
          <w:highlight w:val="none"/>
        </w:rPr>
      </w:pPr>
    </w:p>
    <w:p w14:paraId="2EBBC7D5">
      <w:pPr>
        <w:rPr>
          <w:rFonts w:eastAsia="黑体"/>
          <w:color w:val="auto"/>
          <w:sz w:val="28"/>
          <w:szCs w:val="28"/>
          <w:highlight w:val="none"/>
        </w:rPr>
      </w:pPr>
    </w:p>
    <w:p w14:paraId="1AAE6A6F">
      <w:pPr>
        <w:rPr>
          <w:rFonts w:eastAsia="黑体"/>
          <w:color w:val="auto"/>
          <w:sz w:val="28"/>
          <w:szCs w:val="28"/>
          <w:highlight w:val="none"/>
        </w:rPr>
      </w:pPr>
    </w:p>
    <w:p w14:paraId="3D864BC3">
      <w:pPr>
        <w:rPr>
          <w:rFonts w:eastAsia="黑体"/>
          <w:color w:val="auto"/>
          <w:sz w:val="28"/>
          <w:szCs w:val="28"/>
          <w:highlight w:val="none"/>
        </w:rPr>
      </w:pPr>
    </w:p>
    <w:p w14:paraId="6B8BF1EB">
      <w:pPr>
        <w:rPr>
          <w:rFonts w:eastAsia="黑体"/>
          <w:color w:val="auto"/>
          <w:sz w:val="28"/>
          <w:szCs w:val="28"/>
          <w:highlight w:val="none"/>
        </w:rPr>
      </w:pPr>
    </w:p>
    <w:p w14:paraId="4B781DC3">
      <w:pPr>
        <w:rPr>
          <w:rFonts w:eastAsia="黑体"/>
          <w:color w:val="auto"/>
          <w:sz w:val="28"/>
          <w:szCs w:val="28"/>
          <w:highlight w:val="none"/>
        </w:rPr>
      </w:pPr>
    </w:p>
    <w:p w14:paraId="0471F460">
      <w:pPr>
        <w:pStyle w:val="2"/>
        <w:rPr>
          <w:rFonts w:eastAsia="黑体"/>
          <w:color w:val="auto"/>
          <w:sz w:val="28"/>
          <w:szCs w:val="28"/>
          <w:highlight w:val="none"/>
        </w:rPr>
      </w:pPr>
    </w:p>
    <w:p w14:paraId="49ED4FD8">
      <w:pPr>
        <w:rPr>
          <w:rFonts w:eastAsia="黑体"/>
          <w:color w:val="auto"/>
          <w:sz w:val="28"/>
          <w:szCs w:val="28"/>
          <w:highlight w:val="none"/>
        </w:rPr>
      </w:pPr>
    </w:p>
    <w:p w14:paraId="19B4C864">
      <w:pPr>
        <w:pStyle w:val="2"/>
        <w:rPr>
          <w:rFonts w:eastAsia="黑体"/>
          <w:color w:val="auto"/>
          <w:sz w:val="28"/>
          <w:szCs w:val="28"/>
          <w:highlight w:val="none"/>
        </w:rPr>
      </w:pPr>
    </w:p>
    <w:p w14:paraId="64427C46">
      <w:pPr>
        <w:rPr>
          <w:rFonts w:eastAsia="黑体"/>
          <w:color w:val="auto"/>
          <w:sz w:val="28"/>
          <w:szCs w:val="28"/>
          <w:highlight w:val="none"/>
        </w:rPr>
      </w:pPr>
    </w:p>
    <w:p w14:paraId="0ACACD54">
      <w:pPr>
        <w:pStyle w:val="2"/>
        <w:rPr>
          <w:rFonts w:eastAsia="黑体"/>
          <w:color w:val="auto"/>
          <w:sz w:val="28"/>
          <w:szCs w:val="28"/>
          <w:highlight w:val="none"/>
        </w:rPr>
      </w:pPr>
    </w:p>
    <w:p w14:paraId="09C60BFD">
      <w:pPr>
        <w:rPr>
          <w:color w:val="auto"/>
          <w:highlight w:val="none"/>
        </w:rPr>
      </w:pPr>
    </w:p>
    <w:p w14:paraId="15364087">
      <w:pPr>
        <w:rPr>
          <w:rFonts w:eastAsia="黑体"/>
          <w:color w:val="auto"/>
          <w:sz w:val="28"/>
          <w:szCs w:val="28"/>
          <w:highlight w:val="none"/>
        </w:rPr>
      </w:pPr>
    </w:p>
    <w:p w14:paraId="64844199">
      <w:pPr>
        <w:rPr>
          <w:rFonts w:eastAsia="黑体"/>
          <w:color w:val="auto"/>
          <w:sz w:val="28"/>
          <w:szCs w:val="28"/>
          <w:highlight w:val="none"/>
        </w:rPr>
      </w:pPr>
    </w:p>
    <w:p w14:paraId="072A0BA8">
      <w:pPr>
        <w:rPr>
          <w:rFonts w:eastAsia="黑体"/>
          <w:color w:val="auto"/>
          <w:sz w:val="28"/>
          <w:szCs w:val="28"/>
          <w:highlight w:val="none"/>
        </w:rPr>
      </w:pPr>
    </w:p>
    <w:p w14:paraId="24063D5E">
      <w:pPr>
        <w:rPr>
          <w:rFonts w:eastAsia="黑体"/>
          <w:color w:val="auto"/>
          <w:sz w:val="28"/>
          <w:szCs w:val="28"/>
          <w:highlight w:val="none"/>
        </w:rPr>
      </w:pPr>
    </w:p>
    <w:p w14:paraId="4F87FD0C">
      <w:pPr>
        <w:rPr>
          <w:rFonts w:eastAsia="黑体"/>
          <w:color w:val="auto"/>
          <w:sz w:val="28"/>
          <w:szCs w:val="28"/>
          <w:highlight w:val="none"/>
        </w:rPr>
      </w:pPr>
    </w:p>
    <w:p w14:paraId="0F077404">
      <w:pPr>
        <w:jc w:val="center"/>
        <w:rPr>
          <w:rFonts w:eastAsia="黑体"/>
          <w:color w:val="auto"/>
          <w:sz w:val="28"/>
          <w:szCs w:val="28"/>
          <w:highlight w:val="none"/>
          <w:u w:val="single"/>
        </w:rPr>
      </w:pPr>
      <w:r>
        <w:rPr>
          <w:rFonts w:hint="eastAsia" w:eastAsia="黑体"/>
          <w:color w:val="auto"/>
          <w:sz w:val="28"/>
          <w:szCs w:val="28"/>
          <w:highlight w:val="none"/>
        </w:rPr>
        <w:t xml:space="preserve"> 投标人</w:t>
      </w:r>
      <w:r>
        <w:rPr>
          <w:rFonts w:eastAsia="黑体"/>
          <w:color w:val="auto"/>
          <w:sz w:val="28"/>
          <w:szCs w:val="28"/>
          <w:highlight w:val="none"/>
        </w:rPr>
        <w:t>：</w:t>
      </w:r>
      <w:r>
        <w:rPr>
          <w:rFonts w:eastAsia="黑体"/>
          <w:color w:val="auto"/>
          <w:sz w:val="28"/>
          <w:szCs w:val="28"/>
          <w:highlight w:val="none"/>
          <w:u w:val="single"/>
        </w:rPr>
        <w:t xml:space="preserve">               </w:t>
      </w:r>
      <w:r>
        <w:rPr>
          <w:rFonts w:hint="eastAsia" w:eastAsia="黑体"/>
          <w:color w:val="auto"/>
          <w:sz w:val="28"/>
          <w:szCs w:val="28"/>
          <w:highlight w:val="none"/>
          <w:u w:val="single"/>
        </w:rPr>
        <w:t xml:space="preserve">    </w:t>
      </w:r>
      <w:r>
        <w:rPr>
          <w:rFonts w:eastAsia="黑体"/>
          <w:color w:val="auto"/>
          <w:sz w:val="28"/>
          <w:szCs w:val="28"/>
          <w:highlight w:val="none"/>
          <w:u w:val="single"/>
        </w:rPr>
        <w:t xml:space="preserve">      </w:t>
      </w:r>
      <w:r>
        <w:rPr>
          <w:rFonts w:hint="eastAsia" w:eastAsia="黑体"/>
          <w:color w:val="auto"/>
          <w:sz w:val="28"/>
          <w:szCs w:val="28"/>
          <w:highlight w:val="none"/>
          <w:u w:val="single"/>
        </w:rPr>
        <w:t xml:space="preserve">  </w:t>
      </w:r>
      <w:r>
        <w:rPr>
          <w:rFonts w:eastAsia="黑体"/>
          <w:color w:val="auto"/>
          <w:sz w:val="28"/>
          <w:szCs w:val="28"/>
          <w:highlight w:val="none"/>
          <w:u w:val="single"/>
        </w:rPr>
        <w:t xml:space="preserve">       </w:t>
      </w:r>
      <w:r>
        <w:rPr>
          <w:rFonts w:eastAsia="黑体"/>
          <w:color w:val="auto"/>
          <w:sz w:val="28"/>
          <w:szCs w:val="28"/>
          <w:highlight w:val="none"/>
        </w:rPr>
        <w:t>（</w:t>
      </w:r>
      <w:r>
        <w:rPr>
          <w:rFonts w:hint="eastAsia" w:eastAsia="黑体"/>
          <w:color w:val="auto"/>
          <w:sz w:val="28"/>
          <w:szCs w:val="28"/>
          <w:highlight w:val="none"/>
        </w:rPr>
        <w:t>盖</w:t>
      </w:r>
      <w:r>
        <w:rPr>
          <w:rFonts w:eastAsia="黑体"/>
          <w:color w:val="auto"/>
          <w:sz w:val="28"/>
          <w:szCs w:val="28"/>
          <w:highlight w:val="none"/>
        </w:rPr>
        <w:t>章）</w:t>
      </w:r>
    </w:p>
    <w:p w14:paraId="01213B5D">
      <w:pPr>
        <w:jc w:val="center"/>
        <w:rPr>
          <w:rFonts w:eastAsia="黑体"/>
          <w:color w:val="auto"/>
          <w:sz w:val="28"/>
          <w:szCs w:val="28"/>
          <w:highlight w:val="none"/>
        </w:rPr>
      </w:pPr>
      <w:r>
        <w:rPr>
          <w:rFonts w:hint="eastAsia" w:eastAsia="黑体"/>
          <w:color w:val="auto"/>
          <w:sz w:val="28"/>
          <w:szCs w:val="28"/>
          <w:highlight w:val="none"/>
        </w:rPr>
        <w:t xml:space="preserve">   </w:t>
      </w:r>
      <w:r>
        <w:rPr>
          <w:rFonts w:eastAsia="黑体"/>
          <w:color w:val="auto"/>
          <w:sz w:val="28"/>
          <w:szCs w:val="28"/>
          <w:highlight w:val="none"/>
        </w:rPr>
        <w:t>法定代表人</w:t>
      </w:r>
      <w:r>
        <w:rPr>
          <w:rFonts w:hint="eastAsia" w:eastAsia="黑体"/>
          <w:color w:val="auto"/>
          <w:sz w:val="28"/>
          <w:szCs w:val="28"/>
          <w:highlight w:val="none"/>
          <w:lang w:val="en-US" w:eastAsia="zh-CN"/>
        </w:rPr>
        <w:t>或授权委托人</w:t>
      </w:r>
      <w:r>
        <w:rPr>
          <w:rFonts w:eastAsia="黑体"/>
          <w:color w:val="auto"/>
          <w:sz w:val="28"/>
          <w:szCs w:val="28"/>
          <w:highlight w:val="none"/>
        </w:rPr>
        <w:t>：</w:t>
      </w:r>
      <w:r>
        <w:rPr>
          <w:rFonts w:eastAsia="黑体"/>
          <w:color w:val="auto"/>
          <w:sz w:val="28"/>
          <w:szCs w:val="28"/>
          <w:highlight w:val="none"/>
          <w:u w:val="single"/>
        </w:rPr>
        <w:t xml:space="preserve">         </w:t>
      </w:r>
      <w:r>
        <w:rPr>
          <w:rFonts w:hint="eastAsia" w:eastAsia="黑体"/>
          <w:color w:val="auto"/>
          <w:sz w:val="28"/>
          <w:szCs w:val="28"/>
          <w:highlight w:val="none"/>
          <w:u w:val="single"/>
        </w:rPr>
        <w:t xml:space="preserve">         </w:t>
      </w:r>
      <w:r>
        <w:rPr>
          <w:rFonts w:eastAsia="黑体"/>
          <w:color w:val="auto"/>
          <w:sz w:val="28"/>
          <w:szCs w:val="28"/>
          <w:highlight w:val="none"/>
          <w:u w:val="single"/>
        </w:rPr>
        <w:t xml:space="preserve">       </w:t>
      </w:r>
      <w:r>
        <w:rPr>
          <w:rFonts w:eastAsia="黑体"/>
          <w:color w:val="auto"/>
          <w:sz w:val="28"/>
          <w:szCs w:val="28"/>
          <w:highlight w:val="none"/>
        </w:rPr>
        <w:t>（</w:t>
      </w:r>
      <w:r>
        <w:rPr>
          <w:rFonts w:hint="eastAsia" w:eastAsia="黑体"/>
          <w:color w:val="auto"/>
          <w:sz w:val="28"/>
          <w:szCs w:val="28"/>
          <w:highlight w:val="none"/>
        </w:rPr>
        <w:t>签字或盖章</w:t>
      </w:r>
      <w:r>
        <w:rPr>
          <w:rFonts w:eastAsia="黑体"/>
          <w:color w:val="auto"/>
          <w:sz w:val="28"/>
          <w:szCs w:val="28"/>
          <w:highlight w:val="none"/>
        </w:rPr>
        <w:t>）</w:t>
      </w:r>
    </w:p>
    <w:p w14:paraId="1934F137">
      <w:pPr>
        <w:jc w:val="center"/>
        <w:rPr>
          <w:rFonts w:eastAsia="黑体"/>
          <w:color w:val="auto"/>
          <w:sz w:val="28"/>
          <w:szCs w:val="28"/>
          <w:highlight w:val="none"/>
        </w:rPr>
      </w:pPr>
      <w:r>
        <w:rPr>
          <w:rFonts w:hint="eastAsia" w:eastAsia="黑体"/>
          <w:color w:val="auto"/>
          <w:sz w:val="28"/>
          <w:szCs w:val="28"/>
          <w:highlight w:val="none"/>
          <w:u w:val="single"/>
        </w:rPr>
        <w:t xml:space="preserve">      </w:t>
      </w:r>
      <w:r>
        <w:rPr>
          <w:rFonts w:eastAsia="黑体"/>
          <w:color w:val="auto"/>
          <w:sz w:val="28"/>
          <w:szCs w:val="28"/>
          <w:highlight w:val="none"/>
        </w:rPr>
        <w:t>年</w:t>
      </w:r>
      <w:r>
        <w:rPr>
          <w:rFonts w:hint="eastAsia" w:eastAsia="黑体"/>
          <w:color w:val="auto"/>
          <w:sz w:val="28"/>
          <w:szCs w:val="28"/>
          <w:highlight w:val="none"/>
          <w:u w:val="single"/>
        </w:rPr>
        <w:t xml:space="preserve">     </w:t>
      </w:r>
      <w:r>
        <w:rPr>
          <w:rFonts w:eastAsia="黑体"/>
          <w:color w:val="auto"/>
          <w:sz w:val="28"/>
          <w:szCs w:val="28"/>
          <w:highlight w:val="none"/>
        </w:rPr>
        <w:t>月</w:t>
      </w:r>
      <w:r>
        <w:rPr>
          <w:rFonts w:hint="eastAsia" w:eastAsia="黑体"/>
          <w:color w:val="auto"/>
          <w:sz w:val="28"/>
          <w:szCs w:val="28"/>
          <w:highlight w:val="none"/>
          <w:u w:val="single"/>
        </w:rPr>
        <w:t xml:space="preserve">     </w:t>
      </w:r>
      <w:r>
        <w:rPr>
          <w:rFonts w:eastAsia="黑体"/>
          <w:color w:val="auto"/>
          <w:sz w:val="28"/>
          <w:szCs w:val="28"/>
          <w:highlight w:val="none"/>
        </w:rPr>
        <w:t>日</w:t>
      </w:r>
    </w:p>
    <w:p w14:paraId="539130D1">
      <w:pPr>
        <w:rPr>
          <w:color w:val="auto"/>
          <w:highlight w:val="none"/>
        </w:rPr>
      </w:pPr>
    </w:p>
    <w:p w14:paraId="7BDF197A">
      <w:pPr>
        <w:pStyle w:val="2"/>
        <w:ind w:firstLine="420"/>
        <w:rPr>
          <w:color w:val="auto"/>
          <w:highlight w:val="none"/>
        </w:rPr>
      </w:pPr>
    </w:p>
    <w:p w14:paraId="6A880F3A">
      <w:pPr>
        <w:rPr>
          <w:color w:val="auto"/>
          <w:highlight w:val="none"/>
        </w:rPr>
      </w:pPr>
    </w:p>
    <w:p w14:paraId="07C4282F">
      <w:pPr>
        <w:spacing w:beforeLines="50" w:afterLines="50" w:line="440" w:lineRule="exact"/>
        <w:ind w:firstLine="643" w:firstLineChars="200"/>
        <w:jc w:val="left"/>
        <w:rPr>
          <w:rStyle w:val="65"/>
          <w:rFonts w:hint="eastAsia" w:ascii="宋体" w:hAnsi="宋体" w:cs="宋体"/>
          <w:color w:val="auto"/>
          <w:sz w:val="32"/>
          <w:highlight w:val="none"/>
        </w:rPr>
      </w:pPr>
      <w:bookmarkStart w:id="862" w:name="_Toc19174"/>
      <w:bookmarkStart w:id="863" w:name="_Toc35425139"/>
      <w:bookmarkStart w:id="864" w:name="_Toc35424973"/>
      <w:bookmarkStart w:id="865" w:name="_Toc78803401"/>
      <w:r>
        <w:rPr>
          <w:rStyle w:val="65"/>
          <w:rFonts w:hint="eastAsia" w:ascii="宋体" w:hAnsi="宋体" w:cs="宋体"/>
          <w:color w:val="auto"/>
          <w:sz w:val="32"/>
          <w:highlight w:val="none"/>
        </w:rPr>
        <w:br w:type="page"/>
      </w:r>
      <w:bookmarkStart w:id="866" w:name="_Toc19057"/>
      <w:bookmarkStart w:id="867" w:name="_Toc26670"/>
      <w:bookmarkStart w:id="868" w:name="_Toc27877"/>
      <w:r>
        <w:rPr>
          <w:rStyle w:val="65"/>
          <w:rFonts w:hint="eastAsia" w:ascii="宋体" w:hAnsi="宋体" w:cs="宋体"/>
          <w:color w:val="auto"/>
          <w:sz w:val="32"/>
          <w:highlight w:val="none"/>
        </w:rPr>
        <w:t>投标文件</w:t>
      </w:r>
      <w:r>
        <w:rPr>
          <w:rStyle w:val="65"/>
          <w:rFonts w:hint="eastAsia" w:ascii="宋体" w:hAnsi="宋体" w:cs="宋体"/>
          <w:color w:val="auto"/>
          <w:sz w:val="32"/>
          <w:highlight w:val="none"/>
          <w:lang w:val="en-US"/>
        </w:rPr>
        <w:t>二</w:t>
      </w:r>
      <w:r>
        <w:rPr>
          <w:rStyle w:val="65"/>
          <w:rFonts w:hint="eastAsia" w:ascii="宋体" w:hAnsi="宋体" w:cs="宋体"/>
          <w:color w:val="auto"/>
          <w:sz w:val="32"/>
          <w:highlight w:val="none"/>
        </w:rPr>
        <w:t>：</w:t>
      </w:r>
      <w:r>
        <w:rPr>
          <w:rStyle w:val="65"/>
          <w:rFonts w:hint="eastAsia" w:ascii="宋体" w:hAnsi="宋体" w:cs="宋体"/>
          <w:color w:val="auto"/>
          <w:sz w:val="32"/>
          <w:highlight w:val="none"/>
          <w:lang w:val="en-US"/>
        </w:rPr>
        <w:t>技术</w:t>
      </w:r>
      <w:r>
        <w:rPr>
          <w:rStyle w:val="65"/>
          <w:rFonts w:hint="eastAsia" w:ascii="宋体" w:hAnsi="宋体" w:cs="宋体"/>
          <w:color w:val="auto"/>
          <w:sz w:val="32"/>
          <w:highlight w:val="none"/>
        </w:rPr>
        <w:t>标目录</w:t>
      </w:r>
    </w:p>
    <w:p w14:paraId="5B43AA64">
      <w:pPr>
        <w:numPr>
          <w:ilvl w:val="0"/>
          <w:numId w:val="0"/>
        </w:numPr>
        <w:spacing w:line="440" w:lineRule="exact"/>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1.施工组织设计；</w:t>
      </w:r>
    </w:p>
    <w:p w14:paraId="7722444B">
      <w:pPr>
        <w:pStyle w:val="2"/>
        <w:numPr>
          <w:ilvl w:val="0"/>
          <w:numId w:val="0"/>
        </w:numPr>
        <w:rPr>
          <w:rFonts w:hint="eastAsia"/>
          <w:color w:val="auto"/>
          <w:highlight w:val="none"/>
          <w:lang w:eastAsia="zh-CN"/>
        </w:rPr>
      </w:pPr>
      <w:r>
        <w:rPr>
          <w:rFonts w:hint="eastAsia"/>
          <w:color w:val="auto"/>
          <w:highlight w:val="none"/>
          <w:lang w:val="en-US" w:eastAsia="zh-CN"/>
        </w:rPr>
        <w:t>2.投标人认为需要提供的其他材料</w:t>
      </w:r>
    </w:p>
    <w:p w14:paraId="1E8AB672">
      <w:pPr>
        <w:pStyle w:val="2"/>
        <w:rPr>
          <w:rFonts w:hint="eastAsia"/>
          <w:color w:val="auto"/>
          <w:highlight w:val="none"/>
        </w:rPr>
      </w:pPr>
    </w:p>
    <w:p w14:paraId="4FEC04D3">
      <w:pPr>
        <w:pStyle w:val="2"/>
        <w:rPr>
          <w:color w:val="auto"/>
          <w:highlight w:val="none"/>
        </w:rPr>
      </w:pPr>
    </w:p>
    <w:p w14:paraId="603705F9">
      <w:pPr>
        <w:rPr>
          <w:rFonts w:eastAsia="黑体"/>
          <w:color w:val="auto"/>
          <w:sz w:val="28"/>
          <w:szCs w:val="28"/>
          <w:highlight w:val="none"/>
        </w:rPr>
      </w:pPr>
      <w:r>
        <w:rPr>
          <w:rFonts w:eastAsia="黑体"/>
          <w:color w:val="auto"/>
          <w:sz w:val="28"/>
          <w:szCs w:val="28"/>
          <w:highlight w:val="none"/>
        </w:rPr>
        <w:br w:type="page"/>
      </w:r>
    </w:p>
    <w:p w14:paraId="01EF2676">
      <w:pPr>
        <w:jc w:val="center"/>
        <w:rPr>
          <w:rFonts w:eastAsia="黑体"/>
          <w:color w:val="auto"/>
          <w:sz w:val="28"/>
          <w:szCs w:val="28"/>
          <w:highlight w:val="none"/>
        </w:rPr>
      </w:pPr>
    </w:p>
    <w:p w14:paraId="220E11F4">
      <w:pPr>
        <w:jc w:val="center"/>
        <w:rPr>
          <w:rFonts w:eastAsia="黑体"/>
          <w:color w:val="auto"/>
          <w:sz w:val="28"/>
          <w:szCs w:val="28"/>
          <w:highlight w:val="none"/>
        </w:rPr>
      </w:pPr>
    </w:p>
    <w:p w14:paraId="649722EB">
      <w:pPr>
        <w:jc w:val="center"/>
        <w:rPr>
          <w:rFonts w:eastAsia="黑体"/>
          <w:color w:val="auto"/>
          <w:sz w:val="28"/>
          <w:szCs w:val="28"/>
          <w:highlight w:val="none"/>
        </w:rPr>
      </w:pPr>
    </w:p>
    <w:p w14:paraId="0A20B642">
      <w:pPr>
        <w:jc w:val="center"/>
        <w:rPr>
          <w:rFonts w:eastAsia="黑体"/>
          <w:color w:val="auto"/>
          <w:sz w:val="20"/>
          <w:szCs w:val="20"/>
          <w:highlight w:val="none"/>
        </w:rPr>
      </w:pPr>
      <w:r>
        <w:rPr>
          <w:rFonts w:eastAsia="黑体"/>
          <w:color w:val="auto"/>
          <w:sz w:val="28"/>
          <w:szCs w:val="28"/>
          <w:highlight w:val="none"/>
        </w:rPr>
        <w:t>（项目名称）</w:t>
      </w:r>
    </w:p>
    <w:p w14:paraId="00EB912E">
      <w:pPr>
        <w:jc w:val="center"/>
        <w:rPr>
          <w:rFonts w:eastAsia="黑体"/>
          <w:color w:val="auto"/>
          <w:sz w:val="20"/>
          <w:szCs w:val="20"/>
          <w:highlight w:val="none"/>
        </w:rPr>
      </w:pPr>
    </w:p>
    <w:p w14:paraId="744F756D">
      <w:pPr>
        <w:rPr>
          <w:rFonts w:eastAsia="黑体"/>
          <w:color w:val="auto"/>
          <w:sz w:val="20"/>
          <w:szCs w:val="20"/>
          <w:highlight w:val="none"/>
        </w:rPr>
      </w:pPr>
    </w:p>
    <w:p w14:paraId="1537CCF9">
      <w:pPr>
        <w:jc w:val="center"/>
        <w:rPr>
          <w:rFonts w:hint="eastAsia" w:eastAsia="黑体"/>
          <w:color w:val="auto"/>
          <w:sz w:val="44"/>
          <w:szCs w:val="44"/>
          <w:highlight w:val="none"/>
          <w:lang w:val="en-US" w:eastAsia="zh-CN"/>
        </w:rPr>
      </w:pPr>
      <w:r>
        <w:rPr>
          <w:rFonts w:eastAsia="黑体"/>
          <w:color w:val="auto"/>
          <w:sz w:val="44"/>
          <w:szCs w:val="44"/>
          <w:highlight w:val="none"/>
        </w:rPr>
        <w:t>投  标  文  件</w:t>
      </w:r>
      <w:r>
        <w:rPr>
          <w:rFonts w:hint="eastAsia" w:eastAsia="黑体"/>
          <w:color w:val="auto"/>
          <w:sz w:val="44"/>
          <w:szCs w:val="44"/>
          <w:highlight w:val="none"/>
        </w:rPr>
        <w:t xml:space="preserve">  </w:t>
      </w:r>
      <w:r>
        <w:rPr>
          <w:rFonts w:hint="eastAsia" w:eastAsia="黑体"/>
          <w:color w:val="auto"/>
          <w:sz w:val="44"/>
          <w:szCs w:val="44"/>
          <w:highlight w:val="none"/>
          <w:lang w:val="en-US" w:eastAsia="zh-CN"/>
        </w:rPr>
        <w:t>三</w:t>
      </w:r>
    </w:p>
    <w:p w14:paraId="0627660E">
      <w:pPr>
        <w:jc w:val="center"/>
        <w:rPr>
          <w:rFonts w:eastAsia="黑体"/>
          <w:color w:val="auto"/>
          <w:sz w:val="44"/>
          <w:szCs w:val="44"/>
          <w:highlight w:val="none"/>
        </w:rPr>
      </w:pPr>
      <w:r>
        <w:rPr>
          <w:rFonts w:hint="eastAsia" w:eastAsia="黑体"/>
          <w:color w:val="auto"/>
          <w:sz w:val="44"/>
          <w:szCs w:val="44"/>
          <w:highlight w:val="none"/>
        </w:rPr>
        <w:t>（商务标文件）</w:t>
      </w:r>
    </w:p>
    <w:p w14:paraId="0439641C">
      <w:pPr>
        <w:rPr>
          <w:rFonts w:eastAsia="黑体"/>
          <w:color w:val="auto"/>
          <w:sz w:val="28"/>
          <w:szCs w:val="28"/>
          <w:highlight w:val="none"/>
        </w:rPr>
      </w:pPr>
    </w:p>
    <w:p w14:paraId="249B2BAB">
      <w:pPr>
        <w:rPr>
          <w:rFonts w:eastAsia="黑体"/>
          <w:color w:val="auto"/>
          <w:sz w:val="28"/>
          <w:szCs w:val="28"/>
          <w:highlight w:val="none"/>
        </w:rPr>
      </w:pPr>
    </w:p>
    <w:p w14:paraId="288180E0">
      <w:pPr>
        <w:rPr>
          <w:rFonts w:eastAsia="黑体"/>
          <w:color w:val="auto"/>
          <w:sz w:val="28"/>
          <w:szCs w:val="28"/>
          <w:highlight w:val="none"/>
        </w:rPr>
      </w:pPr>
    </w:p>
    <w:p w14:paraId="7C2E1F7B">
      <w:pPr>
        <w:rPr>
          <w:rFonts w:eastAsia="黑体"/>
          <w:color w:val="auto"/>
          <w:sz w:val="28"/>
          <w:szCs w:val="28"/>
          <w:highlight w:val="none"/>
        </w:rPr>
      </w:pPr>
    </w:p>
    <w:p w14:paraId="64FEFEA5">
      <w:pPr>
        <w:rPr>
          <w:rFonts w:eastAsia="黑体"/>
          <w:color w:val="auto"/>
          <w:sz w:val="28"/>
          <w:szCs w:val="28"/>
          <w:highlight w:val="none"/>
        </w:rPr>
      </w:pPr>
    </w:p>
    <w:p w14:paraId="3A7DD00F">
      <w:pPr>
        <w:pStyle w:val="2"/>
        <w:rPr>
          <w:rFonts w:eastAsia="黑体"/>
          <w:color w:val="auto"/>
          <w:sz w:val="28"/>
          <w:szCs w:val="28"/>
          <w:highlight w:val="none"/>
        </w:rPr>
      </w:pPr>
    </w:p>
    <w:p w14:paraId="4050221C">
      <w:pPr>
        <w:rPr>
          <w:rFonts w:eastAsia="黑体"/>
          <w:color w:val="auto"/>
          <w:sz w:val="28"/>
          <w:szCs w:val="28"/>
          <w:highlight w:val="none"/>
        </w:rPr>
      </w:pPr>
    </w:p>
    <w:p w14:paraId="55A4ADE4">
      <w:pPr>
        <w:pStyle w:val="2"/>
        <w:rPr>
          <w:rFonts w:eastAsia="黑体"/>
          <w:color w:val="auto"/>
          <w:sz w:val="28"/>
          <w:szCs w:val="28"/>
          <w:highlight w:val="none"/>
        </w:rPr>
      </w:pPr>
    </w:p>
    <w:p w14:paraId="62ABEBA4">
      <w:pPr>
        <w:rPr>
          <w:rFonts w:eastAsia="黑体"/>
          <w:color w:val="auto"/>
          <w:sz w:val="28"/>
          <w:szCs w:val="28"/>
          <w:highlight w:val="none"/>
        </w:rPr>
      </w:pPr>
    </w:p>
    <w:p w14:paraId="6FF6A6AF">
      <w:pPr>
        <w:pStyle w:val="2"/>
        <w:rPr>
          <w:rFonts w:eastAsia="黑体"/>
          <w:color w:val="auto"/>
          <w:sz w:val="28"/>
          <w:szCs w:val="28"/>
          <w:highlight w:val="none"/>
        </w:rPr>
      </w:pPr>
    </w:p>
    <w:p w14:paraId="5F5EC89C">
      <w:pPr>
        <w:rPr>
          <w:rFonts w:eastAsia="黑体"/>
          <w:color w:val="auto"/>
          <w:sz w:val="28"/>
          <w:szCs w:val="28"/>
          <w:highlight w:val="none"/>
        </w:rPr>
      </w:pPr>
    </w:p>
    <w:p w14:paraId="5393BFDB">
      <w:pPr>
        <w:pStyle w:val="2"/>
        <w:rPr>
          <w:rFonts w:eastAsia="黑体"/>
          <w:color w:val="auto"/>
          <w:sz w:val="28"/>
          <w:szCs w:val="28"/>
          <w:highlight w:val="none"/>
        </w:rPr>
      </w:pPr>
    </w:p>
    <w:p w14:paraId="11E8BD76">
      <w:pPr>
        <w:rPr>
          <w:rFonts w:eastAsia="黑体"/>
          <w:color w:val="auto"/>
          <w:sz w:val="28"/>
          <w:szCs w:val="28"/>
          <w:highlight w:val="none"/>
        </w:rPr>
      </w:pPr>
    </w:p>
    <w:p w14:paraId="25349C22">
      <w:pPr>
        <w:pStyle w:val="2"/>
        <w:rPr>
          <w:rFonts w:eastAsia="黑体"/>
          <w:color w:val="auto"/>
          <w:sz w:val="28"/>
          <w:szCs w:val="28"/>
          <w:highlight w:val="none"/>
        </w:rPr>
      </w:pPr>
    </w:p>
    <w:p w14:paraId="29685210">
      <w:pPr>
        <w:rPr>
          <w:color w:val="auto"/>
          <w:highlight w:val="none"/>
        </w:rPr>
      </w:pPr>
    </w:p>
    <w:p w14:paraId="750963D8">
      <w:pPr>
        <w:rPr>
          <w:rFonts w:eastAsia="黑体"/>
          <w:color w:val="auto"/>
          <w:sz w:val="28"/>
          <w:szCs w:val="28"/>
          <w:highlight w:val="none"/>
        </w:rPr>
      </w:pPr>
    </w:p>
    <w:p w14:paraId="373E3B5A">
      <w:pPr>
        <w:rPr>
          <w:rFonts w:eastAsia="黑体"/>
          <w:color w:val="auto"/>
          <w:sz w:val="28"/>
          <w:szCs w:val="28"/>
          <w:highlight w:val="none"/>
        </w:rPr>
      </w:pPr>
    </w:p>
    <w:p w14:paraId="27E12711">
      <w:pPr>
        <w:rPr>
          <w:rFonts w:eastAsia="黑体"/>
          <w:color w:val="auto"/>
          <w:sz w:val="28"/>
          <w:szCs w:val="28"/>
          <w:highlight w:val="none"/>
        </w:rPr>
      </w:pPr>
    </w:p>
    <w:p w14:paraId="16BE9695">
      <w:pPr>
        <w:rPr>
          <w:rFonts w:eastAsia="黑体"/>
          <w:color w:val="auto"/>
          <w:sz w:val="28"/>
          <w:szCs w:val="28"/>
          <w:highlight w:val="none"/>
        </w:rPr>
      </w:pPr>
    </w:p>
    <w:p w14:paraId="699C27FE">
      <w:pPr>
        <w:rPr>
          <w:rFonts w:eastAsia="黑体"/>
          <w:color w:val="auto"/>
          <w:sz w:val="28"/>
          <w:szCs w:val="28"/>
          <w:highlight w:val="none"/>
        </w:rPr>
      </w:pPr>
    </w:p>
    <w:p w14:paraId="452EBE32">
      <w:pPr>
        <w:rPr>
          <w:rFonts w:eastAsia="黑体"/>
          <w:color w:val="auto"/>
          <w:sz w:val="28"/>
          <w:szCs w:val="28"/>
          <w:highlight w:val="none"/>
        </w:rPr>
      </w:pPr>
    </w:p>
    <w:p w14:paraId="561BD965">
      <w:pPr>
        <w:jc w:val="center"/>
        <w:rPr>
          <w:rFonts w:eastAsia="黑体"/>
          <w:color w:val="auto"/>
          <w:sz w:val="28"/>
          <w:szCs w:val="28"/>
          <w:highlight w:val="none"/>
          <w:u w:val="single"/>
        </w:rPr>
      </w:pPr>
      <w:r>
        <w:rPr>
          <w:rFonts w:hint="eastAsia" w:eastAsia="黑体"/>
          <w:color w:val="auto"/>
          <w:sz w:val="28"/>
          <w:szCs w:val="28"/>
          <w:highlight w:val="none"/>
        </w:rPr>
        <w:t xml:space="preserve"> 投标人</w:t>
      </w:r>
      <w:r>
        <w:rPr>
          <w:rFonts w:eastAsia="黑体"/>
          <w:color w:val="auto"/>
          <w:sz w:val="28"/>
          <w:szCs w:val="28"/>
          <w:highlight w:val="none"/>
        </w:rPr>
        <w:t>：</w:t>
      </w:r>
      <w:r>
        <w:rPr>
          <w:rFonts w:eastAsia="黑体"/>
          <w:color w:val="auto"/>
          <w:sz w:val="28"/>
          <w:szCs w:val="28"/>
          <w:highlight w:val="none"/>
          <w:u w:val="single"/>
        </w:rPr>
        <w:t xml:space="preserve">               </w:t>
      </w:r>
      <w:r>
        <w:rPr>
          <w:rFonts w:hint="eastAsia" w:eastAsia="黑体"/>
          <w:color w:val="auto"/>
          <w:sz w:val="28"/>
          <w:szCs w:val="28"/>
          <w:highlight w:val="none"/>
          <w:u w:val="single"/>
        </w:rPr>
        <w:t xml:space="preserve">    </w:t>
      </w:r>
      <w:r>
        <w:rPr>
          <w:rFonts w:eastAsia="黑体"/>
          <w:color w:val="auto"/>
          <w:sz w:val="28"/>
          <w:szCs w:val="28"/>
          <w:highlight w:val="none"/>
          <w:u w:val="single"/>
        </w:rPr>
        <w:t xml:space="preserve">      </w:t>
      </w:r>
      <w:r>
        <w:rPr>
          <w:rFonts w:hint="eastAsia" w:eastAsia="黑体"/>
          <w:color w:val="auto"/>
          <w:sz w:val="28"/>
          <w:szCs w:val="28"/>
          <w:highlight w:val="none"/>
          <w:u w:val="single"/>
        </w:rPr>
        <w:t xml:space="preserve">  </w:t>
      </w:r>
      <w:r>
        <w:rPr>
          <w:rFonts w:eastAsia="黑体"/>
          <w:color w:val="auto"/>
          <w:sz w:val="28"/>
          <w:szCs w:val="28"/>
          <w:highlight w:val="none"/>
          <w:u w:val="single"/>
        </w:rPr>
        <w:t xml:space="preserve">       </w:t>
      </w:r>
      <w:r>
        <w:rPr>
          <w:rFonts w:eastAsia="黑体"/>
          <w:color w:val="auto"/>
          <w:sz w:val="28"/>
          <w:szCs w:val="28"/>
          <w:highlight w:val="none"/>
        </w:rPr>
        <w:t>（</w:t>
      </w:r>
      <w:r>
        <w:rPr>
          <w:rFonts w:hint="eastAsia" w:eastAsia="黑体"/>
          <w:color w:val="auto"/>
          <w:sz w:val="28"/>
          <w:szCs w:val="28"/>
          <w:highlight w:val="none"/>
        </w:rPr>
        <w:t>盖</w:t>
      </w:r>
      <w:r>
        <w:rPr>
          <w:rFonts w:eastAsia="黑体"/>
          <w:color w:val="auto"/>
          <w:sz w:val="28"/>
          <w:szCs w:val="28"/>
          <w:highlight w:val="none"/>
        </w:rPr>
        <w:t>章）</w:t>
      </w:r>
    </w:p>
    <w:p w14:paraId="0F3BD634">
      <w:pPr>
        <w:jc w:val="center"/>
        <w:rPr>
          <w:rFonts w:eastAsia="黑体"/>
          <w:color w:val="auto"/>
          <w:sz w:val="28"/>
          <w:szCs w:val="28"/>
          <w:highlight w:val="none"/>
        </w:rPr>
      </w:pPr>
      <w:r>
        <w:rPr>
          <w:rFonts w:hint="eastAsia" w:eastAsia="黑体"/>
          <w:color w:val="auto"/>
          <w:sz w:val="28"/>
          <w:szCs w:val="28"/>
          <w:highlight w:val="none"/>
        </w:rPr>
        <w:t xml:space="preserve">   </w:t>
      </w:r>
      <w:r>
        <w:rPr>
          <w:rFonts w:eastAsia="黑体"/>
          <w:color w:val="auto"/>
          <w:sz w:val="28"/>
          <w:szCs w:val="28"/>
          <w:highlight w:val="none"/>
        </w:rPr>
        <w:t>法定代表人</w:t>
      </w:r>
      <w:r>
        <w:rPr>
          <w:rFonts w:hint="eastAsia" w:eastAsia="黑体"/>
          <w:color w:val="auto"/>
          <w:sz w:val="28"/>
          <w:szCs w:val="28"/>
          <w:highlight w:val="none"/>
          <w:lang w:val="en-US" w:eastAsia="zh-CN"/>
        </w:rPr>
        <w:t>或授权委托人</w:t>
      </w:r>
      <w:r>
        <w:rPr>
          <w:rFonts w:eastAsia="黑体"/>
          <w:color w:val="auto"/>
          <w:sz w:val="28"/>
          <w:szCs w:val="28"/>
          <w:highlight w:val="none"/>
        </w:rPr>
        <w:t>：</w:t>
      </w:r>
      <w:r>
        <w:rPr>
          <w:rFonts w:eastAsia="黑体"/>
          <w:color w:val="auto"/>
          <w:sz w:val="28"/>
          <w:szCs w:val="28"/>
          <w:highlight w:val="none"/>
          <w:u w:val="single"/>
        </w:rPr>
        <w:t xml:space="preserve">         </w:t>
      </w:r>
      <w:r>
        <w:rPr>
          <w:rFonts w:hint="eastAsia" w:eastAsia="黑体"/>
          <w:color w:val="auto"/>
          <w:sz w:val="28"/>
          <w:szCs w:val="28"/>
          <w:highlight w:val="none"/>
          <w:u w:val="single"/>
        </w:rPr>
        <w:t xml:space="preserve">         </w:t>
      </w:r>
      <w:r>
        <w:rPr>
          <w:rFonts w:eastAsia="黑体"/>
          <w:color w:val="auto"/>
          <w:sz w:val="28"/>
          <w:szCs w:val="28"/>
          <w:highlight w:val="none"/>
          <w:u w:val="single"/>
        </w:rPr>
        <w:t xml:space="preserve">       </w:t>
      </w:r>
      <w:r>
        <w:rPr>
          <w:rFonts w:eastAsia="黑体"/>
          <w:color w:val="auto"/>
          <w:sz w:val="28"/>
          <w:szCs w:val="28"/>
          <w:highlight w:val="none"/>
        </w:rPr>
        <w:t>（</w:t>
      </w:r>
      <w:r>
        <w:rPr>
          <w:rFonts w:hint="eastAsia" w:eastAsia="黑体"/>
          <w:color w:val="auto"/>
          <w:sz w:val="28"/>
          <w:szCs w:val="28"/>
          <w:highlight w:val="none"/>
        </w:rPr>
        <w:t>签字或盖章</w:t>
      </w:r>
      <w:r>
        <w:rPr>
          <w:rFonts w:eastAsia="黑体"/>
          <w:color w:val="auto"/>
          <w:sz w:val="28"/>
          <w:szCs w:val="28"/>
          <w:highlight w:val="none"/>
        </w:rPr>
        <w:t>）</w:t>
      </w:r>
    </w:p>
    <w:p w14:paraId="0DF125DC">
      <w:pPr>
        <w:jc w:val="center"/>
        <w:rPr>
          <w:rFonts w:eastAsia="黑体"/>
          <w:color w:val="auto"/>
          <w:sz w:val="28"/>
          <w:szCs w:val="28"/>
          <w:highlight w:val="none"/>
        </w:rPr>
      </w:pPr>
      <w:r>
        <w:rPr>
          <w:rFonts w:hint="eastAsia" w:eastAsia="黑体"/>
          <w:color w:val="auto"/>
          <w:sz w:val="28"/>
          <w:szCs w:val="28"/>
          <w:highlight w:val="none"/>
          <w:u w:val="single"/>
        </w:rPr>
        <w:t xml:space="preserve">      </w:t>
      </w:r>
      <w:r>
        <w:rPr>
          <w:rFonts w:eastAsia="黑体"/>
          <w:color w:val="auto"/>
          <w:sz w:val="28"/>
          <w:szCs w:val="28"/>
          <w:highlight w:val="none"/>
        </w:rPr>
        <w:t>年</w:t>
      </w:r>
      <w:r>
        <w:rPr>
          <w:rFonts w:hint="eastAsia" w:eastAsia="黑体"/>
          <w:color w:val="auto"/>
          <w:sz w:val="28"/>
          <w:szCs w:val="28"/>
          <w:highlight w:val="none"/>
          <w:u w:val="single"/>
        </w:rPr>
        <w:t xml:space="preserve">     </w:t>
      </w:r>
      <w:r>
        <w:rPr>
          <w:rFonts w:eastAsia="黑体"/>
          <w:color w:val="auto"/>
          <w:sz w:val="28"/>
          <w:szCs w:val="28"/>
          <w:highlight w:val="none"/>
        </w:rPr>
        <w:t>月</w:t>
      </w:r>
      <w:r>
        <w:rPr>
          <w:rFonts w:hint="eastAsia" w:eastAsia="黑体"/>
          <w:color w:val="auto"/>
          <w:sz w:val="28"/>
          <w:szCs w:val="28"/>
          <w:highlight w:val="none"/>
          <w:u w:val="single"/>
        </w:rPr>
        <w:t xml:space="preserve">     </w:t>
      </w:r>
      <w:r>
        <w:rPr>
          <w:rFonts w:eastAsia="黑体"/>
          <w:color w:val="auto"/>
          <w:sz w:val="28"/>
          <w:szCs w:val="28"/>
          <w:highlight w:val="none"/>
        </w:rPr>
        <w:t>日</w:t>
      </w:r>
    </w:p>
    <w:p w14:paraId="1551906E">
      <w:pPr>
        <w:rPr>
          <w:color w:val="auto"/>
          <w:highlight w:val="none"/>
        </w:rPr>
      </w:pPr>
    </w:p>
    <w:p w14:paraId="210D6226">
      <w:pPr>
        <w:pStyle w:val="2"/>
        <w:ind w:firstLine="420"/>
        <w:rPr>
          <w:color w:val="auto"/>
          <w:highlight w:val="none"/>
        </w:rPr>
      </w:pPr>
    </w:p>
    <w:p w14:paraId="33E5BD07">
      <w:pPr>
        <w:rPr>
          <w:color w:val="auto"/>
          <w:highlight w:val="none"/>
        </w:rPr>
      </w:pPr>
    </w:p>
    <w:p w14:paraId="50E4BD2F">
      <w:pPr>
        <w:spacing w:beforeLines="50" w:afterLines="50" w:line="440" w:lineRule="exact"/>
        <w:ind w:firstLine="643" w:firstLineChars="200"/>
        <w:jc w:val="left"/>
        <w:rPr>
          <w:rStyle w:val="65"/>
          <w:rFonts w:ascii="宋体" w:hAnsi="宋体" w:cs="宋体"/>
          <w:color w:val="auto"/>
          <w:sz w:val="32"/>
          <w:highlight w:val="none"/>
        </w:rPr>
      </w:pPr>
      <w:r>
        <w:rPr>
          <w:rStyle w:val="65"/>
          <w:rFonts w:hint="eastAsia" w:ascii="宋体" w:hAnsi="宋体" w:cs="宋体"/>
          <w:color w:val="auto"/>
          <w:sz w:val="32"/>
          <w:highlight w:val="none"/>
        </w:rPr>
        <w:br w:type="page"/>
      </w:r>
      <w:r>
        <w:rPr>
          <w:rStyle w:val="65"/>
          <w:rFonts w:hint="eastAsia" w:ascii="宋体" w:hAnsi="宋体" w:cs="宋体"/>
          <w:color w:val="auto"/>
          <w:sz w:val="32"/>
          <w:highlight w:val="none"/>
        </w:rPr>
        <w:t>投标文件</w:t>
      </w:r>
      <w:bookmarkEnd w:id="862"/>
      <w:bookmarkEnd w:id="863"/>
      <w:bookmarkEnd w:id="864"/>
      <w:r>
        <w:rPr>
          <w:rStyle w:val="65"/>
          <w:rFonts w:hint="eastAsia" w:ascii="宋体" w:hAnsi="宋体" w:cs="宋体"/>
          <w:color w:val="auto"/>
          <w:sz w:val="32"/>
          <w:highlight w:val="none"/>
          <w:lang w:val="en-US"/>
        </w:rPr>
        <w:t>三</w:t>
      </w:r>
      <w:r>
        <w:rPr>
          <w:rStyle w:val="65"/>
          <w:rFonts w:hint="eastAsia" w:ascii="宋体" w:hAnsi="宋体" w:cs="宋体"/>
          <w:color w:val="auto"/>
          <w:sz w:val="32"/>
          <w:highlight w:val="none"/>
        </w:rPr>
        <w:t>：</w:t>
      </w:r>
      <w:r>
        <w:rPr>
          <w:rStyle w:val="65"/>
          <w:rFonts w:hint="eastAsia" w:ascii="宋体" w:hAnsi="宋体" w:cs="宋体"/>
          <w:color w:val="auto"/>
          <w:sz w:val="32"/>
          <w:highlight w:val="none"/>
          <w:lang w:val="en-US"/>
        </w:rPr>
        <w:t>商务</w:t>
      </w:r>
      <w:r>
        <w:rPr>
          <w:rStyle w:val="65"/>
          <w:rFonts w:hint="eastAsia" w:ascii="宋体" w:hAnsi="宋体" w:cs="宋体"/>
          <w:color w:val="auto"/>
          <w:sz w:val="32"/>
          <w:highlight w:val="none"/>
        </w:rPr>
        <w:t>标目录</w:t>
      </w:r>
      <w:bookmarkEnd w:id="865"/>
    </w:p>
    <w:bookmarkEnd w:id="866"/>
    <w:bookmarkEnd w:id="867"/>
    <w:bookmarkEnd w:id="868"/>
    <w:p w14:paraId="47A2C6AA">
      <w:pPr>
        <w:spacing w:line="440" w:lineRule="exact"/>
        <w:ind w:firstLine="420" w:firstLineChars="200"/>
        <w:jc w:val="left"/>
        <w:rPr>
          <w:rFonts w:hint="eastAsia" w:ascii="宋体" w:hAnsi="宋体" w:cs="宋体"/>
          <w:i/>
          <w:iCs/>
          <w:color w:val="auto"/>
          <w:szCs w:val="21"/>
          <w:highlight w:val="none"/>
        </w:rPr>
      </w:pPr>
      <w:r>
        <w:rPr>
          <w:rFonts w:hint="eastAsia" w:ascii="宋体" w:hAnsi="宋体" w:cs="宋体"/>
          <w:color w:val="auto"/>
          <w:szCs w:val="21"/>
          <w:highlight w:val="none"/>
        </w:rPr>
        <w:t>（1）投标函；</w:t>
      </w:r>
    </w:p>
    <w:p w14:paraId="6A3E58D1">
      <w:pPr>
        <w:spacing w:line="440" w:lineRule="exact"/>
        <w:ind w:firstLine="420" w:firstLineChars="200"/>
        <w:jc w:val="left"/>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lang w:eastAsia="zh-CN"/>
        </w:rPr>
        <w:t>）</w:t>
      </w:r>
      <w:r>
        <w:rPr>
          <w:rFonts w:hint="eastAsia" w:ascii="宋体" w:hAnsi="宋体" w:cs="宋体"/>
          <w:color w:val="auto"/>
          <w:szCs w:val="21"/>
          <w:highlight w:val="none"/>
        </w:rPr>
        <w:t>推荐的材料品牌响应表（如有）</w:t>
      </w:r>
      <w:r>
        <w:rPr>
          <w:rFonts w:hint="eastAsia" w:ascii="宋体" w:hAnsi="宋体" w:cs="宋体"/>
          <w:color w:val="auto"/>
          <w:szCs w:val="21"/>
          <w:highlight w:val="none"/>
          <w:lang w:eastAsia="zh-CN"/>
        </w:rPr>
        <w:t>；</w:t>
      </w:r>
    </w:p>
    <w:p w14:paraId="7194E3CD">
      <w:pPr>
        <w:spacing w:line="44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商务评审需要及</w:t>
      </w:r>
      <w:r>
        <w:rPr>
          <w:rFonts w:hint="eastAsia" w:ascii="宋体" w:hAnsi="宋体" w:cs="宋体"/>
          <w:color w:val="auto"/>
          <w:szCs w:val="21"/>
          <w:highlight w:val="none"/>
        </w:rPr>
        <w:t>投标人认为需要提供的其他材料。</w:t>
      </w:r>
    </w:p>
    <w:p w14:paraId="7D898DE8">
      <w:pPr>
        <w:spacing w:line="540" w:lineRule="exact"/>
        <w:rPr>
          <w:rFonts w:eastAsia="黑体"/>
          <w:color w:val="auto"/>
          <w:sz w:val="20"/>
          <w:szCs w:val="20"/>
          <w:highlight w:val="none"/>
        </w:rPr>
      </w:pPr>
    </w:p>
    <w:p w14:paraId="388D0254">
      <w:pPr>
        <w:spacing w:line="540" w:lineRule="exact"/>
        <w:rPr>
          <w:rFonts w:eastAsia="黑体"/>
          <w:color w:val="auto"/>
          <w:sz w:val="20"/>
          <w:szCs w:val="20"/>
          <w:highlight w:val="none"/>
        </w:rPr>
      </w:pPr>
    </w:p>
    <w:p w14:paraId="2D6242DB">
      <w:pPr>
        <w:spacing w:line="540" w:lineRule="exact"/>
        <w:rPr>
          <w:rFonts w:eastAsia="黑体"/>
          <w:color w:val="auto"/>
          <w:sz w:val="20"/>
          <w:szCs w:val="20"/>
          <w:highlight w:val="none"/>
        </w:rPr>
      </w:pPr>
    </w:p>
    <w:p w14:paraId="61341587">
      <w:pPr>
        <w:spacing w:line="360" w:lineRule="auto"/>
        <w:ind w:firstLine="420" w:firstLineChars="200"/>
        <w:jc w:val="right"/>
        <w:rPr>
          <w:color w:val="auto"/>
          <w:szCs w:val="21"/>
          <w:highlight w:val="none"/>
          <w:u w:val="single"/>
        </w:rPr>
      </w:pPr>
    </w:p>
    <w:p w14:paraId="168CE186">
      <w:pPr>
        <w:spacing w:line="360" w:lineRule="auto"/>
        <w:ind w:firstLine="420" w:firstLineChars="200"/>
        <w:jc w:val="right"/>
        <w:rPr>
          <w:color w:val="auto"/>
          <w:szCs w:val="21"/>
          <w:highlight w:val="none"/>
          <w:u w:val="single"/>
        </w:rPr>
      </w:pPr>
    </w:p>
    <w:p w14:paraId="34879C4B">
      <w:pPr>
        <w:spacing w:line="360" w:lineRule="auto"/>
        <w:ind w:firstLine="420" w:firstLineChars="200"/>
        <w:jc w:val="right"/>
        <w:rPr>
          <w:color w:val="auto"/>
          <w:szCs w:val="21"/>
          <w:highlight w:val="none"/>
          <w:u w:val="single"/>
        </w:rPr>
      </w:pPr>
    </w:p>
    <w:p w14:paraId="00927F3A">
      <w:pPr>
        <w:spacing w:line="360" w:lineRule="auto"/>
        <w:ind w:firstLine="420" w:firstLineChars="200"/>
        <w:jc w:val="right"/>
        <w:rPr>
          <w:color w:val="auto"/>
          <w:szCs w:val="21"/>
          <w:highlight w:val="none"/>
          <w:u w:val="single"/>
        </w:rPr>
      </w:pPr>
    </w:p>
    <w:p w14:paraId="2408E9C4">
      <w:pPr>
        <w:spacing w:line="360" w:lineRule="auto"/>
        <w:ind w:firstLine="420" w:firstLineChars="200"/>
        <w:jc w:val="right"/>
        <w:rPr>
          <w:color w:val="auto"/>
          <w:szCs w:val="21"/>
          <w:highlight w:val="none"/>
          <w:u w:val="single"/>
        </w:rPr>
      </w:pPr>
    </w:p>
    <w:p w14:paraId="172AAC8E">
      <w:pPr>
        <w:spacing w:line="360" w:lineRule="auto"/>
        <w:ind w:firstLine="420" w:firstLineChars="200"/>
        <w:jc w:val="right"/>
        <w:rPr>
          <w:color w:val="auto"/>
          <w:szCs w:val="21"/>
          <w:highlight w:val="none"/>
          <w:u w:val="single"/>
        </w:rPr>
      </w:pPr>
    </w:p>
    <w:p w14:paraId="5ACD1469">
      <w:pPr>
        <w:spacing w:line="360" w:lineRule="auto"/>
        <w:ind w:firstLine="420" w:firstLineChars="200"/>
        <w:jc w:val="right"/>
        <w:rPr>
          <w:color w:val="auto"/>
          <w:szCs w:val="21"/>
          <w:highlight w:val="none"/>
          <w:u w:val="single"/>
        </w:rPr>
      </w:pPr>
    </w:p>
    <w:p w14:paraId="18944F31">
      <w:pPr>
        <w:spacing w:line="360" w:lineRule="auto"/>
        <w:ind w:firstLine="420" w:firstLineChars="200"/>
        <w:jc w:val="right"/>
        <w:rPr>
          <w:color w:val="auto"/>
          <w:szCs w:val="21"/>
          <w:highlight w:val="none"/>
          <w:u w:val="single"/>
        </w:rPr>
      </w:pPr>
    </w:p>
    <w:p w14:paraId="7EB6DC5C">
      <w:pPr>
        <w:jc w:val="center"/>
        <w:rPr>
          <w:b/>
          <w:color w:val="auto"/>
          <w:sz w:val="32"/>
          <w:szCs w:val="32"/>
          <w:highlight w:val="none"/>
        </w:rPr>
      </w:pPr>
    </w:p>
    <w:p w14:paraId="7E9EF77B">
      <w:pPr>
        <w:jc w:val="center"/>
        <w:rPr>
          <w:b/>
          <w:color w:val="auto"/>
          <w:sz w:val="32"/>
          <w:szCs w:val="32"/>
          <w:highlight w:val="none"/>
        </w:rPr>
      </w:pPr>
    </w:p>
    <w:p w14:paraId="2A0A66CC">
      <w:pPr>
        <w:jc w:val="center"/>
        <w:rPr>
          <w:b/>
          <w:color w:val="auto"/>
          <w:sz w:val="32"/>
          <w:szCs w:val="32"/>
          <w:highlight w:val="none"/>
        </w:rPr>
      </w:pPr>
    </w:p>
    <w:p w14:paraId="0CC4839A">
      <w:pPr>
        <w:jc w:val="center"/>
        <w:rPr>
          <w:b/>
          <w:color w:val="auto"/>
          <w:sz w:val="32"/>
          <w:szCs w:val="32"/>
          <w:highlight w:val="none"/>
        </w:rPr>
      </w:pPr>
    </w:p>
    <w:p w14:paraId="68C105EC">
      <w:pPr>
        <w:jc w:val="center"/>
        <w:rPr>
          <w:b/>
          <w:color w:val="auto"/>
          <w:sz w:val="32"/>
          <w:szCs w:val="32"/>
          <w:highlight w:val="none"/>
        </w:rPr>
      </w:pPr>
    </w:p>
    <w:p w14:paraId="771BEE83">
      <w:pPr>
        <w:jc w:val="center"/>
        <w:rPr>
          <w:b/>
          <w:color w:val="auto"/>
          <w:sz w:val="32"/>
          <w:szCs w:val="32"/>
          <w:highlight w:val="none"/>
        </w:rPr>
      </w:pPr>
    </w:p>
    <w:p w14:paraId="03C4071A">
      <w:pPr>
        <w:jc w:val="center"/>
        <w:rPr>
          <w:b/>
          <w:color w:val="auto"/>
          <w:sz w:val="32"/>
          <w:szCs w:val="32"/>
          <w:highlight w:val="none"/>
        </w:rPr>
      </w:pPr>
    </w:p>
    <w:p w14:paraId="37E396AD">
      <w:pPr>
        <w:spacing w:line="360" w:lineRule="auto"/>
        <w:rPr>
          <w:b/>
          <w:bCs/>
          <w:color w:val="auto"/>
          <w:sz w:val="32"/>
          <w:szCs w:val="32"/>
          <w:highlight w:val="none"/>
        </w:rPr>
      </w:pPr>
    </w:p>
    <w:p w14:paraId="402ED918">
      <w:pPr>
        <w:jc w:val="center"/>
        <w:rPr>
          <w:rFonts w:ascii="宋体" w:hAnsi="宋体"/>
          <w:b/>
          <w:color w:val="auto"/>
          <w:sz w:val="32"/>
          <w:szCs w:val="32"/>
          <w:highlight w:val="none"/>
        </w:rPr>
      </w:pPr>
      <w:r>
        <w:rPr>
          <w:rFonts w:hint="eastAsia" w:ascii="宋体" w:hAnsi="宋体"/>
          <w:b/>
          <w:color w:val="auto"/>
          <w:sz w:val="32"/>
          <w:szCs w:val="32"/>
          <w:highlight w:val="none"/>
        </w:rPr>
        <w:br w:type="page"/>
      </w:r>
      <w:r>
        <w:rPr>
          <w:rFonts w:hint="eastAsia" w:ascii="宋体" w:hAnsi="宋体"/>
          <w:b/>
          <w:color w:val="auto"/>
          <w:sz w:val="32"/>
          <w:szCs w:val="32"/>
          <w:highlight w:val="none"/>
        </w:rPr>
        <w:t>（1）投 标 函</w:t>
      </w:r>
    </w:p>
    <w:p w14:paraId="357BE81C">
      <w:pPr>
        <w:adjustRightInd w:val="0"/>
        <w:snapToGrid w:val="0"/>
        <w:spacing w:line="560" w:lineRule="exact"/>
        <w:rPr>
          <w:rFonts w:ascii="宋体" w:hAnsi="宋体"/>
          <w:color w:val="auto"/>
          <w:sz w:val="24"/>
          <w:highlight w:val="none"/>
          <w:u w:val="single"/>
        </w:rPr>
      </w:pPr>
      <w:bookmarkStart w:id="869" w:name="_Toc35424974"/>
      <w:bookmarkStart w:id="870" w:name="_Toc506107366"/>
      <w:bookmarkStart w:id="871" w:name="_Toc15058950"/>
      <w:bookmarkStart w:id="872" w:name="_Toc35425140"/>
      <w:r>
        <w:rPr>
          <w:rFonts w:hint="eastAsia" w:ascii="宋体" w:hAnsi="宋体"/>
          <w:color w:val="auto"/>
          <w:sz w:val="24"/>
          <w:highlight w:val="none"/>
        </w:rPr>
        <w:t>致：</w:t>
      </w:r>
      <w:r>
        <w:rPr>
          <w:rFonts w:ascii="宋体" w:hAnsi="宋体"/>
          <w:color w:val="auto"/>
          <w:sz w:val="24"/>
          <w:highlight w:val="none"/>
          <w:u w:val="single"/>
        </w:rPr>
        <w:t xml:space="preserve">        </w:t>
      </w:r>
      <w:r>
        <w:rPr>
          <w:rFonts w:hint="eastAsia" w:ascii="宋体" w:hAnsi="宋体"/>
          <w:color w:val="auto"/>
          <w:sz w:val="24"/>
          <w:highlight w:val="none"/>
          <w:u w:val="single"/>
        </w:rPr>
        <w:t>（招标人）</w:t>
      </w:r>
      <w:r>
        <w:rPr>
          <w:rFonts w:ascii="宋体" w:hAnsi="宋体"/>
          <w:color w:val="auto"/>
          <w:sz w:val="24"/>
          <w:highlight w:val="none"/>
          <w:u w:val="single"/>
        </w:rPr>
        <w:t xml:space="preserve">      </w:t>
      </w:r>
    </w:p>
    <w:p w14:paraId="15F5EF41">
      <w:pPr>
        <w:adjustRightInd w:val="0"/>
        <w:snapToGrid w:val="0"/>
        <w:spacing w:line="560" w:lineRule="exact"/>
        <w:ind w:firstLine="480" w:firstLineChars="200"/>
        <w:rPr>
          <w:rFonts w:ascii="宋体" w:hAnsi="宋体"/>
          <w:color w:val="auto"/>
          <w:sz w:val="24"/>
          <w:highlight w:val="none"/>
        </w:rPr>
      </w:pPr>
      <w:r>
        <w:rPr>
          <w:rFonts w:hint="eastAsia" w:ascii="宋体" w:hAnsi="宋体"/>
          <w:color w:val="auto"/>
          <w:sz w:val="24"/>
          <w:highlight w:val="none"/>
        </w:rPr>
        <w:t>1、根据你方招</w:t>
      </w:r>
      <w:bookmarkStart w:id="873" w:name="_Toc60061591"/>
      <w:r>
        <w:rPr>
          <w:rFonts w:hint="eastAsia" w:ascii="宋体" w:hAnsi="宋体"/>
          <w:color w:val="auto"/>
          <w:sz w:val="24"/>
          <w:highlight w:val="none"/>
        </w:rPr>
        <w:t>标项目编号为</w:t>
      </w:r>
      <w:r>
        <w:rPr>
          <w:rFonts w:ascii="宋体" w:hAnsi="宋体"/>
          <w:color w:val="auto"/>
          <w:sz w:val="24"/>
          <w:highlight w:val="none"/>
          <w:u w:val="single"/>
        </w:rPr>
        <w:t xml:space="preserve">  </w:t>
      </w:r>
      <w:bookmarkEnd w:id="873"/>
      <w:r>
        <w:rPr>
          <w:rFonts w:ascii="宋体" w:hAnsi="宋体"/>
          <w:color w:val="auto"/>
          <w:sz w:val="24"/>
          <w:highlight w:val="none"/>
          <w:u w:val="single"/>
        </w:rPr>
        <w:t xml:space="preserve">      </w:t>
      </w:r>
      <w:r>
        <w:rPr>
          <w:rFonts w:ascii="宋体" w:hAnsi="宋体"/>
          <w:color w:val="auto"/>
          <w:sz w:val="24"/>
          <w:highlight w:val="none"/>
        </w:rPr>
        <w:t xml:space="preserve"> </w:t>
      </w:r>
      <w:r>
        <w:rPr>
          <w:rFonts w:hint="eastAsia" w:ascii="宋体" w:hAnsi="宋体"/>
          <w:color w:val="auto"/>
          <w:sz w:val="24"/>
          <w:highlight w:val="none"/>
        </w:rPr>
        <w:t>的</w:t>
      </w:r>
      <w:r>
        <w:rPr>
          <w:rFonts w:ascii="宋体" w:hAnsi="宋体"/>
          <w:color w:val="auto"/>
          <w:sz w:val="24"/>
          <w:highlight w:val="none"/>
        </w:rPr>
        <w:t xml:space="preserve"> </w:t>
      </w:r>
      <w:r>
        <w:rPr>
          <w:rFonts w:ascii="宋体" w:hAnsi="宋体"/>
          <w:color w:val="auto"/>
          <w:sz w:val="24"/>
          <w:highlight w:val="none"/>
          <w:u w:val="single"/>
        </w:rPr>
        <w:t xml:space="preserve">                </w:t>
      </w:r>
      <w:r>
        <w:rPr>
          <w:rFonts w:hint="eastAsia" w:ascii="宋体" w:hAnsi="宋体"/>
          <w:color w:val="auto"/>
          <w:sz w:val="24"/>
          <w:highlight w:val="none"/>
        </w:rPr>
        <w:t>招标文件，遵照《中华人民共和国招标投标法》等有关规定，经踏勘项目现场和研究上述招标文件的投标须知、合同条件、技术规范、图纸、工程量清单和其他有关文件后，我方愿以</w:t>
      </w:r>
      <w:r>
        <w:rPr>
          <w:rFonts w:ascii="宋体" w:hAnsi="宋体"/>
          <w:color w:val="auto"/>
          <w:sz w:val="24"/>
          <w:highlight w:val="none"/>
        </w:rPr>
        <w:t xml:space="preserve"> </w:t>
      </w:r>
      <w:r>
        <w:rPr>
          <w:rFonts w:hint="eastAsia" w:ascii="宋体" w:hAnsi="宋体"/>
          <w:color w:val="auto"/>
          <w:sz w:val="24"/>
          <w:highlight w:val="none"/>
        </w:rPr>
        <w:t>（币种，金额、单位）</w:t>
      </w:r>
      <w:r>
        <w:rPr>
          <w:rFonts w:hint="eastAsia" w:ascii="宋体" w:hAnsi="宋体"/>
          <w:color w:val="auto"/>
          <w:sz w:val="24"/>
          <w:highlight w:val="none"/>
          <w:u w:val="single"/>
        </w:rPr>
        <w:t>人民币           元</w:t>
      </w:r>
      <w:r>
        <w:rPr>
          <w:rFonts w:hint="eastAsia" w:ascii="宋体" w:hAnsi="宋体"/>
          <w:color w:val="auto"/>
          <w:sz w:val="24"/>
          <w:highlight w:val="none"/>
          <w:u w:val="single"/>
          <w:lang w:val="en-US" w:eastAsia="zh-CN"/>
        </w:rPr>
        <w:t>/wp</w:t>
      </w:r>
      <w:r>
        <w:rPr>
          <w:rFonts w:hint="eastAsia" w:ascii="宋体" w:hAnsi="宋体"/>
          <w:color w:val="auto"/>
          <w:sz w:val="24"/>
          <w:highlight w:val="none"/>
        </w:rPr>
        <w:t>的投标报价承包上述工程的施工、竣工，并承担任何质量缺陷保修责任。</w:t>
      </w:r>
    </w:p>
    <w:p w14:paraId="195195B6">
      <w:pPr>
        <w:tabs>
          <w:tab w:val="left" w:pos="840"/>
        </w:tabs>
        <w:adjustRightInd w:val="0"/>
        <w:snapToGrid w:val="0"/>
        <w:spacing w:line="560" w:lineRule="exact"/>
        <w:ind w:firstLine="480" w:firstLineChars="200"/>
        <w:rPr>
          <w:rFonts w:ascii="宋体" w:hAnsi="宋体"/>
          <w:color w:val="auto"/>
          <w:sz w:val="24"/>
          <w:highlight w:val="none"/>
        </w:rPr>
      </w:pPr>
      <w:r>
        <w:rPr>
          <w:rFonts w:hint="eastAsia" w:ascii="宋体" w:hAnsi="宋体"/>
          <w:color w:val="auto"/>
          <w:sz w:val="24"/>
          <w:highlight w:val="none"/>
        </w:rPr>
        <w:t>2、我方已详细审核全部招标文件及有关附件，承诺招标文件及有关附件中所有条款。</w:t>
      </w:r>
    </w:p>
    <w:p w14:paraId="6311BC4B">
      <w:pPr>
        <w:adjustRightInd w:val="0"/>
        <w:snapToGrid w:val="0"/>
        <w:spacing w:line="560" w:lineRule="exact"/>
        <w:ind w:firstLine="480" w:firstLineChars="200"/>
        <w:rPr>
          <w:rFonts w:ascii="宋体" w:hAnsi="宋体"/>
          <w:color w:val="auto"/>
          <w:sz w:val="24"/>
          <w:highlight w:val="none"/>
        </w:rPr>
      </w:pPr>
      <w:r>
        <w:rPr>
          <w:rFonts w:hint="eastAsia" w:ascii="宋体" w:hAnsi="宋体"/>
          <w:color w:val="auto"/>
          <w:sz w:val="24"/>
          <w:highlight w:val="none"/>
        </w:rPr>
        <w:t>3、一旦我方中标，我方将派出</w:t>
      </w:r>
      <w:r>
        <w:rPr>
          <w:rFonts w:hint="eastAsia" w:ascii="宋体" w:hAnsi="宋体"/>
          <w:color w:val="auto"/>
          <w:sz w:val="24"/>
          <w:highlight w:val="none"/>
          <w:u w:val="single"/>
        </w:rPr>
        <w:t xml:space="preserve">           </w:t>
      </w:r>
      <w:r>
        <w:rPr>
          <w:rFonts w:hint="eastAsia" w:ascii="宋体" w:hAnsi="宋体"/>
          <w:color w:val="auto"/>
          <w:sz w:val="24"/>
          <w:highlight w:val="none"/>
        </w:rPr>
        <w:t>建造师为本工程项目经理，保证按照招标人要求开始本工程的施工，并在</w:t>
      </w:r>
      <w:r>
        <w:rPr>
          <w:rFonts w:ascii="宋体" w:hAnsi="宋体"/>
          <w:color w:val="auto"/>
          <w:sz w:val="24"/>
          <w:highlight w:val="none"/>
          <w:u w:val="single"/>
        </w:rPr>
        <w:t xml:space="preserve">       </w:t>
      </w:r>
      <w:r>
        <w:rPr>
          <w:rFonts w:hint="eastAsia" w:ascii="宋体" w:hAnsi="宋体"/>
          <w:color w:val="auto"/>
          <w:sz w:val="24"/>
          <w:highlight w:val="none"/>
        </w:rPr>
        <w:t>个日历天（</w:t>
      </w:r>
      <w:r>
        <w:rPr>
          <w:rFonts w:hint="eastAsia" w:ascii="宋体" w:hAnsi="宋体" w:cs="宋体"/>
          <w:b/>
          <w:color w:val="auto"/>
          <w:sz w:val="21"/>
          <w:szCs w:val="21"/>
          <w:highlight w:val="none"/>
          <w:lang w:val="en-US" w:eastAsia="zh-CN"/>
        </w:rPr>
        <w:t>以中标公示期结束后的第一天起计算工期</w:t>
      </w:r>
      <w:r>
        <w:rPr>
          <w:rFonts w:hint="eastAsia" w:ascii="宋体" w:hAnsi="宋体"/>
          <w:color w:val="auto"/>
          <w:sz w:val="24"/>
          <w:highlight w:val="none"/>
        </w:rPr>
        <w:t>）内完成本合同的施工，并移交整个工程，工程质量达到</w:t>
      </w:r>
      <w:r>
        <w:rPr>
          <w:rFonts w:ascii="宋体" w:hAnsi="宋体"/>
          <w:color w:val="auto"/>
          <w:sz w:val="24"/>
          <w:highlight w:val="none"/>
          <w:u w:val="single"/>
        </w:rPr>
        <w:t xml:space="preserve">          </w:t>
      </w:r>
      <w:r>
        <w:rPr>
          <w:rFonts w:hint="eastAsia" w:ascii="宋体" w:hAnsi="宋体"/>
          <w:color w:val="auto"/>
          <w:sz w:val="24"/>
          <w:highlight w:val="none"/>
        </w:rPr>
        <w:t xml:space="preserve"> 标准。</w:t>
      </w:r>
    </w:p>
    <w:p w14:paraId="750862D2">
      <w:pPr>
        <w:adjustRightInd w:val="0"/>
        <w:snapToGrid w:val="0"/>
        <w:spacing w:line="560" w:lineRule="exact"/>
        <w:ind w:firstLine="480" w:firstLineChars="200"/>
        <w:rPr>
          <w:rFonts w:ascii="宋体" w:hAnsi="宋体"/>
          <w:color w:val="auto"/>
          <w:sz w:val="24"/>
          <w:highlight w:val="none"/>
        </w:rPr>
      </w:pPr>
      <w:r>
        <w:rPr>
          <w:rFonts w:hint="eastAsia" w:ascii="宋体" w:hAnsi="宋体"/>
          <w:color w:val="auto"/>
          <w:sz w:val="24"/>
          <w:highlight w:val="none"/>
        </w:rPr>
        <w:t>4、随本投标书，我方同时按照招标文件的要求提交投标保证金。如果我方在投标截止后撤销投标文件，或在中标后无正当理由不与招标人订立合同，在签订合同时向招标人提出附加条件，或者不按照招标文件要求提交履约保证金，贵单位有权不予退还投标保证金。</w:t>
      </w:r>
    </w:p>
    <w:p w14:paraId="1CAB60C7">
      <w:pPr>
        <w:adjustRightInd w:val="0"/>
        <w:snapToGrid w:val="0"/>
        <w:spacing w:line="560" w:lineRule="exact"/>
        <w:ind w:firstLine="480" w:firstLineChars="200"/>
        <w:rPr>
          <w:rFonts w:hint="eastAsia" w:ascii="宋体" w:hAnsi="宋体"/>
          <w:color w:val="auto"/>
          <w:sz w:val="24"/>
          <w:highlight w:val="none"/>
        </w:rPr>
      </w:pPr>
      <w:r>
        <w:rPr>
          <w:rFonts w:hint="eastAsia" w:ascii="宋体" w:hAnsi="宋体"/>
          <w:color w:val="auto"/>
          <w:sz w:val="24"/>
          <w:highlight w:val="none"/>
        </w:rPr>
        <w:t>5、如果我方中标我方将按照招标文件的规定提交履约担保。工程验收合格后，方可退还。</w:t>
      </w:r>
    </w:p>
    <w:p w14:paraId="0BBDB58A">
      <w:pPr>
        <w:adjustRightInd w:val="0"/>
        <w:snapToGrid w:val="0"/>
        <w:spacing w:line="56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6、我方承诺在招标文件规定的投标有效期内不撤销投标文件。</w:t>
      </w:r>
    </w:p>
    <w:p w14:paraId="7BBD2E4B">
      <w:pPr>
        <w:adjustRightInd w:val="0"/>
        <w:snapToGrid w:val="0"/>
        <w:spacing w:line="56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7、我单位提供如下通讯地址：</w:t>
      </w:r>
      <w:r>
        <w:rPr>
          <w:rFonts w:hint="eastAsia" w:ascii="宋体" w:hAnsi="宋体"/>
          <w:color w:val="auto"/>
          <w:sz w:val="24"/>
          <w:highlight w:val="none"/>
          <w:u w:val="single"/>
        </w:rPr>
        <w:t xml:space="preserve">                </w:t>
      </w:r>
      <w:r>
        <w:rPr>
          <w:rFonts w:hint="eastAsia" w:ascii="宋体" w:hAnsi="宋体"/>
          <w:color w:val="auto"/>
          <w:sz w:val="24"/>
          <w:highlight w:val="none"/>
        </w:rPr>
        <w:t>电子邮箱（地址），确认本项目相关法律文书均通过提供的以上地址送达，相关文书只要发送至以上电子邮箱（地址）即视为送达，投标人愿意承担一切法律后果。</w:t>
      </w:r>
    </w:p>
    <w:p w14:paraId="7264E70A">
      <w:pPr>
        <w:adjustRightInd w:val="0"/>
        <w:snapToGrid w:val="0"/>
        <w:spacing w:line="56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8.</w:t>
      </w:r>
      <w:r>
        <w:rPr>
          <w:rFonts w:hint="eastAsia" w:ascii="宋体" w:hAnsi="宋体"/>
          <w:color w:val="auto"/>
          <w:sz w:val="24"/>
          <w:highlight w:val="none"/>
          <w:u w:val="single"/>
        </w:rPr>
        <w:t xml:space="preserve">                           </w:t>
      </w:r>
      <w:r>
        <w:rPr>
          <w:rFonts w:hint="eastAsia" w:ascii="宋体" w:hAnsi="宋体"/>
          <w:color w:val="auto"/>
          <w:sz w:val="24"/>
          <w:highlight w:val="none"/>
        </w:rPr>
        <w:t>（其他补充说明）。</w:t>
      </w:r>
    </w:p>
    <w:p w14:paraId="54E2054E">
      <w:pPr>
        <w:adjustRightInd w:val="0"/>
        <w:snapToGrid w:val="0"/>
        <w:spacing w:line="560" w:lineRule="exact"/>
        <w:ind w:firstLine="480" w:firstLineChars="200"/>
        <w:rPr>
          <w:rFonts w:hint="eastAsia" w:ascii="宋体" w:hAnsi="宋体"/>
          <w:color w:val="auto"/>
          <w:sz w:val="24"/>
          <w:highlight w:val="none"/>
        </w:rPr>
      </w:pPr>
    </w:p>
    <w:p w14:paraId="456B6BF7">
      <w:pPr>
        <w:adjustRightInd w:val="0"/>
        <w:snapToGrid w:val="0"/>
        <w:spacing w:line="560" w:lineRule="exact"/>
        <w:ind w:firstLine="480" w:firstLineChars="200"/>
        <w:rPr>
          <w:rFonts w:hint="eastAsia" w:ascii="宋体" w:hAnsi="宋体"/>
          <w:color w:val="auto"/>
          <w:sz w:val="24"/>
          <w:highlight w:val="none"/>
        </w:rPr>
      </w:pPr>
      <w:r>
        <w:rPr>
          <w:rFonts w:hint="eastAsia" w:ascii="宋体" w:hAnsi="宋体"/>
          <w:color w:val="auto"/>
          <w:sz w:val="24"/>
          <w:highlight w:val="none"/>
        </w:rPr>
        <w:t>投标人：</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hint="eastAsia" w:ascii="宋体" w:hAnsi="宋体"/>
          <w:color w:val="auto"/>
          <w:sz w:val="24"/>
          <w:highlight w:val="none"/>
        </w:rPr>
        <w:t>（签章）</w:t>
      </w:r>
    </w:p>
    <w:p w14:paraId="354AB35C">
      <w:pPr>
        <w:adjustRightInd w:val="0"/>
        <w:snapToGrid w:val="0"/>
        <w:spacing w:line="560" w:lineRule="exact"/>
        <w:ind w:firstLine="480" w:firstLineChars="200"/>
        <w:rPr>
          <w:rFonts w:ascii="宋体" w:hAnsi="宋体"/>
          <w:color w:val="auto"/>
          <w:sz w:val="24"/>
          <w:highlight w:val="none"/>
        </w:rPr>
      </w:pPr>
      <w:r>
        <w:rPr>
          <w:rFonts w:hint="eastAsia" w:ascii="宋体" w:hAnsi="宋体"/>
          <w:color w:val="auto"/>
          <w:sz w:val="24"/>
          <w:highlight w:val="none"/>
        </w:rPr>
        <w:t>法定代表人：</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（签章）联系人：</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hint="eastAsia" w:ascii="宋体" w:hAnsi="宋体"/>
          <w:color w:val="auto"/>
          <w:sz w:val="24"/>
          <w:highlight w:val="none"/>
        </w:rPr>
        <w:t xml:space="preserve">                 </w:t>
      </w:r>
    </w:p>
    <w:p w14:paraId="73210FFE">
      <w:pPr>
        <w:adjustRightInd w:val="0"/>
        <w:snapToGrid w:val="0"/>
        <w:spacing w:line="560" w:lineRule="exact"/>
        <w:ind w:firstLine="480" w:firstLineChars="200"/>
        <w:rPr>
          <w:rFonts w:hint="eastAsia" w:ascii="宋体" w:hAnsi="宋体"/>
          <w:color w:val="auto"/>
          <w:sz w:val="24"/>
          <w:highlight w:val="none"/>
        </w:rPr>
      </w:pPr>
      <w:r>
        <w:rPr>
          <w:rFonts w:hint="eastAsia" w:ascii="宋体" w:hAnsi="宋体"/>
          <w:color w:val="auto"/>
          <w:sz w:val="24"/>
          <w:highlight w:val="none"/>
        </w:rPr>
        <w:t>单位地址：</w:t>
      </w:r>
      <w:r>
        <w:rPr>
          <w:rFonts w:hint="eastAsia" w:ascii="宋体" w:hAnsi="宋体"/>
          <w:color w:val="auto"/>
          <w:sz w:val="24"/>
          <w:highlight w:val="none"/>
          <w:u w:val="single"/>
        </w:rPr>
        <w:t xml:space="preserve">                                       </w:t>
      </w:r>
    </w:p>
    <w:p w14:paraId="33B88A37">
      <w:pPr>
        <w:adjustRightInd w:val="0"/>
        <w:snapToGrid w:val="0"/>
        <w:spacing w:line="560" w:lineRule="exact"/>
        <w:ind w:firstLine="480" w:firstLineChars="200"/>
        <w:rPr>
          <w:rFonts w:ascii="宋体" w:hAnsi="宋体"/>
          <w:color w:val="auto"/>
          <w:sz w:val="24"/>
          <w:highlight w:val="none"/>
          <w:u w:val="single"/>
        </w:rPr>
      </w:pPr>
      <w:r>
        <w:rPr>
          <w:rFonts w:hint="eastAsia" w:ascii="宋体" w:hAnsi="宋体"/>
          <w:color w:val="auto"/>
          <w:sz w:val="24"/>
          <w:highlight w:val="none"/>
        </w:rPr>
        <w:t>邮政编码：</w:t>
      </w:r>
      <w:r>
        <w:rPr>
          <w:rFonts w:ascii="宋体" w:hAnsi="宋体"/>
          <w:color w:val="auto"/>
          <w:sz w:val="24"/>
          <w:highlight w:val="none"/>
          <w:u w:val="single"/>
        </w:rPr>
        <w:t xml:space="preserve">            </w:t>
      </w:r>
      <w:r>
        <w:rPr>
          <w:rFonts w:hint="eastAsia" w:ascii="宋体" w:hAnsi="宋体"/>
          <w:color w:val="auto"/>
          <w:sz w:val="24"/>
          <w:highlight w:val="none"/>
        </w:rPr>
        <w:t>联系人手机号码：</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hint="eastAsia" w:ascii="宋体" w:hAnsi="宋体"/>
          <w:color w:val="auto"/>
          <w:sz w:val="24"/>
          <w:highlight w:val="none"/>
        </w:rPr>
        <w:t>传真：</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14:paraId="7CFCAE64">
      <w:pPr>
        <w:adjustRightInd w:val="0"/>
        <w:snapToGrid w:val="0"/>
        <w:spacing w:line="560" w:lineRule="exact"/>
        <w:ind w:firstLine="480" w:firstLineChars="200"/>
        <w:rPr>
          <w:color w:val="auto"/>
          <w:szCs w:val="21"/>
          <w:highlight w:val="none"/>
          <w:u w:val="single"/>
        </w:rPr>
      </w:pPr>
      <w:r>
        <w:rPr>
          <w:rFonts w:hint="eastAsia" w:ascii="宋体" w:hAnsi="宋体"/>
          <w:color w:val="auto"/>
          <w:sz w:val="24"/>
          <w:highlight w:val="none"/>
        </w:rPr>
        <w:t>日期：</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hint="eastAsia" w:ascii="宋体" w:hAnsi="宋体"/>
          <w:color w:val="auto"/>
          <w:sz w:val="24"/>
          <w:highlight w:val="none"/>
        </w:rPr>
        <w:t>年</w:t>
      </w:r>
      <w:r>
        <w:rPr>
          <w:rFonts w:ascii="宋体" w:hAnsi="宋体"/>
          <w:color w:val="auto"/>
          <w:sz w:val="24"/>
          <w:highlight w:val="none"/>
        </w:rPr>
        <w:t xml:space="preserve"> </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hint="eastAsia" w:ascii="宋体" w:hAnsi="宋体"/>
          <w:color w:val="auto"/>
          <w:sz w:val="24"/>
          <w:highlight w:val="none"/>
        </w:rPr>
        <w:t>月</w:t>
      </w:r>
      <w:r>
        <w:rPr>
          <w:rFonts w:ascii="宋体" w:hAnsi="宋体"/>
          <w:color w:val="auto"/>
          <w:sz w:val="24"/>
          <w:highlight w:val="none"/>
        </w:rPr>
        <w:t xml:space="preserve"> </w:t>
      </w:r>
      <w:r>
        <w:rPr>
          <w:rFonts w:ascii="宋体" w:hAnsi="宋体"/>
          <w:color w:val="auto"/>
          <w:sz w:val="24"/>
          <w:highlight w:val="none"/>
          <w:u w:val="single"/>
        </w:rPr>
        <w:t xml:space="preserve">   </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hint="eastAsia" w:ascii="宋体" w:hAnsi="宋体"/>
          <w:color w:val="auto"/>
          <w:sz w:val="24"/>
          <w:highlight w:val="none"/>
        </w:rPr>
        <w:t>日</w:t>
      </w:r>
    </w:p>
    <w:p w14:paraId="1F52CC8D">
      <w:pPr>
        <w:pStyle w:val="8"/>
        <w:adjustRightInd w:val="0"/>
        <w:snapToGrid w:val="0"/>
        <w:spacing w:before="0" w:after="0" w:line="560" w:lineRule="exact"/>
        <w:jc w:val="center"/>
        <w:rPr>
          <w:color w:val="auto"/>
          <w:highlight w:val="none"/>
        </w:rPr>
        <w:sectPr>
          <w:pgSz w:w="11910" w:h="16840"/>
          <w:pgMar w:top="1060" w:right="660" w:bottom="1020" w:left="1120" w:header="0" w:footer="833" w:gutter="0"/>
          <w:cols w:space="720" w:num="1"/>
        </w:sectPr>
      </w:pPr>
      <w:bookmarkStart w:id="874" w:name="_Toc95223544"/>
    </w:p>
    <w:bookmarkEnd w:id="874"/>
    <w:p w14:paraId="7E1BC87A">
      <w:pPr>
        <w:pStyle w:val="8"/>
        <w:adjustRightInd w:val="0"/>
        <w:snapToGrid w:val="0"/>
        <w:spacing w:before="0" w:after="0" w:line="560" w:lineRule="exact"/>
        <w:jc w:val="center"/>
        <w:rPr>
          <w:color w:val="auto"/>
          <w:highlight w:val="none"/>
        </w:rPr>
      </w:pPr>
      <w:bookmarkStart w:id="875" w:name="_Toc95223545"/>
      <w:r>
        <w:rPr>
          <w:rFonts w:hint="eastAsia"/>
          <w:color w:val="auto"/>
          <w:highlight w:val="none"/>
        </w:rPr>
        <w:t>（</w:t>
      </w:r>
      <w:r>
        <w:rPr>
          <w:rFonts w:hint="eastAsia"/>
          <w:color w:val="auto"/>
          <w:highlight w:val="none"/>
          <w:lang w:val="en-US" w:eastAsia="zh-CN"/>
        </w:rPr>
        <w:t>2</w:t>
      </w:r>
      <w:r>
        <w:rPr>
          <w:rFonts w:hint="eastAsia"/>
          <w:color w:val="auto"/>
          <w:highlight w:val="none"/>
        </w:rPr>
        <w:t>）</w:t>
      </w:r>
      <w:r>
        <w:rPr>
          <w:color w:val="auto"/>
          <w:highlight w:val="none"/>
        </w:rPr>
        <w:t>招标人推荐的材料品牌响应表</w:t>
      </w:r>
      <w:bookmarkEnd w:id="875"/>
    </w:p>
    <w:p w14:paraId="389FEA9B">
      <w:pPr>
        <w:pStyle w:val="20"/>
        <w:tabs>
          <w:tab w:val="left" w:pos="6462"/>
          <w:tab w:val="left" w:pos="6988"/>
          <w:tab w:val="left" w:pos="7722"/>
        </w:tabs>
        <w:adjustRightInd w:val="0"/>
        <w:snapToGrid w:val="0"/>
        <w:spacing w:after="0" w:line="560" w:lineRule="exact"/>
        <w:jc w:val="center"/>
        <w:rPr>
          <w:color w:val="auto"/>
          <w:highlight w:val="none"/>
        </w:rPr>
      </w:pPr>
      <w:r>
        <w:rPr>
          <w:color w:val="auto"/>
          <w:highlight w:val="none"/>
        </w:rPr>
        <w:t>工程</w:t>
      </w:r>
      <w:r>
        <w:rPr>
          <w:color w:val="auto"/>
          <w:spacing w:val="-3"/>
          <w:highlight w:val="none"/>
        </w:rPr>
        <w:t>名</w:t>
      </w:r>
      <w:r>
        <w:rPr>
          <w:color w:val="auto"/>
          <w:highlight w:val="none"/>
        </w:rPr>
        <w:t>称：</w:t>
      </w:r>
      <w:r>
        <w:rPr>
          <w:rFonts w:hint="eastAsia"/>
          <w:color w:val="auto"/>
          <w:highlight w:val="none"/>
        </w:rPr>
        <w:t xml:space="preserve"> </w:t>
      </w:r>
      <w:r>
        <w:rPr>
          <w:color w:val="auto"/>
          <w:highlight w:val="none"/>
        </w:rPr>
        <w:tab/>
      </w:r>
      <w:r>
        <w:rPr>
          <w:color w:val="auto"/>
          <w:highlight w:val="none"/>
        </w:rPr>
        <w:t>第</w:t>
      </w:r>
      <w:r>
        <w:rPr>
          <w:color w:val="auto"/>
          <w:highlight w:val="none"/>
        </w:rPr>
        <w:tab/>
      </w:r>
      <w:r>
        <w:rPr>
          <w:color w:val="auto"/>
          <w:spacing w:val="-3"/>
          <w:highlight w:val="none"/>
        </w:rPr>
        <w:t>页</w:t>
      </w:r>
      <w:r>
        <w:rPr>
          <w:color w:val="auto"/>
          <w:highlight w:val="none"/>
        </w:rPr>
        <w:t>共</w:t>
      </w:r>
      <w:r>
        <w:rPr>
          <w:color w:val="auto"/>
          <w:highlight w:val="none"/>
        </w:rPr>
        <w:tab/>
      </w:r>
      <w:r>
        <w:rPr>
          <w:color w:val="auto"/>
          <w:highlight w:val="none"/>
        </w:rPr>
        <w:t>页</w:t>
      </w:r>
    </w:p>
    <w:p w14:paraId="44E4E4F3">
      <w:pPr>
        <w:pStyle w:val="20"/>
        <w:tabs>
          <w:tab w:val="left" w:pos="6462"/>
          <w:tab w:val="left" w:pos="6988"/>
          <w:tab w:val="left" w:pos="7722"/>
        </w:tabs>
        <w:adjustRightInd w:val="0"/>
        <w:snapToGrid w:val="0"/>
        <w:spacing w:after="0" w:line="560" w:lineRule="exact"/>
        <w:jc w:val="center"/>
        <w:rPr>
          <w:b/>
          <w:color w:val="auto"/>
          <w:sz w:val="28"/>
          <w:highlight w:val="none"/>
        </w:rPr>
      </w:pPr>
      <w:r>
        <w:rPr>
          <w:b/>
          <w:color w:val="auto"/>
          <w:sz w:val="28"/>
          <w:highlight w:val="none"/>
        </w:rPr>
        <w:t>品牌推荐表（如要求）</w:t>
      </w:r>
    </w:p>
    <w:p w14:paraId="6F67425D">
      <w:pPr>
        <w:pStyle w:val="20"/>
        <w:adjustRightInd w:val="0"/>
        <w:snapToGrid w:val="0"/>
        <w:spacing w:after="0" w:line="560" w:lineRule="exact"/>
        <w:rPr>
          <w:b/>
          <w:color w:val="auto"/>
          <w:sz w:val="5"/>
          <w:highlight w:val="none"/>
        </w:rPr>
      </w:pPr>
    </w:p>
    <w:tbl>
      <w:tblPr>
        <w:tblStyle w:val="46"/>
        <w:tblW w:w="7816" w:type="dxa"/>
        <w:tblInd w:w="9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6"/>
        <w:gridCol w:w="1685"/>
        <w:gridCol w:w="794"/>
        <w:gridCol w:w="794"/>
        <w:gridCol w:w="794"/>
        <w:gridCol w:w="791"/>
        <w:gridCol w:w="635"/>
        <w:gridCol w:w="1687"/>
      </w:tblGrid>
      <w:tr w14:paraId="1E712F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 w:hRule="atLeast"/>
        </w:trPr>
        <w:tc>
          <w:tcPr>
            <w:tcW w:w="636" w:type="dxa"/>
            <w:noWrap w:val="0"/>
            <w:vAlign w:val="top"/>
          </w:tcPr>
          <w:p w14:paraId="5FE95B4E">
            <w:pPr>
              <w:pStyle w:val="95"/>
              <w:keepNext w:val="0"/>
              <w:keepLines w:val="0"/>
              <w:suppressLineNumbers w:val="0"/>
              <w:adjustRightInd w:val="0"/>
              <w:snapToGrid w:val="0"/>
              <w:spacing w:before="0" w:beforeAutospacing="0" w:after="0" w:afterAutospacing="0" w:line="560" w:lineRule="exact"/>
              <w:ind w:left="0" w:right="0"/>
              <w:jc w:val="center"/>
              <w:rPr>
                <w:rFonts w:hint="default" w:ascii="黑体" w:eastAsia="黑体"/>
                <w:color w:val="auto"/>
                <w:highlight w:val="none"/>
              </w:rPr>
            </w:pPr>
            <w:r>
              <w:rPr>
                <w:rFonts w:hint="eastAsia" w:ascii="黑体" w:eastAsia="黑体"/>
                <w:color w:val="auto"/>
                <w:highlight w:val="none"/>
              </w:rPr>
              <w:t>序号</w:t>
            </w:r>
          </w:p>
        </w:tc>
        <w:tc>
          <w:tcPr>
            <w:tcW w:w="1685" w:type="dxa"/>
            <w:noWrap w:val="0"/>
            <w:vAlign w:val="top"/>
          </w:tcPr>
          <w:p w14:paraId="3AE8D592">
            <w:pPr>
              <w:pStyle w:val="95"/>
              <w:keepNext w:val="0"/>
              <w:keepLines w:val="0"/>
              <w:suppressLineNumbers w:val="0"/>
              <w:adjustRightInd w:val="0"/>
              <w:snapToGrid w:val="0"/>
              <w:spacing w:before="0" w:beforeAutospacing="0" w:after="0" w:afterAutospacing="0" w:line="560" w:lineRule="exact"/>
              <w:ind w:left="0" w:right="0"/>
              <w:rPr>
                <w:rFonts w:hint="default" w:ascii="黑体" w:eastAsia="黑体"/>
                <w:color w:val="auto"/>
                <w:highlight w:val="none"/>
              </w:rPr>
            </w:pPr>
            <w:r>
              <w:rPr>
                <w:rFonts w:hint="eastAsia" w:ascii="黑体" w:eastAsia="黑体"/>
                <w:color w:val="auto"/>
                <w:highlight w:val="none"/>
              </w:rPr>
              <w:t>材料、设备名称</w:t>
            </w:r>
          </w:p>
        </w:tc>
        <w:tc>
          <w:tcPr>
            <w:tcW w:w="794" w:type="dxa"/>
            <w:noWrap w:val="0"/>
            <w:vAlign w:val="top"/>
          </w:tcPr>
          <w:p w14:paraId="3D04CAAA">
            <w:pPr>
              <w:pStyle w:val="95"/>
              <w:keepNext w:val="0"/>
              <w:keepLines w:val="0"/>
              <w:suppressLineNumbers w:val="0"/>
              <w:adjustRightInd w:val="0"/>
              <w:snapToGrid w:val="0"/>
              <w:spacing w:before="0" w:beforeAutospacing="0" w:after="0" w:afterAutospacing="0" w:line="560" w:lineRule="exact"/>
              <w:ind w:left="0" w:right="0"/>
              <w:rPr>
                <w:rFonts w:hint="default" w:ascii="黑体" w:eastAsia="黑体"/>
                <w:color w:val="auto"/>
                <w:highlight w:val="none"/>
              </w:rPr>
            </w:pPr>
            <w:r>
              <w:rPr>
                <w:rFonts w:hint="eastAsia" w:ascii="黑体" w:eastAsia="黑体"/>
                <w:color w:val="auto"/>
                <w:highlight w:val="none"/>
              </w:rPr>
              <w:t>品牌 1</w:t>
            </w:r>
          </w:p>
        </w:tc>
        <w:tc>
          <w:tcPr>
            <w:tcW w:w="794" w:type="dxa"/>
            <w:noWrap w:val="0"/>
            <w:vAlign w:val="top"/>
          </w:tcPr>
          <w:p w14:paraId="1CFE1A0F">
            <w:pPr>
              <w:pStyle w:val="95"/>
              <w:keepNext w:val="0"/>
              <w:keepLines w:val="0"/>
              <w:suppressLineNumbers w:val="0"/>
              <w:adjustRightInd w:val="0"/>
              <w:snapToGrid w:val="0"/>
              <w:spacing w:before="0" w:beforeAutospacing="0" w:after="0" w:afterAutospacing="0" w:line="560" w:lineRule="exact"/>
              <w:ind w:left="0" w:right="0"/>
              <w:rPr>
                <w:rFonts w:hint="default" w:ascii="黑体" w:eastAsia="黑体"/>
                <w:color w:val="auto"/>
                <w:highlight w:val="none"/>
              </w:rPr>
            </w:pPr>
            <w:r>
              <w:rPr>
                <w:rFonts w:hint="eastAsia" w:ascii="黑体" w:eastAsia="黑体"/>
                <w:color w:val="auto"/>
                <w:highlight w:val="none"/>
              </w:rPr>
              <w:t>品牌 2</w:t>
            </w:r>
          </w:p>
        </w:tc>
        <w:tc>
          <w:tcPr>
            <w:tcW w:w="794" w:type="dxa"/>
            <w:noWrap w:val="0"/>
            <w:vAlign w:val="top"/>
          </w:tcPr>
          <w:p w14:paraId="54F05428">
            <w:pPr>
              <w:pStyle w:val="95"/>
              <w:keepNext w:val="0"/>
              <w:keepLines w:val="0"/>
              <w:suppressLineNumbers w:val="0"/>
              <w:adjustRightInd w:val="0"/>
              <w:snapToGrid w:val="0"/>
              <w:spacing w:before="0" w:beforeAutospacing="0" w:after="0" w:afterAutospacing="0" w:line="560" w:lineRule="exact"/>
              <w:ind w:left="0" w:right="0"/>
              <w:rPr>
                <w:rFonts w:hint="default" w:ascii="黑体" w:eastAsia="黑体"/>
                <w:color w:val="auto"/>
                <w:highlight w:val="none"/>
              </w:rPr>
            </w:pPr>
            <w:r>
              <w:rPr>
                <w:rFonts w:hint="eastAsia" w:ascii="黑体" w:eastAsia="黑体"/>
                <w:color w:val="auto"/>
                <w:highlight w:val="none"/>
              </w:rPr>
              <w:t>品牌 3</w:t>
            </w:r>
          </w:p>
        </w:tc>
        <w:tc>
          <w:tcPr>
            <w:tcW w:w="791" w:type="dxa"/>
            <w:noWrap w:val="0"/>
            <w:vAlign w:val="top"/>
          </w:tcPr>
          <w:p w14:paraId="4F16B504">
            <w:pPr>
              <w:pStyle w:val="95"/>
              <w:keepNext w:val="0"/>
              <w:keepLines w:val="0"/>
              <w:suppressLineNumbers w:val="0"/>
              <w:adjustRightInd w:val="0"/>
              <w:snapToGrid w:val="0"/>
              <w:spacing w:before="0" w:beforeAutospacing="0" w:after="0" w:afterAutospacing="0" w:line="560" w:lineRule="exact"/>
              <w:ind w:left="0" w:right="0"/>
              <w:rPr>
                <w:rFonts w:hint="default" w:ascii="黑体" w:eastAsia="黑体"/>
                <w:color w:val="auto"/>
                <w:highlight w:val="none"/>
              </w:rPr>
            </w:pPr>
            <w:r>
              <w:rPr>
                <w:rFonts w:hint="eastAsia" w:ascii="黑体" w:eastAsia="黑体"/>
                <w:color w:val="auto"/>
                <w:highlight w:val="none"/>
              </w:rPr>
              <w:t>品牌 4</w:t>
            </w:r>
          </w:p>
        </w:tc>
        <w:tc>
          <w:tcPr>
            <w:tcW w:w="635" w:type="dxa"/>
            <w:noWrap w:val="0"/>
            <w:vAlign w:val="top"/>
          </w:tcPr>
          <w:p w14:paraId="6D43B9B7">
            <w:pPr>
              <w:pStyle w:val="95"/>
              <w:keepNext w:val="0"/>
              <w:keepLines w:val="0"/>
              <w:suppressLineNumbers w:val="0"/>
              <w:adjustRightInd w:val="0"/>
              <w:snapToGrid w:val="0"/>
              <w:spacing w:before="0" w:beforeAutospacing="0" w:after="0" w:afterAutospacing="0" w:line="560" w:lineRule="exact"/>
              <w:ind w:left="0" w:right="0"/>
              <w:rPr>
                <w:rFonts w:hint="default" w:ascii="黑体" w:eastAsia="黑体"/>
                <w:color w:val="auto"/>
                <w:highlight w:val="none"/>
              </w:rPr>
            </w:pPr>
            <w:r>
              <w:rPr>
                <w:rFonts w:hint="eastAsia" w:ascii="黑体" w:eastAsia="黑体"/>
                <w:color w:val="auto"/>
                <w:highlight w:val="none"/>
              </w:rPr>
              <w:t>备注</w:t>
            </w:r>
          </w:p>
        </w:tc>
        <w:tc>
          <w:tcPr>
            <w:tcW w:w="1687" w:type="dxa"/>
            <w:noWrap w:val="0"/>
            <w:vAlign w:val="top"/>
          </w:tcPr>
          <w:p w14:paraId="2D003354">
            <w:pPr>
              <w:pStyle w:val="95"/>
              <w:keepNext w:val="0"/>
              <w:keepLines w:val="0"/>
              <w:suppressLineNumbers w:val="0"/>
              <w:adjustRightInd w:val="0"/>
              <w:snapToGrid w:val="0"/>
              <w:spacing w:before="0" w:beforeAutospacing="0" w:after="0" w:afterAutospacing="0" w:line="560" w:lineRule="exact"/>
              <w:ind w:left="0" w:right="0"/>
              <w:rPr>
                <w:rFonts w:hint="default" w:ascii="黑体" w:eastAsia="黑体"/>
                <w:color w:val="auto"/>
                <w:highlight w:val="none"/>
              </w:rPr>
            </w:pPr>
            <w:r>
              <w:rPr>
                <w:rFonts w:hint="eastAsia" w:ascii="黑体" w:eastAsia="黑体"/>
                <w:color w:val="auto"/>
                <w:highlight w:val="none"/>
              </w:rPr>
              <w:t>投标人选定品牌</w:t>
            </w:r>
          </w:p>
        </w:tc>
      </w:tr>
      <w:tr w14:paraId="780B60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636" w:type="dxa"/>
            <w:noWrap w:val="0"/>
            <w:vAlign w:val="top"/>
          </w:tcPr>
          <w:p w14:paraId="35C13FA1">
            <w:pPr>
              <w:pStyle w:val="95"/>
              <w:keepNext w:val="0"/>
              <w:keepLines w:val="0"/>
              <w:suppressLineNumbers w:val="0"/>
              <w:adjustRightInd w:val="0"/>
              <w:snapToGrid w:val="0"/>
              <w:spacing w:before="0" w:beforeAutospacing="0" w:after="0" w:afterAutospacing="0" w:line="560" w:lineRule="exact"/>
              <w:ind w:left="0" w:right="0"/>
              <w:jc w:val="center"/>
              <w:rPr>
                <w:rFonts w:hint="default"/>
                <w:color w:val="auto"/>
                <w:highlight w:val="none"/>
              </w:rPr>
            </w:pPr>
          </w:p>
        </w:tc>
        <w:tc>
          <w:tcPr>
            <w:tcW w:w="1685" w:type="dxa"/>
            <w:noWrap w:val="0"/>
            <w:vAlign w:val="top"/>
          </w:tcPr>
          <w:p w14:paraId="16DA3645">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53F068FF">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738BBEE6">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09ABF770">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1" w:type="dxa"/>
            <w:noWrap w:val="0"/>
            <w:vAlign w:val="top"/>
          </w:tcPr>
          <w:p w14:paraId="1B65ECB7">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635" w:type="dxa"/>
            <w:noWrap w:val="0"/>
            <w:vAlign w:val="top"/>
          </w:tcPr>
          <w:p w14:paraId="38603FAB">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1687" w:type="dxa"/>
            <w:noWrap w:val="0"/>
            <w:vAlign w:val="top"/>
          </w:tcPr>
          <w:p w14:paraId="7D21EB22">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r>
      <w:tr w14:paraId="4E4FF2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636" w:type="dxa"/>
            <w:noWrap w:val="0"/>
            <w:vAlign w:val="top"/>
          </w:tcPr>
          <w:p w14:paraId="65EB1BE5">
            <w:pPr>
              <w:pStyle w:val="95"/>
              <w:keepNext w:val="0"/>
              <w:keepLines w:val="0"/>
              <w:suppressLineNumbers w:val="0"/>
              <w:adjustRightInd w:val="0"/>
              <w:snapToGrid w:val="0"/>
              <w:spacing w:before="0" w:beforeAutospacing="0" w:after="0" w:afterAutospacing="0" w:line="560" w:lineRule="exact"/>
              <w:ind w:left="0" w:right="0"/>
              <w:jc w:val="center"/>
              <w:rPr>
                <w:rFonts w:hint="default"/>
                <w:color w:val="auto"/>
                <w:highlight w:val="none"/>
              </w:rPr>
            </w:pPr>
          </w:p>
        </w:tc>
        <w:tc>
          <w:tcPr>
            <w:tcW w:w="1685" w:type="dxa"/>
            <w:noWrap w:val="0"/>
            <w:vAlign w:val="top"/>
          </w:tcPr>
          <w:p w14:paraId="52990B08">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788954D0">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16393667">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47C1E42A">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1" w:type="dxa"/>
            <w:noWrap w:val="0"/>
            <w:vAlign w:val="top"/>
          </w:tcPr>
          <w:p w14:paraId="76658D16">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635" w:type="dxa"/>
            <w:noWrap w:val="0"/>
            <w:vAlign w:val="top"/>
          </w:tcPr>
          <w:p w14:paraId="36209BFC">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1687" w:type="dxa"/>
            <w:noWrap w:val="0"/>
            <w:vAlign w:val="top"/>
          </w:tcPr>
          <w:p w14:paraId="3A5649C7">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r>
      <w:tr w14:paraId="3C7E13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636" w:type="dxa"/>
            <w:tcBorders>
              <w:bottom w:val="single" w:color="000000" w:sz="6" w:space="0"/>
            </w:tcBorders>
            <w:noWrap w:val="0"/>
            <w:vAlign w:val="top"/>
          </w:tcPr>
          <w:p w14:paraId="68315DCC">
            <w:pPr>
              <w:pStyle w:val="95"/>
              <w:keepNext w:val="0"/>
              <w:keepLines w:val="0"/>
              <w:suppressLineNumbers w:val="0"/>
              <w:adjustRightInd w:val="0"/>
              <w:snapToGrid w:val="0"/>
              <w:spacing w:before="0" w:beforeAutospacing="0" w:after="0" w:afterAutospacing="0" w:line="560" w:lineRule="exact"/>
              <w:ind w:left="0" w:right="0"/>
              <w:jc w:val="center"/>
              <w:rPr>
                <w:rFonts w:hint="default"/>
                <w:color w:val="auto"/>
                <w:highlight w:val="none"/>
              </w:rPr>
            </w:pPr>
          </w:p>
        </w:tc>
        <w:tc>
          <w:tcPr>
            <w:tcW w:w="1685" w:type="dxa"/>
            <w:tcBorders>
              <w:bottom w:val="single" w:color="000000" w:sz="6" w:space="0"/>
            </w:tcBorders>
            <w:noWrap w:val="0"/>
            <w:vAlign w:val="top"/>
          </w:tcPr>
          <w:p w14:paraId="32EFABEF">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tcBorders>
              <w:bottom w:val="single" w:color="000000" w:sz="6" w:space="0"/>
            </w:tcBorders>
            <w:noWrap w:val="0"/>
            <w:vAlign w:val="top"/>
          </w:tcPr>
          <w:p w14:paraId="4BBEC3F6">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tcBorders>
              <w:bottom w:val="single" w:color="000000" w:sz="6" w:space="0"/>
            </w:tcBorders>
            <w:noWrap w:val="0"/>
            <w:vAlign w:val="top"/>
          </w:tcPr>
          <w:p w14:paraId="7FFDD9C6">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tcBorders>
              <w:bottom w:val="single" w:color="000000" w:sz="6" w:space="0"/>
            </w:tcBorders>
            <w:noWrap w:val="0"/>
            <w:vAlign w:val="top"/>
          </w:tcPr>
          <w:p w14:paraId="657C0575">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1" w:type="dxa"/>
            <w:tcBorders>
              <w:bottom w:val="single" w:color="000000" w:sz="6" w:space="0"/>
            </w:tcBorders>
            <w:noWrap w:val="0"/>
            <w:vAlign w:val="top"/>
          </w:tcPr>
          <w:p w14:paraId="4334495F">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635" w:type="dxa"/>
            <w:tcBorders>
              <w:bottom w:val="single" w:color="000000" w:sz="6" w:space="0"/>
            </w:tcBorders>
            <w:noWrap w:val="0"/>
            <w:vAlign w:val="top"/>
          </w:tcPr>
          <w:p w14:paraId="45237F72">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1687" w:type="dxa"/>
            <w:tcBorders>
              <w:bottom w:val="single" w:color="000000" w:sz="6" w:space="0"/>
            </w:tcBorders>
            <w:noWrap w:val="0"/>
            <w:vAlign w:val="top"/>
          </w:tcPr>
          <w:p w14:paraId="4086E7ED">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r>
      <w:tr w14:paraId="597DA9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636" w:type="dxa"/>
            <w:tcBorders>
              <w:top w:val="single" w:color="000000" w:sz="6" w:space="0"/>
            </w:tcBorders>
            <w:noWrap w:val="0"/>
            <w:vAlign w:val="top"/>
          </w:tcPr>
          <w:p w14:paraId="43282A52">
            <w:pPr>
              <w:pStyle w:val="95"/>
              <w:keepNext w:val="0"/>
              <w:keepLines w:val="0"/>
              <w:suppressLineNumbers w:val="0"/>
              <w:adjustRightInd w:val="0"/>
              <w:snapToGrid w:val="0"/>
              <w:spacing w:before="0" w:beforeAutospacing="0" w:after="0" w:afterAutospacing="0" w:line="560" w:lineRule="exact"/>
              <w:ind w:left="0" w:right="0"/>
              <w:jc w:val="center"/>
              <w:rPr>
                <w:rFonts w:hint="default"/>
                <w:color w:val="auto"/>
                <w:highlight w:val="none"/>
              </w:rPr>
            </w:pPr>
          </w:p>
        </w:tc>
        <w:tc>
          <w:tcPr>
            <w:tcW w:w="1685" w:type="dxa"/>
            <w:tcBorders>
              <w:top w:val="single" w:color="000000" w:sz="6" w:space="0"/>
            </w:tcBorders>
            <w:noWrap w:val="0"/>
            <w:vAlign w:val="top"/>
          </w:tcPr>
          <w:p w14:paraId="66378BDD">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tcBorders>
              <w:top w:val="single" w:color="000000" w:sz="6" w:space="0"/>
            </w:tcBorders>
            <w:noWrap w:val="0"/>
            <w:vAlign w:val="top"/>
          </w:tcPr>
          <w:p w14:paraId="3E91D436">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tcBorders>
              <w:top w:val="single" w:color="000000" w:sz="6" w:space="0"/>
            </w:tcBorders>
            <w:noWrap w:val="0"/>
            <w:vAlign w:val="top"/>
          </w:tcPr>
          <w:p w14:paraId="49C3102B">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tcBorders>
              <w:top w:val="single" w:color="000000" w:sz="6" w:space="0"/>
            </w:tcBorders>
            <w:noWrap w:val="0"/>
            <w:vAlign w:val="top"/>
          </w:tcPr>
          <w:p w14:paraId="7FAF4DA6">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1" w:type="dxa"/>
            <w:tcBorders>
              <w:top w:val="single" w:color="000000" w:sz="6" w:space="0"/>
            </w:tcBorders>
            <w:noWrap w:val="0"/>
            <w:vAlign w:val="top"/>
          </w:tcPr>
          <w:p w14:paraId="6C5DA1A5">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635" w:type="dxa"/>
            <w:tcBorders>
              <w:top w:val="single" w:color="000000" w:sz="6" w:space="0"/>
            </w:tcBorders>
            <w:noWrap w:val="0"/>
            <w:vAlign w:val="top"/>
          </w:tcPr>
          <w:p w14:paraId="0761BA84">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1687" w:type="dxa"/>
            <w:tcBorders>
              <w:top w:val="single" w:color="000000" w:sz="6" w:space="0"/>
            </w:tcBorders>
            <w:noWrap w:val="0"/>
            <w:vAlign w:val="top"/>
          </w:tcPr>
          <w:p w14:paraId="280184CC">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r>
      <w:tr w14:paraId="6D22D2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636" w:type="dxa"/>
            <w:noWrap w:val="0"/>
            <w:vAlign w:val="top"/>
          </w:tcPr>
          <w:p w14:paraId="4D436E87">
            <w:pPr>
              <w:pStyle w:val="95"/>
              <w:keepNext w:val="0"/>
              <w:keepLines w:val="0"/>
              <w:suppressLineNumbers w:val="0"/>
              <w:adjustRightInd w:val="0"/>
              <w:snapToGrid w:val="0"/>
              <w:spacing w:before="0" w:beforeAutospacing="0" w:after="0" w:afterAutospacing="0" w:line="560" w:lineRule="exact"/>
              <w:ind w:left="0" w:right="0"/>
              <w:jc w:val="center"/>
              <w:rPr>
                <w:rFonts w:hint="default"/>
                <w:color w:val="auto"/>
                <w:highlight w:val="none"/>
              </w:rPr>
            </w:pPr>
          </w:p>
        </w:tc>
        <w:tc>
          <w:tcPr>
            <w:tcW w:w="1685" w:type="dxa"/>
            <w:noWrap w:val="0"/>
            <w:vAlign w:val="top"/>
          </w:tcPr>
          <w:p w14:paraId="6AE74E23">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6258FF29">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152D5C15">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60CA5A17">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1" w:type="dxa"/>
            <w:noWrap w:val="0"/>
            <w:vAlign w:val="top"/>
          </w:tcPr>
          <w:p w14:paraId="6D2F7B13">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635" w:type="dxa"/>
            <w:noWrap w:val="0"/>
            <w:vAlign w:val="top"/>
          </w:tcPr>
          <w:p w14:paraId="1E403830">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1687" w:type="dxa"/>
            <w:noWrap w:val="0"/>
            <w:vAlign w:val="top"/>
          </w:tcPr>
          <w:p w14:paraId="25357BF6">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r>
      <w:tr w14:paraId="5FA4B3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636" w:type="dxa"/>
            <w:noWrap w:val="0"/>
            <w:vAlign w:val="top"/>
          </w:tcPr>
          <w:p w14:paraId="710B9390">
            <w:pPr>
              <w:pStyle w:val="95"/>
              <w:keepNext w:val="0"/>
              <w:keepLines w:val="0"/>
              <w:suppressLineNumbers w:val="0"/>
              <w:adjustRightInd w:val="0"/>
              <w:snapToGrid w:val="0"/>
              <w:spacing w:before="0" w:beforeAutospacing="0" w:after="0" w:afterAutospacing="0" w:line="560" w:lineRule="exact"/>
              <w:ind w:left="0" w:right="0"/>
              <w:jc w:val="center"/>
              <w:rPr>
                <w:rFonts w:hint="default"/>
                <w:color w:val="auto"/>
                <w:highlight w:val="none"/>
              </w:rPr>
            </w:pPr>
          </w:p>
        </w:tc>
        <w:tc>
          <w:tcPr>
            <w:tcW w:w="1685" w:type="dxa"/>
            <w:noWrap w:val="0"/>
            <w:vAlign w:val="top"/>
          </w:tcPr>
          <w:p w14:paraId="1E53A428">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278063D3">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51AB2944">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7171267F">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1" w:type="dxa"/>
            <w:noWrap w:val="0"/>
            <w:vAlign w:val="top"/>
          </w:tcPr>
          <w:p w14:paraId="566D0F50">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635" w:type="dxa"/>
            <w:noWrap w:val="0"/>
            <w:vAlign w:val="top"/>
          </w:tcPr>
          <w:p w14:paraId="5317953E">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1687" w:type="dxa"/>
            <w:noWrap w:val="0"/>
            <w:vAlign w:val="top"/>
          </w:tcPr>
          <w:p w14:paraId="6EB8861A">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r>
      <w:tr w14:paraId="1E30FC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636" w:type="dxa"/>
            <w:noWrap w:val="0"/>
            <w:vAlign w:val="top"/>
          </w:tcPr>
          <w:p w14:paraId="7E417AA7">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1685" w:type="dxa"/>
            <w:noWrap w:val="0"/>
            <w:vAlign w:val="top"/>
          </w:tcPr>
          <w:p w14:paraId="188BD916">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69165A40">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114DC0C0">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2E10CC91">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1" w:type="dxa"/>
            <w:noWrap w:val="0"/>
            <w:vAlign w:val="top"/>
          </w:tcPr>
          <w:p w14:paraId="2D351586">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635" w:type="dxa"/>
            <w:noWrap w:val="0"/>
            <w:vAlign w:val="top"/>
          </w:tcPr>
          <w:p w14:paraId="2933072E">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1687" w:type="dxa"/>
            <w:noWrap w:val="0"/>
            <w:vAlign w:val="top"/>
          </w:tcPr>
          <w:p w14:paraId="7C90FAA3">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r>
      <w:tr w14:paraId="6CA4A9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636" w:type="dxa"/>
            <w:noWrap w:val="0"/>
            <w:vAlign w:val="top"/>
          </w:tcPr>
          <w:p w14:paraId="5647EB92">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1685" w:type="dxa"/>
            <w:noWrap w:val="0"/>
            <w:vAlign w:val="top"/>
          </w:tcPr>
          <w:p w14:paraId="5F2F5FE0">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5CB1D7BB">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7B76B254">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7F9C0C5E">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1" w:type="dxa"/>
            <w:noWrap w:val="0"/>
            <w:vAlign w:val="top"/>
          </w:tcPr>
          <w:p w14:paraId="49A4F853">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635" w:type="dxa"/>
            <w:noWrap w:val="0"/>
            <w:vAlign w:val="top"/>
          </w:tcPr>
          <w:p w14:paraId="150F7ABB">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1687" w:type="dxa"/>
            <w:noWrap w:val="0"/>
            <w:vAlign w:val="top"/>
          </w:tcPr>
          <w:p w14:paraId="7AEBE54B">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r>
      <w:tr w14:paraId="6742BF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636" w:type="dxa"/>
            <w:noWrap w:val="0"/>
            <w:vAlign w:val="top"/>
          </w:tcPr>
          <w:p w14:paraId="23C7F3D7">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1685" w:type="dxa"/>
            <w:noWrap w:val="0"/>
            <w:vAlign w:val="top"/>
          </w:tcPr>
          <w:p w14:paraId="2561847A">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6F58E035">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082D5AEE">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283A441F">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1" w:type="dxa"/>
            <w:noWrap w:val="0"/>
            <w:vAlign w:val="top"/>
          </w:tcPr>
          <w:p w14:paraId="67CB75E5">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635" w:type="dxa"/>
            <w:noWrap w:val="0"/>
            <w:vAlign w:val="top"/>
          </w:tcPr>
          <w:p w14:paraId="25EE40E3">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1687" w:type="dxa"/>
            <w:noWrap w:val="0"/>
            <w:vAlign w:val="top"/>
          </w:tcPr>
          <w:p w14:paraId="045D3074">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r>
      <w:tr w14:paraId="4CEE8C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7" w:hRule="atLeast"/>
        </w:trPr>
        <w:tc>
          <w:tcPr>
            <w:tcW w:w="636" w:type="dxa"/>
            <w:noWrap w:val="0"/>
            <w:vAlign w:val="top"/>
          </w:tcPr>
          <w:p w14:paraId="1A7D3E42">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1685" w:type="dxa"/>
            <w:noWrap w:val="0"/>
            <w:vAlign w:val="top"/>
          </w:tcPr>
          <w:p w14:paraId="2D85259C">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2EFFCCF0">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58866018">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4F12450F">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1" w:type="dxa"/>
            <w:noWrap w:val="0"/>
            <w:vAlign w:val="top"/>
          </w:tcPr>
          <w:p w14:paraId="098873EA">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635" w:type="dxa"/>
            <w:noWrap w:val="0"/>
            <w:vAlign w:val="top"/>
          </w:tcPr>
          <w:p w14:paraId="5BED412F">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1687" w:type="dxa"/>
            <w:noWrap w:val="0"/>
            <w:vAlign w:val="top"/>
          </w:tcPr>
          <w:p w14:paraId="38F42FF3">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r>
      <w:tr w14:paraId="103B1D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636" w:type="dxa"/>
            <w:noWrap w:val="0"/>
            <w:vAlign w:val="top"/>
          </w:tcPr>
          <w:p w14:paraId="12FFBFF3">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1685" w:type="dxa"/>
            <w:noWrap w:val="0"/>
            <w:vAlign w:val="top"/>
          </w:tcPr>
          <w:p w14:paraId="709407C5">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7ABAEF58">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4083BF8F">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721E6B76">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1" w:type="dxa"/>
            <w:noWrap w:val="0"/>
            <w:vAlign w:val="top"/>
          </w:tcPr>
          <w:p w14:paraId="4868A90A">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635" w:type="dxa"/>
            <w:noWrap w:val="0"/>
            <w:vAlign w:val="top"/>
          </w:tcPr>
          <w:p w14:paraId="437C9742">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1687" w:type="dxa"/>
            <w:noWrap w:val="0"/>
            <w:vAlign w:val="top"/>
          </w:tcPr>
          <w:p w14:paraId="26717989">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r>
      <w:tr w14:paraId="655B84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636" w:type="dxa"/>
            <w:noWrap w:val="0"/>
            <w:vAlign w:val="top"/>
          </w:tcPr>
          <w:p w14:paraId="46294BA1">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1685" w:type="dxa"/>
            <w:noWrap w:val="0"/>
            <w:vAlign w:val="top"/>
          </w:tcPr>
          <w:p w14:paraId="0C7BEA66">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1D086C55">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37363F85">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5BA4E570">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1" w:type="dxa"/>
            <w:noWrap w:val="0"/>
            <w:vAlign w:val="top"/>
          </w:tcPr>
          <w:p w14:paraId="5CDD6DF0">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635" w:type="dxa"/>
            <w:noWrap w:val="0"/>
            <w:vAlign w:val="top"/>
          </w:tcPr>
          <w:p w14:paraId="0A79467E">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1687" w:type="dxa"/>
            <w:noWrap w:val="0"/>
            <w:vAlign w:val="top"/>
          </w:tcPr>
          <w:p w14:paraId="4A4DB449">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r>
      <w:tr w14:paraId="68F19F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636" w:type="dxa"/>
            <w:noWrap w:val="0"/>
            <w:vAlign w:val="top"/>
          </w:tcPr>
          <w:p w14:paraId="5E23DF59">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1685" w:type="dxa"/>
            <w:noWrap w:val="0"/>
            <w:vAlign w:val="top"/>
          </w:tcPr>
          <w:p w14:paraId="77C4EA1C">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7E8C084E">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6CCAEF77">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207FDC30">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1" w:type="dxa"/>
            <w:noWrap w:val="0"/>
            <w:vAlign w:val="top"/>
          </w:tcPr>
          <w:p w14:paraId="2E0DFC1C">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635" w:type="dxa"/>
            <w:noWrap w:val="0"/>
            <w:vAlign w:val="top"/>
          </w:tcPr>
          <w:p w14:paraId="4245AA05">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1687" w:type="dxa"/>
            <w:noWrap w:val="0"/>
            <w:vAlign w:val="top"/>
          </w:tcPr>
          <w:p w14:paraId="23394D95">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r>
      <w:tr w14:paraId="686186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636" w:type="dxa"/>
            <w:noWrap w:val="0"/>
            <w:vAlign w:val="top"/>
          </w:tcPr>
          <w:p w14:paraId="347B666E">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1685" w:type="dxa"/>
            <w:noWrap w:val="0"/>
            <w:vAlign w:val="top"/>
          </w:tcPr>
          <w:p w14:paraId="7A6D32CB">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0AFF1F60">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5AC10167">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4" w:type="dxa"/>
            <w:noWrap w:val="0"/>
            <w:vAlign w:val="top"/>
          </w:tcPr>
          <w:p w14:paraId="461512A3">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791" w:type="dxa"/>
            <w:noWrap w:val="0"/>
            <w:vAlign w:val="top"/>
          </w:tcPr>
          <w:p w14:paraId="2C4ACBA6">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635" w:type="dxa"/>
            <w:noWrap w:val="0"/>
            <w:vAlign w:val="top"/>
          </w:tcPr>
          <w:p w14:paraId="467FD5B4">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c>
          <w:tcPr>
            <w:tcW w:w="1687" w:type="dxa"/>
            <w:noWrap w:val="0"/>
            <w:vAlign w:val="top"/>
          </w:tcPr>
          <w:p w14:paraId="21AD1327">
            <w:pPr>
              <w:pStyle w:val="95"/>
              <w:keepNext w:val="0"/>
              <w:keepLines w:val="0"/>
              <w:suppressLineNumbers w:val="0"/>
              <w:adjustRightInd w:val="0"/>
              <w:snapToGrid w:val="0"/>
              <w:spacing w:before="0" w:beforeAutospacing="0" w:after="0" w:afterAutospacing="0" w:line="560" w:lineRule="exact"/>
              <w:ind w:left="0" w:right="0"/>
              <w:rPr>
                <w:rFonts w:hint="default" w:ascii="Times New Roman"/>
                <w:color w:val="auto"/>
                <w:sz w:val="20"/>
                <w:highlight w:val="none"/>
              </w:rPr>
            </w:pPr>
          </w:p>
        </w:tc>
      </w:tr>
    </w:tbl>
    <w:p w14:paraId="19560948">
      <w:pPr>
        <w:pStyle w:val="20"/>
        <w:adjustRightInd w:val="0"/>
        <w:snapToGrid w:val="0"/>
        <w:spacing w:after="0" w:line="560" w:lineRule="exact"/>
        <w:ind w:firstLine="420"/>
        <w:rPr>
          <w:color w:val="auto"/>
          <w:highlight w:val="none"/>
        </w:rPr>
      </w:pPr>
      <w:r>
        <w:rPr>
          <w:color w:val="auto"/>
          <w:highlight w:val="none"/>
        </w:rPr>
        <w:t>注：</w:t>
      </w:r>
      <w:r>
        <w:rPr>
          <w:rFonts w:hint="eastAsia"/>
          <w:color w:val="auto"/>
          <w:highlight w:val="none"/>
        </w:rPr>
        <w:t>1、</w:t>
      </w:r>
      <w:r>
        <w:rPr>
          <w:color w:val="auto"/>
          <w:highlight w:val="none"/>
        </w:rPr>
        <w:t>本表仅针对不采用招标人推荐品牌，采用其他品牌的投标人填写，并注明并提供相关技术参数、业绩等供评标委员会评审，未在上表中注明且未提供相关技术参数、业绩，或经评标委员会评审未通过的，中标后只能从招标人推荐品牌中进行选择，价格不予调整。</w:t>
      </w:r>
    </w:p>
    <w:p w14:paraId="53412167">
      <w:pPr>
        <w:pStyle w:val="68"/>
        <w:tabs>
          <w:tab w:val="left" w:pos="1319"/>
        </w:tabs>
        <w:adjustRightInd w:val="0"/>
        <w:snapToGrid w:val="0"/>
        <w:spacing w:line="560" w:lineRule="exact"/>
        <w:ind w:left="0" w:firstLine="408" w:firstLineChars="200"/>
        <w:rPr>
          <w:color w:val="auto"/>
          <w:highlight w:val="none"/>
        </w:rPr>
        <w:sectPr>
          <w:pgSz w:w="11910" w:h="16840"/>
          <w:pgMar w:top="1060" w:right="660" w:bottom="1020" w:left="1120" w:header="0" w:footer="833" w:gutter="0"/>
          <w:cols w:space="720" w:num="1"/>
        </w:sectPr>
      </w:pPr>
      <w:r>
        <w:rPr>
          <w:rFonts w:hint="eastAsia"/>
          <w:color w:val="auto"/>
          <w:spacing w:val="-3"/>
          <w:highlight w:val="none"/>
        </w:rPr>
        <w:t>2、</w:t>
      </w:r>
      <w:r>
        <w:rPr>
          <w:color w:val="auto"/>
          <w:spacing w:val="-3"/>
          <w:highlight w:val="none"/>
        </w:rPr>
        <w:t>对于招标人推荐品牌的材料、设备等，投标人如认为招标人推荐的品牌有限定性、唯一性、明显不在同一档次等级的或者其他疑问的，应在本项目</w:t>
      </w:r>
      <w:r>
        <w:rPr>
          <w:rFonts w:hint="eastAsia"/>
          <w:color w:val="auto"/>
          <w:spacing w:val="-3"/>
          <w:highlight w:val="none"/>
        </w:rPr>
        <w:t>异议</w:t>
      </w:r>
      <w:r>
        <w:rPr>
          <w:color w:val="auto"/>
          <w:spacing w:val="-3"/>
          <w:highlight w:val="none"/>
        </w:rPr>
        <w:t>提出的截止时间前通过电子交易系统</w:t>
      </w:r>
      <w:r>
        <w:rPr>
          <w:rFonts w:hint="eastAsia"/>
          <w:color w:val="auto"/>
          <w:spacing w:val="-3"/>
          <w:highlight w:val="none"/>
        </w:rPr>
        <w:t>向招标人提出。</w:t>
      </w:r>
    </w:p>
    <w:bookmarkEnd w:id="7"/>
    <w:bookmarkEnd w:id="8"/>
    <w:bookmarkEnd w:id="9"/>
    <w:bookmarkEnd w:id="10"/>
    <w:bookmarkEnd w:id="11"/>
    <w:bookmarkEnd w:id="869"/>
    <w:bookmarkEnd w:id="870"/>
    <w:bookmarkEnd w:id="871"/>
    <w:bookmarkEnd w:id="872"/>
    <w:p w14:paraId="2D8C6F17">
      <w:pPr>
        <w:pStyle w:val="43"/>
        <w:spacing w:beforeLines="50" w:afterLines="50" w:line="440" w:lineRule="exact"/>
        <w:rPr>
          <w:bCs/>
          <w:color w:val="auto"/>
          <w:szCs w:val="32"/>
          <w:highlight w:val="none"/>
        </w:rPr>
      </w:pPr>
      <w:bookmarkStart w:id="876" w:name="_Toc78803402"/>
      <w:bookmarkStart w:id="877" w:name="_Toc29114"/>
      <w:bookmarkStart w:id="878" w:name="_Toc8955"/>
      <w:bookmarkStart w:id="879" w:name="_Toc15593"/>
      <w:r>
        <w:rPr>
          <w:rFonts w:hint="eastAsia"/>
          <w:bCs/>
          <w:color w:val="auto"/>
          <w:szCs w:val="32"/>
          <w:highlight w:val="none"/>
        </w:rPr>
        <w:t>第</w:t>
      </w:r>
      <w:r>
        <w:rPr>
          <w:rFonts w:hint="eastAsia"/>
          <w:bCs/>
          <w:color w:val="auto"/>
          <w:szCs w:val="32"/>
          <w:highlight w:val="none"/>
          <w:lang w:val="en-US" w:eastAsia="zh-CN"/>
        </w:rPr>
        <w:t>九</w:t>
      </w:r>
      <w:r>
        <w:rPr>
          <w:rFonts w:hint="eastAsia"/>
          <w:bCs/>
          <w:color w:val="auto"/>
          <w:szCs w:val="32"/>
          <w:highlight w:val="none"/>
        </w:rPr>
        <w:t>章  招标单位、招标代理机构对本招标文件的确认</w:t>
      </w:r>
      <w:bookmarkEnd w:id="876"/>
      <w:bookmarkEnd w:id="877"/>
      <w:bookmarkEnd w:id="878"/>
      <w:bookmarkEnd w:id="879"/>
    </w:p>
    <w:p w14:paraId="0996AC4A">
      <w:pPr>
        <w:pStyle w:val="20"/>
        <w:rPr>
          <w:color w:val="auto"/>
          <w:highlight w:val="none"/>
        </w:rPr>
      </w:pPr>
    </w:p>
    <w:tbl>
      <w:tblPr>
        <w:tblStyle w:val="46"/>
        <w:tblW w:w="95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0"/>
      </w:tblGrid>
      <w:tr w14:paraId="325DD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9" w:hRule="atLeast"/>
          <w:jc w:val="center"/>
        </w:trPr>
        <w:tc>
          <w:tcPr>
            <w:tcW w:w="9580" w:type="dxa"/>
            <w:noWrap/>
          </w:tcPr>
          <w:p w14:paraId="21D4F878">
            <w:pPr>
              <w:keepNext w:val="0"/>
              <w:keepLines w:val="0"/>
              <w:suppressLineNumbers w:val="0"/>
              <w:wordWrap w:val="0"/>
              <w:adjustRightInd w:val="0"/>
              <w:snapToGrid w:val="0"/>
              <w:spacing w:before="0" w:beforeAutospacing="0" w:after="0" w:afterAutospacing="0" w:line="560" w:lineRule="exact"/>
              <w:ind w:left="0" w:right="0"/>
              <w:rPr>
                <w:rFonts w:hint="default"/>
                <w:color w:val="auto"/>
                <w:sz w:val="30"/>
                <w:highlight w:val="none"/>
              </w:rPr>
            </w:pPr>
          </w:p>
          <w:p w14:paraId="5F7814F0">
            <w:pPr>
              <w:keepNext w:val="0"/>
              <w:keepLines w:val="0"/>
              <w:suppressLineNumbers w:val="0"/>
              <w:spacing w:before="0" w:beforeAutospacing="0" w:after="0" w:afterAutospacing="0" w:line="560" w:lineRule="exact"/>
              <w:ind w:left="0" w:right="0" w:firstLine="560" w:firstLineChars="200"/>
              <w:rPr>
                <w:rFonts w:hint="default"/>
                <w:color w:val="auto"/>
                <w:sz w:val="28"/>
                <w:szCs w:val="28"/>
                <w:highlight w:val="none"/>
              </w:rPr>
            </w:pPr>
            <w:r>
              <w:rPr>
                <w:rFonts w:hint="eastAsia"/>
                <w:color w:val="auto"/>
                <w:sz w:val="28"/>
                <w:szCs w:val="28"/>
                <w:highlight w:val="none"/>
              </w:rPr>
              <w:t>我单位对</w:t>
            </w:r>
            <w:r>
              <w:rPr>
                <w:rFonts w:hint="eastAsia"/>
                <w:color w:val="auto"/>
                <w:sz w:val="28"/>
                <w:szCs w:val="28"/>
                <w:highlight w:val="none"/>
                <w:u w:val="single"/>
              </w:rPr>
              <w:t xml:space="preserve"> </w:t>
            </w:r>
            <w:r>
              <w:rPr>
                <w:rFonts w:hint="eastAsia"/>
                <w:color w:val="auto"/>
                <w:sz w:val="28"/>
                <w:szCs w:val="28"/>
                <w:highlight w:val="none"/>
                <w:u w:val="single"/>
                <w:lang w:eastAsia="zh-CN"/>
              </w:rPr>
              <w:t>公共停车场光伏车棚项目</w:t>
            </w:r>
            <w:r>
              <w:rPr>
                <w:rFonts w:hint="eastAsia"/>
                <w:color w:val="auto"/>
                <w:sz w:val="28"/>
                <w:szCs w:val="28"/>
                <w:highlight w:val="none"/>
                <w:u w:val="single"/>
              </w:rPr>
              <w:t xml:space="preserve"> </w:t>
            </w:r>
            <w:r>
              <w:rPr>
                <w:rFonts w:hint="eastAsia"/>
                <w:color w:val="auto"/>
                <w:sz w:val="28"/>
                <w:szCs w:val="28"/>
                <w:highlight w:val="none"/>
              </w:rPr>
              <w:t>的招标文件进行确认。</w:t>
            </w:r>
          </w:p>
          <w:p w14:paraId="40F38F21">
            <w:pPr>
              <w:keepNext w:val="0"/>
              <w:keepLines w:val="0"/>
              <w:suppressLineNumbers w:val="0"/>
              <w:spacing w:before="0" w:beforeAutospacing="0" w:after="0" w:afterAutospacing="0" w:line="560" w:lineRule="exact"/>
              <w:ind w:left="0" w:right="0" w:firstLine="560" w:firstLineChars="200"/>
              <w:rPr>
                <w:rFonts w:hint="eastAsia" w:ascii="宋体" w:hAnsi="宋体"/>
                <w:color w:val="auto"/>
                <w:sz w:val="28"/>
                <w:szCs w:val="28"/>
                <w:highlight w:val="none"/>
              </w:rPr>
            </w:pPr>
            <w:r>
              <w:rPr>
                <w:rFonts w:hint="eastAsia" w:ascii="宋体" w:hAnsi="宋体"/>
                <w:color w:val="auto"/>
                <w:sz w:val="28"/>
                <w:szCs w:val="28"/>
                <w:highlight w:val="none"/>
                <w:lang w:val="en-US" w:eastAsia="zh-CN"/>
              </w:rPr>
              <w:t>招标人</w:t>
            </w:r>
            <w:r>
              <w:rPr>
                <w:rFonts w:hint="eastAsia" w:ascii="宋体" w:hAnsi="宋体"/>
                <w:color w:val="auto"/>
                <w:sz w:val="28"/>
                <w:szCs w:val="28"/>
                <w:highlight w:val="none"/>
              </w:rPr>
              <w:t>：</w:t>
            </w:r>
            <w:r>
              <w:rPr>
                <w:rFonts w:hint="eastAsia" w:ascii="宋体" w:hAnsi="宋体"/>
                <w:color w:val="auto"/>
                <w:sz w:val="28"/>
                <w:szCs w:val="28"/>
                <w:highlight w:val="none"/>
                <w:lang w:eastAsia="zh-CN"/>
              </w:rPr>
              <w:t>滁州工投新能源开发有限公司</w:t>
            </w:r>
            <w:r>
              <w:rPr>
                <w:rFonts w:hint="eastAsia" w:ascii="宋体" w:hAnsi="宋体"/>
                <w:color w:val="auto"/>
                <w:sz w:val="28"/>
                <w:szCs w:val="28"/>
                <w:highlight w:val="none"/>
              </w:rPr>
              <w:t xml:space="preserve">  </w:t>
            </w:r>
          </w:p>
          <w:p w14:paraId="685BB265">
            <w:pPr>
              <w:keepNext w:val="0"/>
              <w:keepLines w:val="0"/>
              <w:suppressLineNumbers w:val="0"/>
              <w:spacing w:before="0" w:beforeAutospacing="0" w:after="0" w:afterAutospacing="0" w:line="560" w:lineRule="exact"/>
              <w:ind w:left="0" w:right="0" w:firstLine="560" w:firstLineChars="200"/>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rPr>
              <w:t>联 系 人：</w:t>
            </w:r>
            <w:r>
              <w:rPr>
                <w:rFonts w:hint="eastAsia" w:ascii="宋体" w:hAnsi="宋体" w:eastAsia="宋体" w:cs="宋体"/>
                <w:color w:val="auto"/>
                <w:sz w:val="28"/>
                <w:szCs w:val="28"/>
                <w:highlight w:val="none"/>
                <w:lang w:val="en-US" w:eastAsia="zh-CN"/>
              </w:rPr>
              <w:t>王春奇</w:t>
            </w:r>
          </w:p>
          <w:p w14:paraId="158E690D">
            <w:pPr>
              <w:keepNext w:val="0"/>
              <w:keepLines w:val="0"/>
              <w:suppressLineNumbers w:val="0"/>
              <w:spacing w:before="0" w:beforeAutospacing="0" w:after="0" w:afterAutospacing="0" w:line="560" w:lineRule="exact"/>
              <w:ind w:left="0" w:right="0" w:firstLine="560" w:firstLineChars="200"/>
              <w:rPr>
                <w:rFonts w:hint="eastAsia" w:ascii="宋体" w:hAnsi="宋体" w:eastAsia="宋体" w:cs="宋体"/>
                <w:color w:val="auto"/>
                <w:sz w:val="28"/>
                <w:szCs w:val="28"/>
                <w:highlight w:val="none"/>
                <w:lang w:eastAsia="zh-CN"/>
              </w:rPr>
            </w:pPr>
            <w:r>
              <w:rPr>
                <w:rFonts w:hint="eastAsia" w:ascii="宋体" w:hAnsi="宋体" w:eastAsia="宋体" w:cs="Times New Roman"/>
                <w:color w:val="auto"/>
                <w:sz w:val="28"/>
                <w:szCs w:val="28"/>
                <w:highlight w:val="none"/>
              </w:rPr>
              <w:t>联系电话：</w:t>
            </w:r>
            <w:r>
              <w:rPr>
                <w:rFonts w:hint="eastAsia" w:ascii="宋体" w:hAnsi="宋体" w:eastAsia="宋体" w:cs="宋体"/>
                <w:color w:val="auto"/>
                <w:sz w:val="28"/>
                <w:szCs w:val="28"/>
                <w:highlight w:val="none"/>
                <w:lang w:eastAsia="zh-CN"/>
              </w:rPr>
              <w:t>0550-3018358</w:t>
            </w:r>
          </w:p>
          <w:p w14:paraId="549EAF3C">
            <w:pPr>
              <w:keepNext w:val="0"/>
              <w:keepLines w:val="0"/>
              <w:suppressLineNumbers w:val="0"/>
              <w:spacing w:before="0" w:beforeAutospacing="0" w:after="0" w:afterAutospacing="0" w:line="560" w:lineRule="exact"/>
              <w:ind w:left="0" w:right="0"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监督电话：0550-3017855</w:t>
            </w:r>
          </w:p>
          <w:p w14:paraId="715B8131">
            <w:pPr>
              <w:keepNext w:val="0"/>
              <w:keepLines w:val="0"/>
              <w:suppressLineNumbers w:val="0"/>
              <w:wordWrap w:val="0"/>
              <w:spacing w:before="0" w:beforeAutospacing="0" w:after="0" w:afterAutospacing="0" w:line="560" w:lineRule="exact"/>
              <w:ind w:left="0" w:right="0" w:firstLine="560" w:firstLineChars="200"/>
              <w:rPr>
                <w:rFonts w:hint="default" w:ascii="宋体" w:hAnsi="宋体"/>
                <w:color w:val="auto"/>
                <w:sz w:val="28"/>
                <w:szCs w:val="28"/>
                <w:highlight w:val="none"/>
              </w:rPr>
            </w:pPr>
            <w:r>
              <w:rPr>
                <w:rFonts w:hint="eastAsia" w:ascii="宋体" w:hAnsi="宋体"/>
                <w:color w:val="auto"/>
                <w:sz w:val="28"/>
                <w:szCs w:val="28"/>
                <w:highlight w:val="none"/>
              </w:rPr>
              <w:t xml:space="preserve">    </w:t>
            </w:r>
            <w:r>
              <w:rPr>
                <w:rFonts w:hint="eastAsia" w:ascii="宋体" w:hAnsi="宋体"/>
                <w:color w:val="auto"/>
                <w:sz w:val="28"/>
                <w:szCs w:val="28"/>
                <w:highlight w:val="none"/>
                <w:lang w:val="en-US" w:eastAsia="zh-CN"/>
              </w:rPr>
              <w:t xml:space="preserve">    </w:t>
            </w:r>
          </w:p>
          <w:p w14:paraId="3B06753D">
            <w:pPr>
              <w:keepNext w:val="0"/>
              <w:keepLines w:val="0"/>
              <w:suppressLineNumbers w:val="0"/>
              <w:wordWrap w:val="0"/>
              <w:spacing w:before="0" w:beforeAutospacing="0" w:after="0" w:afterAutospacing="0" w:line="560" w:lineRule="exact"/>
              <w:ind w:left="0" w:right="0" w:firstLine="560" w:firstLineChars="200"/>
              <w:rPr>
                <w:rFonts w:hint="default" w:ascii="宋体" w:hAnsi="宋体"/>
                <w:color w:val="auto"/>
                <w:sz w:val="28"/>
                <w:szCs w:val="28"/>
                <w:highlight w:val="none"/>
              </w:rPr>
            </w:pPr>
          </w:p>
          <w:p w14:paraId="1F1A8FD4">
            <w:pPr>
              <w:keepNext w:val="0"/>
              <w:keepLines w:val="0"/>
              <w:suppressLineNumbers w:val="0"/>
              <w:wordWrap w:val="0"/>
              <w:spacing w:before="0" w:beforeAutospacing="0" w:after="0" w:afterAutospacing="0" w:line="560" w:lineRule="exact"/>
              <w:ind w:left="0" w:right="0" w:firstLine="560" w:firstLineChars="200"/>
              <w:rPr>
                <w:rFonts w:hint="default" w:ascii="宋体" w:hAnsi="宋体"/>
                <w:color w:val="auto"/>
                <w:sz w:val="28"/>
                <w:szCs w:val="28"/>
                <w:highlight w:val="none"/>
              </w:rPr>
            </w:pPr>
          </w:p>
          <w:p w14:paraId="10C2E89E">
            <w:pPr>
              <w:keepNext w:val="0"/>
              <w:keepLines w:val="0"/>
              <w:suppressLineNumbers w:val="0"/>
              <w:wordWrap w:val="0"/>
              <w:spacing w:before="0" w:beforeAutospacing="0" w:after="0" w:afterAutospacing="0" w:line="560" w:lineRule="exact"/>
              <w:ind w:left="0" w:right="0" w:firstLine="5740" w:firstLineChars="2050"/>
              <w:rPr>
                <w:rFonts w:hint="default" w:ascii="宋体" w:hAnsi="宋体"/>
                <w:color w:val="auto"/>
                <w:sz w:val="28"/>
                <w:szCs w:val="28"/>
                <w:highlight w:val="none"/>
              </w:rPr>
            </w:pPr>
            <w:r>
              <w:rPr>
                <w:rFonts w:hint="eastAsia" w:ascii="宋体" w:hAnsi="宋体"/>
                <w:color w:val="auto"/>
                <w:sz w:val="28"/>
                <w:szCs w:val="28"/>
                <w:highlight w:val="none"/>
              </w:rPr>
              <w:t>（单位盖章）</w:t>
            </w:r>
          </w:p>
          <w:p w14:paraId="31BC1CD6">
            <w:pPr>
              <w:keepNext w:val="0"/>
              <w:keepLines w:val="0"/>
              <w:suppressLineNumbers w:val="0"/>
              <w:spacing w:before="0" w:beforeAutospacing="0" w:after="0" w:afterAutospacing="0" w:line="560" w:lineRule="exact"/>
              <w:ind w:left="0" w:right="0" w:firstLine="5880" w:firstLineChars="2100"/>
              <w:rPr>
                <w:rFonts w:hint="default" w:ascii="宋体" w:hAnsi="宋体"/>
                <w:color w:val="auto"/>
                <w:sz w:val="28"/>
                <w:szCs w:val="28"/>
                <w:highlight w:val="none"/>
              </w:rPr>
            </w:pPr>
            <w:r>
              <w:rPr>
                <w:rFonts w:hint="eastAsia" w:ascii="宋体" w:hAnsi="宋体"/>
                <w:color w:val="auto"/>
                <w:sz w:val="28"/>
                <w:szCs w:val="28"/>
                <w:highlight w:val="none"/>
              </w:rPr>
              <w:t>202</w:t>
            </w:r>
            <w:r>
              <w:rPr>
                <w:rFonts w:hint="eastAsia" w:ascii="宋体" w:hAnsi="宋体"/>
                <w:color w:val="auto"/>
                <w:sz w:val="28"/>
                <w:szCs w:val="28"/>
                <w:highlight w:val="none"/>
                <w:lang w:val="en-US" w:eastAsia="zh-CN"/>
              </w:rPr>
              <w:t>5</w:t>
            </w:r>
            <w:r>
              <w:rPr>
                <w:rFonts w:hint="eastAsia" w:ascii="宋体" w:hAnsi="宋体"/>
                <w:color w:val="auto"/>
                <w:sz w:val="28"/>
                <w:szCs w:val="28"/>
                <w:highlight w:val="none"/>
              </w:rPr>
              <w:t>年</w:t>
            </w:r>
            <w:r>
              <w:rPr>
                <w:rFonts w:hint="eastAsia" w:ascii="宋体" w:hAnsi="宋体"/>
                <w:color w:val="auto"/>
                <w:sz w:val="28"/>
                <w:szCs w:val="28"/>
                <w:highlight w:val="none"/>
                <w:lang w:val="en-US" w:eastAsia="zh-CN"/>
              </w:rPr>
              <w:t>3</w:t>
            </w:r>
            <w:r>
              <w:rPr>
                <w:rFonts w:hint="eastAsia" w:ascii="宋体" w:hAnsi="宋体"/>
                <w:color w:val="auto"/>
                <w:sz w:val="28"/>
                <w:szCs w:val="28"/>
                <w:highlight w:val="none"/>
              </w:rPr>
              <w:t>月</w:t>
            </w:r>
          </w:p>
          <w:p w14:paraId="5803FBA5">
            <w:pPr>
              <w:pStyle w:val="2"/>
              <w:keepNext w:val="0"/>
              <w:keepLines w:val="0"/>
              <w:suppressLineNumbers w:val="0"/>
              <w:spacing w:before="0" w:beforeAutospacing="0" w:after="0" w:afterAutospacing="0"/>
              <w:ind w:right="0" w:firstLine="420"/>
              <w:rPr>
                <w:rFonts w:hint="default"/>
                <w:color w:val="auto"/>
                <w:highlight w:val="none"/>
              </w:rPr>
            </w:pPr>
          </w:p>
        </w:tc>
      </w:tr>
      <w:tr w14:paraId="1BF5F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6" w:hRule="atLeast"/>
          <w:jc w:val="center"/>
        </w:trPr>
        <w:tc>
          <w:tcPr>
            <w:tcW w:w="9580" w:type="dxa"/>
            <w:noWrap/>
          </w:tcPr>
          <w:p w14:paraId="309CACA6">
            <w:pPr>
              <w:keepNext w:val="0"/>
              <w:keepLines w:val="0"/>
              <w:suppressLineNumbers w:val="0"/>
              <w:spacing w:before="0" w:beforeAutospacing="0" w:after="0" w:afterAutospacing="0" w:line="560" w:lineRule="exact"/>
              <w:ind w:left="0" w:right="0" w:firstLine="560" w:firstLineChars="200"/>
              <w:rPr>
                <w:rFonts w:hint="default" w:ascii="宋体" w:hAnsi="宋体" w:cs="宋体"/>
                <w:color w:val="auto"/>
                <w:sz w:val="28"/>
                <w:szCs w:val="28"/>
                <w:highlight w:val="none"/>
              </w:rPr>
            </w:pPr>
          </w:p>
          <w:p w14:paraId="3ED76153">
            <w:pPr>
              <w:keepNext w:val="0"/>
              <w:keepLines w:val="0"/>
              <w:suppressLineNumbers w:val="0"/>
              <w:spacing w:before="0" w:beforeAutospacing="0" w:after="0" w:afterAutospacing="0" w:line="560" w:lineRule="exact"/>
              <w:ind w:left="0" w:right="0" w:firstLine="560" w:firstLineChars="200"/>
              <w:rPr>
                <w:rFonts w:hint="default" w:ascii="宋体" w:hAnsi="宋体" w:cs="宋体"/>
                <w:color w:val="auto"/>
                <w:sz w:val="28"/>
                <w:szCs w:val="28"/>
                <w:highlight w:val="none"/>
                <w:u w:val="single"/>
              </w:rPr>
            </w:pPr>
            <w:r>
              <w:rPr>
                <w:rFonts w:hint="eastAsia" w:ascii="宋体" w:hAnsi="宋体" w:cs="宋体"/>
                <w:color w:val="auto"/>
                <w:sz w:val="28"/>
                <w:szCs w:val="28"/>
                <w:highlight w:val="none"/>
              </w:rPr>
              <w:t>招标代理机构：</w:t>
            </w:r>
            <w:r>
              <w:rPr>
                <w:rFonts w:hint="eastAsia"/>
                <w:color w:val="auto"/>
                <w:sz w:val="28"/>
                <w:szCs w:val="28"/>
                <w:highlight w:val="none"/>
              </w:rPr>
              <w:t>滁州市城投工程咨询管理有限公司</w:t>
            </w:r>
          </w:p>
          <w:p w14:paraId="166F8D3F">
            <w:pPr>
              <w:keepNext w:val="0"/>
              <w:keepLines w:val="0"/>
              <w:suppressLineNumbers w:val="0"/>
              <w:spacing w:before="0" w:beforeAutospacing="0" w:after="0" w:afterAutospacing="0" w:line="560" w:lineRule="exact"/>
              <w:ind w:left="0" w:right="0" w:firstLine="560" w:firstLineChars="200"/>
              <w:rPr>
                <w:rFonts w:hint="eastAsia" w:ascii="宋体" w:hAnsi="宋体" w:eastAsia="宋体" w:cs="宋体"/>
                <w:color w:val="auto"/>
                <w:sz w:val="28"/>
                <w:szCs w:val="28"/>
                <w:highlight w:val="none"/>
                <w:lang w:eastAsia="zh-CN"/>
              </w:rPr>
            </w:pPr>
            <w:r>
              <w:rPr>
                <w:rFonts w:hint="eastAsia" w:ascii="宋体" w:hAnsi="宋体" w:cs="宋体"/>
                <w:color w:val="auto"/>
                <w:sz w:val="28"/>
                <w:szCs w:val="28"/>
                <w:highlight w:val="none"/>
              </w:rPr>
              <w:t>联 系 人：</w:t>
            </w:r>
            <w:r>
              <w:rPr>
                <w:rFonts w:hint="eastAsia" w:ascii="宋体" w:hAnsi="宋体" w:cs="宋体"/>
                <w:color w:val="auto"/>
                <w:sz w:val="28"/>
                <w:szCs w:val="28"/>
                <w:highlight w:val="none"/>
                <w:lang w:val="en-US" w:eastAsia="zh-CN"/>
              </w:rPr>
              <w:t>王芳</w:t>
            </w:r>
          </w:p>
          <w:p w14:paraId="5DEB24BA">
            <w:pPr>
              <w:keepNext w:val="0"/>
              <w:keepLines w:val="0"/>
              <w:suppressLineNumbers w:val="0"/>
              <w:spacing w:before="0" w:beforeAutospacing="0" w:after="0" w:afterAutospacing="0" w:line="560" w:lineRule="exact"/>
              <w:ind w:left="0" w:right="0" w:firstLine="560" w:firstLineChars="200"/>
              <w:rPr>
                <w:rFonts w:hint="default" w:ascii="宋体" w:hAnsi="宋体" w:eastAsia="宋体" w:cs="宋体"/>
                <w:color w:val="auto"/>
                <w:sz w:val="28"/>
                <w:szCs w:val="28"/>
                <w:highlight w:val="none"/>
                <w:lang w:val="en-US" w:eastAsia="zh-CN"/>
              </w:rPr>
            </w:pPr>
            <w:r>
              <w:rPr>
                <w:rFonts w:hint="eastAsia" w:ascii="宋体" w:hAnsi="宋体" w:cs="宋体"/>
                <w:color w:val="auto"/>
                <w:sz w:val="28"/>
                <w:szCs w:val="28"/>
                <w:highlight w:val="none"/>
              </w:rPr>
              <w:t>联系方式：0550-351951</w:t>
            </w:r>
            <w:r>
              <w:rPr>
                <w:rFonts w:hint="eastAsia" w:ascii="宋体" w:hAnsi="宋体" w:cs="宋体"/>
                <w:color w:val="auto"/>
                <w:sz w:val="28"/>
                <w:szCs w:val="28"/>
                <w:highlight w:val="none"/>
                <w:lang w:val="en-US" w:eastAsia="zh-CN"/>
              </w:rPr>
              <w:t>9、18955055067</w:t>
            </w:r>
          </w:p>
          <w:p w14:paraId="03191BE4">
            <w:pPr>
              <w:keepNext w:val="0"/>
              <w:keepLines w:val="0"/>
              <w:suppressLineNumbers w:val="0"/>
              <w:spacing w:before="0" w:beforeAutospacing="0" w:after="0" w:afterAutospacing="0" w:line="560" w:lineRule="exact"/>
              <w:ind w:left="0" w:right="0" w:firstLine="5040" w:firstLineChars="1800"/>
              <w:rPr>
                <w:rFonts w:hint="default" w:ascii="宋体" w:hAnsi="宋体" w:cs="宋体"/>
                <w:color w:val="auto"/>
                <w:sz w:val="28"/>
                <w:szCs w:val="28"/>
                <w:highlight w:val="none"/>
              </w:rPr>
            </w:pPr>
          </w:p>
          <w:p w14:paraId="1D35E9B8">
            <w:pPr>
              <w:keepNext w:val="0"/>
              <w:keepLines w:val="0"/>
              <w:suppressLineNumbers w:val="0"/>
              <w:spacing w:before="0" w:beforeAutospacing="0" w:after="0" w:afterAutospacing="0" w:line="560" w:lineRule="exact"/>
              <w:ind w:left="0" w:right="0" w:firstLine="5460" w:firstLineChars="1950"/>
              <w:rPr>
                <w:rFonts w:hint="default" w:ascii="宋体" w:hAnsi="宋体" w:cs="宋体"/>
                <w:color w:val="auto"/>
                <w:sz w:val="28"/>
                <w:szCs w:val="28"/>
                <w:highlight w:val="none"/>
              </w:rPr>
            </w:pPr>
          </w:p>
          <w:p w14:paraId="22DD66D2">
            <w:pPr>
              <w:keepNext w:val="0"/>
              <w:keepLines w:val="0"/>
              <w:suppressLineNumbers w:val="0"/>
              <w:spacing w:before="0" w:beforeAutospacing="0" w:after="0" w:afterAutospacing="0" w:line="560" w:lineRule="exact"/>
              <w:ind w:left="0" w:right="0" w:firstLine="5880" w:firstLineChars="2100"/>
              <w:rPr>
                <w:rFonts w:hint="default" w:ascii="宋体" w:hAnsi="宋体" w:cs="宋体"/>
                <w:color w:val="auto"/>
                <w:sz w:val="28"/>
                <w:szCs w:val="28"/>
                <w:highlight w:val="none"/>
              </w:rPr>
            </w:pPr>
            <w:r>
              <w:rPr>
                <w:rFonts w:hint="eastAsia" w:ascii="宋体" w:hAnsi="宋体" w:cs="宋体"/>
                <w:color w:val="auto"/>
                <w:sz w:val="28"/>
                <w:szCs w:val="28"/>
                <w:highlight w:val="none"/>
              </w:rPr>
              <w:t>（单位盖章）</w:t>
            </w:r>
          </w:p>
          <w:p w14:paraId="0CF0017F">
            <w:pPr>
              <w:keepNext w:val="0"/>
              <w:keepLines w:val="0"/>
              <w:suppressLineNumbers w:val="0"/>
              <w:spacing w:before="0" w:beforeAutospacing="0" w:after="0" w:afterAutospacing="0" w:line="560" w:lineRule="exact"/>
              <w:ind w:left="0" w:right="0" w:firstLine="6020" w:firstLineChars="2150"/>
              <w:rPr>
                <w:rFonts w:hint="default" w:ascii="宋体" w:hAnsi="宋体"/>
                <w:color w:val="auto"/>
                <w:sz w:val="28"/>
                <w:szCs w:val="28"/>
                <w:highlight w:val="none"/>
              </w:rPr>
            </w:pPr>
            <w:r>
              <w:rPr>
                <w:rFonts w:hint="eastAsia" w:ascii="宋体" w:hAnsi="宋体"/>
                <w:color w:val="auto"/>
                <w:sz w:val="28"/>
                <w:szCs w:val="28"/>
                <w:highlight w:val="none"/>
              </w:rPr>
              <w:t>202</w:t>
            </w:r>
            <w:r>
              <w:rPr>
                <w:rFonts w:hint="eastAsia" w:ascii="宋体" w:hAnsi="宋体"/>
                <w:color w:val="auto"/>
                <w:sz w:val="28"/>
                <w:szCs w:val="28"/>
                <w:highlight w:val="none"/>
                <w:lang w:val="en-US" w:eastAsia="zh-CN"/>
              </w:rPr>
              <w:t>5</w:t>
            </w:r>
            <w:r>
              <w:rPr>
                <w:rFonts w:hint="eastAsia" w:ascii="宋体" w:hAnsi="宋体"/>
                <w:color w:val="auto"/>
                <w:sz w:val="28"/>
                <w:szCs w:val="28"/>
                <w:highlight w:val="none"/>
              </w:rPr>
              <w:t>年</w:t>
            </w:r>
            <w:r>
              <w:rPr>
                <w:rFonts w:hint="eastAsia" w:ascii="宋体" w:hAnsi="宋体"/>
                <w:color w:val="auto"/>
                <w:sz w:val="28"/>
                <w:szCs w:val="28"/>
                <w:highlight w:val="none"/>
                <w:lang w:val="en-US" w:eastAsia="zh-CN"/>
              </w:rPr>
              <w:t>3</w:t>
            </w:r>
            <w:r>
              <w:rPr>
                <w:rFonts w:hint="eastAsia" w:ascii="宋体" w:hAnsi="宋体"/>
                <w:color w:val="auto"/>
                <w:sz w:val="28"/>
                <w:szCs w:val="28"/>
                <w:highlight w:val="none"/>
              </w:rPr>
              <w:t>月</w:t>
            </w:r>
          </w:p>
          <w:p w14:paraId="1CC6598A">
            <w:pPr>
              <w:pStyle w:val="2"/>
              <w:keepNext w:val="0"/>
              <w:keepLines w:val="0"/>
              <w:suppressLineNumbers w:val="0"/>
              <w:spacing w:before="0" w:beforeAutospacing="0" w:after="0" w:afterAutospacing="0"/>
              <w:ind w:right="0" w:firstLine="420"/>
              <w:rPr>
                <w:rFonts w:hint="default"/>
                <w:color w:val="auto"/>
                <w:highlight w:val="none"/>
              </w:rPr>
            </w:pPr>
          </w:p>
        </w:tc>
      </w:tr>
    </w:tbl>
    <w:p w14:paraId="285CACBD">
      <w:pPr>
        <w:rPr>
          <w:color w:val="auto"/>
          <w:highlight w:val="none"/>
        </w:rPr>
      </w:pPr>
    </w:p>
    <w:p w14:paraId="5AE56E4E">
      <w:pPr>
        <w:pStyle w:val="2"/>
        <w:rPr>
          <w:color w:val="auto"/>
          <w:highlight w:val="none"/>
        </w:rPr>
      </w:pPr>
    </w:p>
    <w:p w14:paraId="1242FB31">
      <w:pPr>
        <w:pStyle w:val="2"/>
        <w:ind w:left="0" w:leftChars="0" w:firstLine="0" w:firstLineChars="0"/>
      </w:pPr>
    </w:p>
    <w:sectPr>
      <w:headerReference r:id="rId10" w:type="default"/>
      <w:footerReference r:id="rId11" w:type="default"/>
      <w:pgSz w:w="11906" w:h="16838"/>
      <w:pgMar w:top="1134" w:right="1417" w:bottom="1134" w:left="141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华文细黑">
    <w:altName w:val="微软雅黑"/>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 w:name="方正小标宋简体">
    <w:altName w:val="黑体"/>
    <w:panose1 w:val="03000509000000000000"/>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17DC62">
    <w:pPr>
      <w:pStyle w:val="30"/>
      <w:rPr>
        <w:rStyle w:val="50"/>
      </w:rPr>
    </w:pPr>
  </w:p>
  <w:p w14:paraId="4BC879AD">
    <w:pPr>
      <w:pStyle w:val="3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F0A025">
    <w:pPr>
      <w:pStyle w:val="30"/>
      <w:rPr>
        <w:rStyle w:val="50"/>
      </w:rPr>
    </w:pPr>
  </w:p>
  <w:p w14:paraId="5DBF1A66">
    <w:pPr>
      <w:pStyle w:val="3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2E7B78">
    <w:pPr>
      <w:pStyle w:val="3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68593D9">
                          <w:pPr>
                            <w:pStyle w:val="30"/>
                          </w:pPr>
                          <w:r>
                            <w:fldChar w:fldCharType="begin"/>
                          </w:r>
                          <w:r>
                            <w:instrText xml:space="preserve"> PAGE  \* MERGEFORMAT </w:instrText>
                          </w:r>
                          <w:r>
                            <w:fldChar w:fldCharType="separate"/>
                          </w:r>
                          <w:r>
                            <w:t>38</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KLKOTSAQAAowMAAA4AAABkcnMvZTJvRG9jLnhtbK1TS27bMBDd&#10;F+gdCO5rKUb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oso5NIBAACjAwAADgAAAAAAAAABACAAAAAi&#10;AQAAZHJzL2Uyb0RvYy54bWxQSwUGAAAAAAYABgBZAQAAZgUAAAAA&#10;">
              <v:fill on="f" focussize="0,0"/>
              <v:stroke on="f" weight="1.25pt"/>
              <v:imagedata o:title=""/>
              <o:lock v:ext="edit" aspectratio="f"/>
              <v:textbox inset="0mm,0mm,0mm,0mm" style="mso-fit-shape-to-text:t;">
                <w:txbxContent>
                  <w:p w14:paraId="168593D9">
                    <w:pPr>
                      <w:pStyle w:val="30"/>
                    </w:pPr>
                    <w:r>
                      <w:fldChar w:fldCharType="begin"/>
                    </w:r>
                    <w:r>
                      <w:instrText xml:space="preserve"> PAGE  \* MERGEFORMAT </w:instrText>
                    </w:r>
                    <w:r>
                      <w:fldChar w:fldCharType="separate"/>
                    </w:r>
                    <w:r>
                      <w:t>38</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644A14">
    <w:pPr>
      <w:pStyle w:val="30"/>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BAFB717">
                          <w:pPr>
                            <w:pStyle w:val="30"/>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sVhPrSAQAAow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xWE+tIBAACjAwAADgAAAAAAAAABACAAAAAi&#10;AQAAZHJzL2Uyb0RvYy54bWxQSwUGAAAAAAYABgBZAQAAZgUAAAAA&#10;">
              <v:fill on="f" focussize="0,0"/>
              <v:stroke on="f" weight="1.25pt"/>
              <v:imagedata o:title=""/>
              <o:lock v:ext="edit" aspectratio="f"/>
              <v:textbox inset="0mm,0mm,0mm,0mm" style="mso-fit-shape-to-text:t;">
                <w:txbxContent>
                  <w:p w14:paraId="6BAFB717">
                    <w:pPr>
                      <w:pStyle w:val="3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E3C9C3">
    <w:pPr>
      <w:spacing w:line="219" w:lineRule="auto"/>
      <w:ind w:left="4189"/>
      <w:rPr>
        <w:rFonts w:ascii="宋体" w:hAnsi="宋体" w:cs="宋体"/>
        <w:sz w:val="18"/>
        <w:szCs w:val="18"/>
        <w:highlight w:val="yellow"/>
      </w:rPr>
    </w:pPr>
    <w:r>
      <w:rPr>
        <w:sz w:val="18"/>
        <w:highlight w:val="yellow"/>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A92FA97">
                          <w:pPr>
                            <w:pStyle w:val="30"/>
                          </w:pPr>
                          <w:r>
                            <w:fldChar w:fldCharType="begin"/>
                          </w:r>
                          <w:r>
                            <w:instrText xml:space="preserve"> PAGE  \* MERGEFORMAT </w:instrText>
                          </w:r>
                          <w:r>
                            <w:fldChar w:fldCharType="separate"/>
                          </w:r>
                          <w:r>
                            <w:t>58</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yezdItIBAACjAwAADgAAAAAAAAABACAAAAAi&#10;AQAAZHJzL2Uyb0RvYy54bWxQSwUGAAAAAAYABgBZAQAAZgUAAAAA&#10;">
              <v:fill on="f" focussize="0,0"/>
              <v:stroke on="f" weight="1.25pt"/>
              <v:imagedata o:title=""/>
              <o:lock v:ext="edit" aspectratio="f"/>
              <v:textbox inset="0mm,0mm,0mm,0mm" style="mso-fit-shape-to-text:t;">
                <w:txbxContent>
                  <w:p w14:paraId="6A92FA97">
                    <w:pPr>
                      <w:pStyle w:val="30"/>
                    </w:pPr>
                    <w:r>
                      <w:fldChar w:fldCharType="begin"/>
                    </w:r>
                    <w:r>
                      <w:instrText xml:space="preserve"> PAGE  \* MERGEFORMAT </w:instrText>
                    </w:r>
                    <w:r>
                      <w:fldChar w:fldCharType="separate"/>
                    </w:r>
                    <w:r>
                      <w:t>58</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FDB563">
    <w:pPr>
      <w:pStyle w:val="30"/>
      <w:rPr>
        <w:rStyle w:val="50"/>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94A6E8">
                          <w:pPr>
                            <w:pStyle w:val="3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3F94A6E8">
                    <w:pPr>
                      <w:pStyle w:val="30"/>
                    </w:pPr>
                    <w:r>
                      <w:fldChar w:fldCharType="begin"/>
                    </w:r>
                    <w:r>
                      <w:instrText xml:space="preserve"> PAGE  \* MERGEFORMAT </w:instrText>
                    </w:r>
                    <w:r>
                      <w:fldChar w:fldCharType="separate"/>
                    </w:r>
                    <w:r>
                      <w:t>1</w:t>
                    </w:r>
                    <w:r>
                      <w:fldChar w:fldCharType="end"/>
                    </w:r>
                  </w:p>
                </w:txbxContent>
              </v:textbox>
            </v:shape>
          </w:pict>
        </mc:Fallback>
      </mc:AlternateContent>
    </w:r>
  </w:p>
  <w:p w14:paraId="1459435B">
    <w:pPr>
      <w:pStyle w:val="3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12172">
    <w:pPr>
      <w:pStyle w:val="3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A303AA">
    <w:pPr>
      <w:pStyle w:val="31"/>
      <w:pBdr>
        <w:bottom w:val="none" w:color="auto" w:sz="0" w:space="0"/>
      </w:pBdr>
      <w:jc w:val="right"/>
      <w:rPr>
        <w:b/>
        <w:bC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2CF290">
    <w:pPr>
      <w:pStyle w:val="31"/>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C5C9CF"/>
    <w:multiLevelType w:val="singleLevel"/>
    <w:tmpl w:val="A2C5C9CF"/>
    <w:lvl w:ilvl="0" w:tentative="0">
      <w:start w:val="3"/>
      <w:numFmt w:val="chineseCounting"/>
      <w:suff w:val="nothing"/>
      <w:lvlText w:val="（%1）"/>
      <w:lvlJc w:val="left"/>
      <w:rPr>
        <w:rFonts w:hint="eastAsia"/>
      </w:rPr>
    </w:lvl>
  </w:abstractNum>
  <w:abstractNum w:abstractNumId="1">
    <w:nsid w:val="A97AC51B"/>
    <w:multiLevelType w:val="singleLevel"/>
    <w:tmpl w:val="A97AC51B"/>
    <w:lvl w:ilvl="0" w:tentative="0">
      <w:start w:val="3"/>
      <w:numFmt w:val="decimal"/>
      <w:lvlText w:val="%1."/>
      <w:lvlJc w:val="left"/>
      <w:pPr>
        <w:tabs>
          <w:tab w:val="left" w:pos="312"/>
        </w:tabs>
      </w:pPr>
    </w:lvl>
  </w:abstractNum>
  <w:abstractNum w:abstractNumId="2">
    <w:nsid w:val="BFD0D545"/>
    <w:multiLevelType w:val="singleLevel"/>
    <w:tmpl w:val="BFD0D545"/>
    <w:lvl w:ilvl="0" w:tentative="0">
      <w:start w:val="3"/>
      <w:numFmt w:val="decimal"/>
      <w:suff w:val="nothing"/>
      <w:lvlText w:val="（%1）"/>
      <w:lvlJc w:val="left"/>
    </w:lvl>
  </w:abstractNum>
  <w:abstractNum w:abstractNumId="3">
    <w:nsid w:val="D5B19CE4"/>
    <w:multiLevelType w:val="singleLevel"/>
    <w:tmpl w:val="D5B19CE4"/>
    <w:lvl w:ilvl="0" w:tentative="0">
      <w:start w:val="1"/>
      <w:numFmt w:val="decimal"/>
      <w:suff w:val="nothing"/>
      <w:lvlText w:val="（%1）"/>
      <w:lvlJc w:val="left"/>
    </w:lvl>
  </w:abstractNum>
  <w:abstractNum w:abstractNumId="4">
    <w:nsid w:val="1E80E6C8"/>
    <w:multiLevelType w:val="singleLevel"/>
    <w:tmpl w:val="1E80E6C8"/>
    <w:lvl w:ilvl="0" w:tentative="0">
      <w:start w:val="3"/>
      <w:numFmt w:val="chineseCounting"/>
      <w:suff w:val="space"/>
      <w:lvlText w:val="第%1章"/>
      <w:lvlJc w:val="left"/>
      <w:rPr>
        <w:rFonts w:hint="eastAsia"/>
      </w:rPr>
    </w:lvl>
  </w:abstractNum>
  <w:abstractNum w:abstractNumId="5">
    <w:nsid w:val="20E7C799"/>
    <w:multiLevelType w:val="singleLevel"/>
    <w:tmpl w:val="20E7C799"/>
    <w:lvl w:ilvl="0" w:tentative="0">
      <w:start w:val="1"/>
      <w:numFmt w:val="decimal"/>
      <w:suff w:val="nothing"/>
      <w:lvlText w:val="（%1）"/>
      <w:lvlJc w:val="left"/>
    </w:lvl>
  </w:abstractNum>
  <w:abstractNum w:abstractNumId="6">
    <w:nsid w:val="221409B8"/>
    <w:multiLevelType w:val="singleLevel"/>
    <w:tmpl w:val="221409B8"/>
    <w:lvl w:ilvl="0" w:tentative="0">
      <w:start w:val="1"/>
      <w:numFmt w:val="decimal"/>
      <w:suff w:val="nothing"/>
      <w:lvlText w:val="%1、"/>
      <w:lvlJc w:val="left"/>
    </w:lvl>
  </w:abstractNum>
  <w:abstractNum w:abstractNumId="7">
    <w:nsid w:val="3CDE5EB9"/>
    <w:multiLevelType w:val="multilevel"/>
    <w:tmpl w:val="3CDE5EB9"/>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54D2B19F"/>
    <w:multiLevelType w:val="singleLevel"/>
    <w:tmpl w:val="54D2B19F"/>
    <w:lvl w:ilvl="0" w:tentative="0">
      <w:start w:val="10"/>
      <w:numFmt w:val="decimal"/>
      <w:suff w:val="nothing"/>
      <w:lvlText w:val="%1、"/>
      <w:lvlJc w:val="left"/>
    </w:lvl>
  </w:abstractNum>
  <w:abstractNum w:abstractNumId="9">
    <w:nsid w:val="6016677D"/>
    <w:multiLevelType w:val="singleLevel"/>
    <w:tmpl w:val="6016677D"/>
    <w:lvl w:ilvl="0" w:tentative="0">
      <w:start w:val="2"/>
      <w:numFmt w:val="decimal"/>
      <w:suff w:val="nothing"/>
      <w:lvlText w:val="%1、"/>
      <w:lvlJc w:val="left"/>
    </w:lvl>
  </w:abstractNum>
  <w:num w:numId="1">
    <w:abstractNumId w:val="6"/>
  </w:num>
  <w:num w:numId="2">
    <w:abstractNumId w:val="2"/>
  </w:num>
  <w:num w:numId="3">
    <w:abstractNumId w:val="3"/>
  </w:num>
  <w:num w:numId="4">
    <w:abstractNumId w:val="4"/>
  </w:num>
  <w:num w:numId="5">
    <w:abstractNumId w:val="0"/>
  </w:num>
  <w:num w:numId="6">
    <w:abstractNumId w:val="5"/>
  </w:num>
  <w:num w:numId="7">
    <w:abstractNumId w:val="9"/>
  </w:num>
  <w:num w:numId="8">
    <w:abstractNumId w:val="8"/>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2YjY1ZDQ4YjFjYTVkNDM0YTJmYjQ2ZjhhNmFiODUifQ=="/>
  </w:docVars>
  <w:rsids>
    <w:rsidRoot w:val="00172A27"/>
    <w:rsid w:val="0000197A"/>
    <w:rsid w:val="00002E1B"/>
    <w:rsid w:val="000046EA"/>
    <w:rsid w:val="00004E34"/>
    <w:rsid w:val="00005CD8"/>
    <w:rsid w:val="00006123"/>
    <w:rsid w:val="000070B7"/>
    <w:rsid w:val="0000758B"/>
    <w:rsid w:val="00010F4B"/>
    <w:rsid w:val="0001111D"/>
    <w:rsid w:val="00011A14"/>
    <w:rsid w:val="00012844"/>
    <w:rsid w:val="00012D1D"/>
    <w:rsid w:val="00017114"/>
    <w:rsid w:val="00017EFA"/>
    <w:rsid w:val="00020FE0"/>
    <w:rsid w:val="00021BDB"/>
    <w:rsid w:val="000225E0"/>
    <w:rsid w:val="00022A89"/>
    <w:rsid w:val="00023D05"/>
    <w:rsid w:val="00026E12"/>
    <w:rsid w:val="000273CC"/>
    <w:rsid w:val="000330C1"/>
    <w:rsid w:val="000335C0"/>
    <w:rsid w:val="00034C73"/>
    <w:rsid w:val="0003719A"/>
    <w:rsid w:val="00037B93"/>
    <w:rsid w:val="00040224"/>
    <w:rsid w:val="0004332D"/>
    <w:rsid w:val="00044907"/>
    <w:rsid w:val="0004695D"/>
    <w:rsid w:val="00046C34"/>
    <w:rsid w:val="00057DBF"/>
    <w:rsid w:val="000617FE"/>
    <w:rsid w:val="0006411D"/>
    <w:rsid w:val="000642AF"/>
    <w:rsid w:val="00066792"/>
    <w:rsid w:val="00072090"/>
    <w:rsid w:val="00076B75"/>
    <w:rsid w:val="00076F1D"/>
    <w:rsid w:val="00077234"/>
    <w:rsid w:val="000837EF"/>
    <w:rsid w:val="00083ADA"/>
    <w:rsid w:val="0008659F"/>
    <w:rsid w:val="00086C18"/>
    <w:rsid w:val="00090A07"/>
    <w:rsid w:val="00090F90"/>
    <w:rsid w:val="00093100"/>
    <w:rsid w:val="000939B1"/>
    <w:rsid w:val="00094E9D"/>
    <w:rsid w:val="000A078C"/>
    <w:rsid w:val="000A11AD"/>
    <w:rsid w:val="000A2C9F"/>
    <w:rsid w:val="000A475B"/>
    <w:rsid w:val="000A65EE"/>
    <w:rsid w:val="000B0DC9"/>
    <w:rsid w:val="000B3A75"/>
    <w:rsid w:val="000B4B76"/>
    <w:rsid w:val="000B547D"/>
    <w:rsid w:val="000B7A7E"/>
    <w:rsid w:val="000B7EE6"/>
    <w:rsid w:val="000C10AA"/>
    <w:rsid w:val="000C26FD"/>
    <w:rsid w:val="000D08DE"/>
    <w:rsid w:val="000D203E"/>
    <w:rsid w:val="000D2C3D"/>
    <w:rsid w:val="000D2ECE"/>
    <w:rsid w:val="000D4E9E"/>
    <w:rsid w:val="000D7F9C"/>
    <w:rsid w:val="000E0020"/>
    <w:rsid w:val="000E1F7F"/>
    <w:rsid w:val="000E227E"/>
    <w:rsid w:val="000E24EC"/>
    <w:rsid w:val="000E3D3D"/>
    <w:rsid w:val="000F7312"/>
    <w:rsid w:val="000F740E"/>
    <w:rsid w:val="00104E44"/>
    <w:rsid w:val="001063CB"/>
    <w:rsid w:val="0011140E"/>
    <w:rsid w:val="00114707"/>
    <w:rsid w:val="00115943"/>
    <w:rsid w:val="00116988"/>
    <w:rsid w:val="00120E5D"/>
    <w:rsid w:val="00125553"/>
    <w:rsid w:val="0012738D"/>
    <w:rsid w:val="00130FBA"/>
    <w:rsid w:val="00131494"/>
    <w:rsid w:val="00132E3D"/>
    <w:rsid w:val="0014049F"/>
    <w:rsid w:val="00140BFD"/>
    <w:rsid w:val="00142868"/>
    <w:rsid w:val="00146B5E"/>
    <w:rsid w:val="0015292B"/>
    <w:rsid w:val="0015363F"/>
    <w:rsid w:val="00154C59"/>
    <w:rsid w:val="00155F6F"/>
    <w:rsid w:val="001564C3"/>
    <w:rsid w:val="001620D9"/>
    <w:rsid w:val="0016514F"/>
    <w:rsid w:val="00165414"/>
    <w:rsid w:val="00165F97"/>
    <w:rsid w:val="00167090"/>
    <w:rsid w:val="00167507"/>
    <w:rsid w:val="00172A27"/>
    <w:rsid w:val="00173108"/>
    <w:rsid w:val="00173D37"/>
    <w:rsid w:val="00174E43"/>
    <w:rsid w:val="0018238C"/>
    <w:rsid w:val="00182D4C"/>
    <w:rsid w:val="001834BA"/>
    <w:rsid w:val="001843D3"/>
    <w:rsid w:val="00184866"/>
    <w:rsid w:val="00185DBC"/>
    <w:rsid w:val="001867E2"/>
    <w:rsid w:val="001919D1"/>
    <w:rsid w:val="00191DD8"/>
    <w:rsid w:val="00193AE6"/>
    <w:rsid w:val="00194AEF"/>
    <w:rsid w:val="001963BD"/>
    <w:rsid w:val="001A120B"/>
    <w:rsid w:val="001A184C"/>
    <w:rsid w:val="001A274E"/>
    <w:rsid w:val="001A2C88"/>
    <w:rsid w:val="001A37E0"/>
    <w:rsid w:val="001A3EC9"/>
    <w:rsid w:val="001A50F2"/>
    <w:rsid w:val="001A6EF7"/>
    <w:rsid w:val="001B1DF0"/>
    <w:rsid w:val="001B21A5"/>
    <w:rsid w:val="001B45D5"/>
    <w:rsid w:val="001B4675"/>
    <w:rsid w:val="001B4BDE"/>
    <w:rsid w:val="001B59E9"/>
    <w:rsid w:val="001B62B0"/>
    <w:rsid w:val="001B6A78"/>
    <w:rsid w:val="001C1FC2"/>
    <w:rsid w:val="001C4E01"/>
    <w:rsid w:val="001C7AB4"/>
    <w:rsid w:val="001D0C94"/>
    <w:rsid w:val="001D3498"/>
    <w:rsid w:val="001E1380"/>
    <w:rsid w:val="001E5247"/>
    <w:rsid w:val="001F23AB"/>
    <w:rsid w:val="001F32ED"/>
    <w:rsid w:val="001F4F95"/>
    <w:rsid w:val="001F7E70"/>
    <w:rsid w:val="00200459"/>
    <w:rsid w:val="00202DB7"/>
    <w:rsid w:val="00207065"/>
    <w:rsid w:val="00207999"/>
    <w:rsid w:val="00212D04"/>
    <w:rsid w:val="00213FCA"/>
    <w:rsid w:val="00214988"/>
    <w:rsid w:val="00214B43"/>
    <w:rsid w:val="00214F76"/>
    <w:rsid w:val="002202CE"/>
    <w:rsid w:val="0022219A"/>
    <w:rsid w:val="00222521"/>
    <w:rsid w:val="00227461"/>
    <w:rsid w:val="0022783F"/>
    <w:rsid w:val="00230392"/>
    <w:rsid w:val="00230583"/>
    <w:rsid w:val="00230A2B"/>
    <w:rsid w:val="00231547"/>
    <w:rsid w:val="002334EC"/>
    <w:rsid w:val="00235B32"/>
    <w:rsid w:val="00236AD7"/>
    <w:rsid w:val="00237688"/>
    <w:rsid w:val="00240423"/>
    <w:rsid w:val="00243B18"/>
    <w:rsid w:val="00246AD7"/>
    <w:rsid w:val="00246B91"/>
    <w:rsid w:val="00247A64"/>
    <w:rsid w:val="00250013"/>
    <w:rsid w:val="00250BCF"/>
    <w:rsid w:val="00253591"/>
    <w:rsid w:val="00255670"/>
    <w:rsid w:val="00256780"/>
    <w:rsid w:val="00262ABE"/>
    <w:rsid w:val="002657EE"/>
    <w:rsid w:val="00276F57"/>
    <w:rsid w:val="00277D06"/>
    <w:rsid w:val="002816D4"/>
    <w:rsid w:val="00286980"/>
    <w:rsid w:val="002928CE"/>
    <w:rsid w:val="00292C87"/>
    <w:rsid w:val="0029757E"/>
    <w:rsid w:val="002A1A66"/>
    <w:rsid w:val="002A39EF"/>
    <w:rsid w:val="002A599F"/>
    <w:rsid w:val="002A6E04"/>
    <w:rsid w:val="002B4BA8"/>
    <w:rsid w:val="002B7071"/>
    <w:rsid w:val="002B7117"/>
    <w:rsid w:val="002B714A"/>
    <w:rsid w:val="002B718A"/>
    <w:rsid w:val="002B7621"/>
    <w:rsid w:val="002C2E22"/>
    <w:rsid w:val="002C4A57"/>
    <w:rsid w:val="002C528E"/>
    <w:rsid w:val="002C5643"/>
    <w:rsid w:val="002E13EC"/>
    <w:rsid w:val="002E41CC"/>
    <w:rsid w:val="002F05E9"/>
    <w:rsid w:val="002F2C99"/>
    <w:rsid w:val="002F3D6A"/>
    <w:rsid w:val="002F794D"/>
    <w:rsid w:val="003029B3"/>
    <w:rsid w:val="00303019"/>
    <w:rsid w:val="00306787"/>
    <w:rsid w:val="00306966"/>
    <w:rsid w:val="0031113D"/>
    <w:rsid w:val="00311AAC"/>
    <w:rsid w:val="00313CA4"/>
    <w:rsid w:val="00314E82"/>
    <w:rsid w:val="003150CE"/>
    <w:rsid w:val="00315FF9"/>
    <w:rsid w:val="00316270"/>
    <w:rsid w:val="00321598"/>
    <w:rsid w:val="00321FDB"/>
    <w:rsid w:val="00323870"/>
    <w:rsid w:val="00323FFD"/>
    <w:rsid w:val="00324847"/>
    <w:rsid w:val="00324A5E"/>
    <w:rsid w:val="00325624"/>
    <w:rsid w:val="0032611D"/>
    <w:rsid w:val="003264EB"/>
    <w:rsid w:val="00326940"/>
    <w:rsid w:val="00330CCD"/>
    <w:rsid w:val="00332891"/>
    <w:rsid w:val="00332BBD"/>
    <w:rsid w:val="00333810"/>
    <w:rsid w:val="003343C0"/>
    <w:rsid w:val="00340804"/>
    <w:rsid w:val="00342D97"/>
    <w:rsid w:val="00343375"/>
    <w:rsid w:val="003448C2"/>
    <w:rsid w:val="00344CD6"/>
    <w:rsid w:val="0034662F"/>
    <w:rsid w:val="003510D2"/>
    <w:rsid w:val="00351A8E"/>
    <w:rsid w:val="0035447B"/>
    <w:rsid w:val="00356B27"/>
    <w:rsid w:val="00356B90"/>
    <w:rsid w:val="00357C8A"/>
    <w:rsid w:val="00360C29"/>
    <w:rsid w:val="0036101B"/>
    <w:rsid w:val="003613C6"/>
    <w:rsid w:val="00361CBA"/>
    <w:rsid w:val="00362EE3"/>
    <w:rsid w:val="0036593D"/>
    <w:rsid w:val="00366951"/>
    <w:rsid w:val="00370107"/>
    <w:rsid w:val="003720A1"/>
    <w:rsid w:val="003745F9"/>
    <w:rsid w:val="00376808"/>
    <w:rsid w:val="0037767C"/>
    <w:rsid w:val="003817E6"/>
    <w:rsid w:val="00381E22"/>
    <w:rsid w:val="0038244A"/>
    <w:rsid w:val="00382545"/>
    <w:rsid w:val="00383221"/>
    <w:rsid w:val="00384090"/>
    <w:rsid w:val="003844ED"/>
    <w:rsid w:val="00386132"/>
    <w:rsid w:val="003871B4"/>
    <w:rsid w:val="00393016"/>
    <w:rsid w:val="00394BA5"/>
    <w:rsid w:val="00394D82"/>
    <w:rsid w:val="003A70F7"/>
    <w:rsid w:val="003B39C6"/>
    <w:rsid w:val="003B4CDE"/>
    <w:rsid w:val="003B5919"/>
    <w:rsid w:val="003B7075"/>
    <w:rsid w:val="003B7983"/>
    <w:rsid w:val="003C24F4"/>
    <w:rsid w:val="003C4452"/>
    <w:rsid w:val="003C4CBD"/>
    <w:rsid w:val="003C7646"/>
    <w:rsid w:val="003D0BFC"/>
    <w:rsid w:val="003D206A"/>
    <w:rsid w:val="003D27B4"/>
    <w:rsid w:val="003D34ED"/>
    <w:rsid w:val="003D60ED"/>
    <w:rsid w:val="003D7852"/>
    <w:rsid w:val="003E0F27"/>
    <w:rsid w:val="003E15AB"/>
    <w:rsid w:val="003E3274"/>
    <w:rsid w:val="003E441B"/>
    <w:rsid w:val="003E528B"/>
    <w:rsid w:val="003E62C9"/>
    <w:rsid w:val="003E64A4"/>
    <w:rsid w:val="003F1184"/>
    <w:rsid w:val="003F19CD"/>
    <w:rsid w:val="003F34D1"/>
    <w:rsid w:val="003F5214"/>
    <w:rsid w:val="003F56BE"/>
    <w:rsid w:val="003F72A7"/>
    <w:rsid w:val="00403578"/>
    <w:rsid w:val="0040419B"/>
    <w:rsid w:val="00404AFD"/>
    <w:rsid w:val="0041061A"/>
    <w:rsid w:val="00411B9C"/>
    <w:rsid w:val="004139CC"/>
    <w:rsid w:val="00416BD0"/>
    <w:rsid w:val="004179E4"/>
    <w:rsid w:val="00422908"/>
    <w:rsid w:val="0042416B"/>
    <w:rsid w:val="004249BA"/>
    <w:rsid w:val="0042531B"/>
    <w:rsid w:val="004306D8"/>
    <w:rsid w:val="00430F18"/>
    <w:rsid w:val="00432BC1"/>
    <w:rsid w:val="00433924"/>
    <w:rsid w:val="00434AAC"/>
    <w:rsid w:val="0043512B"/>
    <w:rsid w:val="00435537"/>
    <w:rsid w:val="004355FE"/>
    <w:rsid w:val="00441E58"/>
    <w:rsid w:val="00445715"/>
    <w:rsid w:val="00445E0F"/>
    <w:rsid w:val="00446179"/>
    <w:rsid w:val="004506F7"/>
    <w:rsid w:val="0045199B"/>
    <w:rsid w:val="00451F70"/>
    <w:rsid w:val="00454C0F"/>
    <w:rsid w:val="00454F95"/>
    <w:rsid w:val="004571AF"/>
    <w:rsid w:val="00462043"/>
    <w:rsid w:val="0046380E"/>
    <w:rsid w:val="00466093"/>
    <w:rsid w:val="004712B0"/>
    <w:rsid w:val="00471B5C"/>
    <w:rsid w:val="00473006"/>
    <w:rsid w:val="00473509"/>
    <w:rsid w:val="00473BA0"/>
    <w:rsid w:val="00474B17"/>
    <w:rsid w:val="0047678B"/>
    <w:rsid w:val="00477FF4"/>
    <w:rsid w:val="00482303"/>
    <w:rsid w:val="00487C57"/>
    <w:rsid w:val="00494CD7"/>
    <w:rsid w:val="004A3117"/>
    <w:rsid w:val="004A394F"/>
    <w:rsid w:val="004A7299"/>
    <w:rsid w:val="004B15C6"/>
    <w:rsid w:val="004C0130"/>
    <w:rsid w:val="004C1E7E"/>
    <w:rsid w:val="004C2BF2"/>
    <w:rsid w:val="004C4C36"/>
    <w:rsid w:val="004C791A"/>
    <w:rsid w:val="004D0871"/>
    <w:rsid w:val="004D31D7"/>
    <w:rsid w:val="004D6B92"/>
    <w:rsid w:val="004E085C"/>
    <w:rsid w:val="004E0F8D"/>
    <w:rsid w:val="004F0E30"/>
    <w:rsid w:val="004F1D3D"/>
    <w:rsid w:val="004F3C9D"/>
    <w:rsid w:val="004F5CF2"/>
    <w:rsid w:val="004F77A5"/>
    <w:rsid w:val="00504F99"/>
    <w:rsid w:val="00505F69"/>
    <w:rsid w:val="005078D7"/>
    <w:rsid w:val="00510F89"/>
    <w:rsid w:val="00512B81"/>
    <w:rsid w:val="00513D1E"/>
    <w:rsid w:val="0052022B"/>
    <w:rsid w:val="005212B3"/>
    <w:rsid w:val="00525D5C"/>
    <w:rsid w:val="00526B90"/>
    <w:rsid w:val="00527D18"/>
    <w:rsid w:val="005324F1"/>
    <w:rsid w:val="005345CF"/>
    <w:rsid w:val="00534798"/>
    <w:rsid w:val="00534AB4"/>
    <w:rsid w:val="005362C3"/>
    <w:rsid w:val="00536BAD"/>
    <w:rsid w:val="00537141"/>
    <w:rsid w:val="005408F8"/>
    <w:rsid w:val="00543A1A"/>
    <w:rsid w:val="00543D1A"/>
    <w:rsid w:val="00545A63"/>
    <w:rsid w:val="00550A8B"/>
    <w:rsid w:val="00551ABE"/>
    <w:rsid w:val="00551F3F"/>
    <w:rsid w:val="00553C28"/>
    <w:rsid w:val="00555711"/>
    <w:rsid w:val="0055655B"/>
    <w:rsid w:val="005575EF"/>
    <w:rsid w:val="00557CAA"/>
    <w:rsid w:val="005610A7"/>
    <w:rsid w:val="00562097"/>
    <w:rsid w:val="00562642"/>
    <w:rsid w:val="00562653"/>
    <w:rsid w:val="00563B31"/>
    <w:rsid w:val="00564616"/>
    <w:rsid w:val="00565E25"/>
    <w:rsid w:val="00566512"/>
    <w:rsid w:val="005677A2"/>
    <w:rsid w:val="00571668"/>
    <w:rsid w:val="00573193"/>
    <w:rsid w:val="005736B2"/>
    <w:rsid w:val="0057643A"/>
    <w:rsid w:val="00580342"/>
    <w:rsid w:val="00582213"/>
    <w:rsid w:val="005901E1"/>
    <w:rsid w:val="005915F5"/>
    <w:rsid w:val="00591F58"/>
    <w:rsid w:val="00592834"/>
    <w:rsid w:val="00594FBF"/>
    <w:rsid w:val="0059693D"/>
    <w:rsid w:val="00597823"/>
    <w:rsid w:val="005A3405"/>
    <w:rsid w:val="005A5E6E"/>
    <w:rsid w:val="005A65D3"/>
    <w:rsid w:val="005A71BD"/>
    <w:rsid w:val="005A7C75"/>
    <w:rsid w:val="005B3CFB"/>
    <w:rsid w:val="005B4AA4"/>
    <w:rsid w:val="005B5C42"/>
    <w:rsid w:val="005B682A"/>
    <w:rsid w:val="005B705D"/>
    <w:rsid w:val="005C0054"/>
    <w:rsid w:val="005D0BCF"/>
    <w:rsid w:val="005D1D33"/>
    <w:rsid w:val="005D1E1A"/>
    <w:rsid w:val="005D2808"/>
    <w:rsid w:val="005D49DC"/>
    <w:rsid w:val="005D6EDB"/>
    <w:rsid w:val="005E4BD5"/>
    <w:rsid w:val="005E6D8D"/>
    <w:rsid w:val="005E7874"/>
    <w:rsid w:val="005F2C58"/>
    <w:rsid w:val="005F3CD8"/>
    <w:rsid w:val="005F6D4E"/>
    <w:rsid w:val="00601231"/>
    <w:rsid w:val="006015AA"/>
    <w:rsid w:val="006053A4"/>
    <w:rsid w:val="00610D91"/>
    <w:rsid w:val="0061143B"/>
    <w:rsid w:val="006173D9"/>
    <w:rsid w:val="006174D0"/>
    <w:rsid w:val="00617B19"/>
    <w:rsid w:val="00620E0C"/>
    <w:rsid w:val="0062507F"/>
    <w:rsid w:val="00626412"/>
    <w:rsid w:val="00627097"/>
    <w:rsid w:val="00627F07"/>
    <w:rsid w:val="00630701"/>
    <w:rsid w:val="00630A52"/>
    <w:rsid w:val="006314EC"/>
    <w:rsid w:val="006317D9"/>
    <w:rsid w:val="006319A4"/>
    <w:rsid w:val="006320EC"/>
    <w:rsid w:val="00632505"/>
    <w:rsid w:val="0063261C"/>
    <w:rsid w:val="00634E49"/>
    <w:rsid w:val="006404B8"/>
    <w:rsid w:val="00640732"/>
    <w:rsid w:val="00640CD1"/>
    <w:rsid w:val="006411FA"/>
    <w:rsid w:val="006468C4"/>
    <w:rsid w:val="00656322"/>
    <w:rsid w:val="0065656C"/>
    <w:rsid w:val="00662C9C"/>
    <w:rsid w:val="00664CCB"/>
    <w:rsid w:val="0066501C"/>
    <w:rsid w:val="00667847"/>
    <w:rsid w:val="00667E21"/>
    <w:rsid w:val="00672253"/>
    <w:rsid w:val="00672477"/>
    <w:rsid w:val="006803F2"/>
    <w:rsid w:val="00680EED"/>
    <w:rsid w:val="00683A32"/>
    <w:rsid w:val="00686C3A"/>
    <w:rsid w:val="0069751D"/>
    <w:rsid w:val="00697E3A"/>
    <w:rsid w:val="006A5A61"/>
    <w:rsid w:val="006A6C9D"/>
    <w:rsid w:val="006B06AF"/>
    <w:rsid w:val="006B3780"/>
    <w:rsid w:val="006B3913"/>
    <w:rsid w:val="006B5F0A"/>
    <w:rsid w:val="006B7B67"/>
    <w:rsid w:val="006C004B"/>
    <w:rsid w:val="006C09E3"/>
    <w:rsid w:val="006C12A2"/>
    <w:rsid w:val="006C1EAD"/>
    <w:rsid w:val="006C3056"/>
    <w:rsid w:val="006C3E9D"/>
    <w:rsid w:val="006C4608"/>
    <w:rsid w:val="006E29E7"/>
    <w:rsid w:val="006E3C5D"/>
    <w:rsid w:val="006E4C81"/>
    <w:rsid w:val="006F3D17"/>
    <w:rsid w:val="007010A6"/>
    <w:rsid w:val="007010E6"/>
    <w:rsid w:val="007013D6"/>
    <w:rsid w:val="00704877"/>
    <w:rsid w:val="007056DC"/>
    <w:rsid w:val="00707B0D"/>
    <w:rsid w:val="00707F33"/>
    <w:rsid w:val="00707FB8"/>
    <w:rsid w:val="00710E91"/>
    <w:rsid w:val="00712094"/>
    <w:rsid w:val="00712899"/>
    <w:rsid w:val="00716F04"/>
    <w:rsid w:val="007220FC"/>
    <w:rsid w:val="007224C8"/>
    <w:rsid w:val="00731F87"/>
    <w:rsid w:val="00734057"/>
    <w:rsid w:val="007347A9"/>
    <w:rsid w:val="00734A59"/>
    <w:rsid w:val="00737389"/>
    <w:rsid w:val="00740EA7"/>
    <w:rsid w:val="00741E7A"/>
    <w:rsid w:val="00743A79"/>
    <w:rsid w:val="00746374"/>
    <w:rsid w:val="0074694C"/>
    <w:rsid w:val="00750DC6"/>
    <w:rsid w:val="00751F36"/>
    <w:rsid w:val="00752ABA"/>
    <w:rsid w:val="007544B3"/>
    <w:rsid w:val="00754953"/>
    <w:rsid w:val="00755F4B"/>
    <w:rsid w:val="007569BF"/>
    <w:rsid w:val="00764F21"/>
    <w:rsid w:val="007650EA"/>
    <w:rsid w:val="00771225"/>
    <w:rsid w:val="007716E8"/>
    <w:rsid w:val="00771EE2"/>
    <w:rsid w:val="00772F61"/>
    <w:rsid w:val="007735D0"/>
    <w:rsid w:val="00776CE6"/>
    <w:rsid w:val="0077709D"/>
    <w:rsid w:val="0077725B"/>
    <w:rsid w:val="0078232E"/>
    <w:rsid w:val="007825BB"/>
    <w:rsid w:val="0078387C"/>
    <w:rsid w:val="007846BD"/>
    <w:rsid w:val="007852C4"/>
    <w:rsid w:val="00785C7C"/>
    <w:rsid w:val="00791072"/>
    <w:rsid w:val="00791620"/>
    <w:rsid w:val="00792C93"/>
    <w:rsid w:val="0079603B"/>
    <w:rsid w:val="00796119"/>
    <w:rsid w:val="00797F29"/>
    <w:rsid w:val="00797F99"/>
    <w:rsid w:val="007A3AD3"/>
    <w:rsid w:val="007A5486"/>
    <w:rsid w:val="007A59DE"/>
    <w:rsid w:val="007B10BC"/>
    <w:rsid w:val="007B2FBF"/>
    <w:rsid w:val="007B6549"/>
    <w:rsid w:val="007B7D18"/>
    <w:rsid w:val="007C065A"/>
    <w:rsid w:val="007C313C"/>
    <w:rsid w:val="007C5C10"/>
    <w:rsid w:val="007C5C4D"/>
    <w:rsid w:val="007D2547"/>
    <w:rsid w:val="007D3552"/>
    <w:rsid w:val="007D5303"/>
    <w:rsid w:val="007D6C61"/>
    <w:rsid w:val="007D7027"/>
    <w:rsid w:val="007E1D6E"/>
    <w:rsid w:val="007E60BB"/>
    <w:rsid w:val="007E66F0"/>
    <w:rsid w:val="007E6E71"/>
    <w:rsid w:val="007F0879"/>
    <w:rsid w:val="007F2072"/>
    <w:rsid w:val="007F7CC1"/>
    <w:rsid w:val="00801530"/>
    <w:rsid w:val="00803277"/>
    <w:rsid w:val="00803BC6"/>
    <w:rsid w:val="008044D7"/>
    <w:rsid w:val="00811BC8"/>
    <w:rsid w:val="00812181"/>
    <w:rsid w:val="0081385B"/>
    <w:rsid w:val="00816600"/>
    <w:rsid w:val="00821645"/>
    <w:rsid w:val="00822D2E"/>
    <w:rsid w:val="00827EA0"/>
    <w:rsid w:val="0083345E"/>
    <w:rsid w:val="00834EAE"/>
    <w:rsid w:val="00841403"/>
    <w:rsid w:val="0084190B"/>
    <w:rsid w:val="0084411B"/>
    <w:rsid w:val="00844951"/>
    <w:rsid w:val="00844D6E"/>
    <w:rsid w:val="00845A5D"/>
    <w:rsid w:val="008462FB"/>
    <w:rsid w:val="008465CD"/>
    <w:rsid w:val="0084663D"/>
    <w:rsid w:val="008515C0"/>
    <w:rsid w:val="00854873"/>
    <w:rsid w:val="00855E83"/>
    <w:rsid w:val="00856515"/>
    <w:rsid w:val="0086292A"/>
    <w:rsid w:val="00864FC6"/>
    <w:rsid w:val="00865B48"/>
    <w:rsid w:val="00872E7D"/>
    <w:rsid w:val="00874549"/>
    <w:rsid w:val="008756B7"/>
    <w:rsid w:val="008757B7"/>
    <w:rsid w:val="00880472"/>
    <w:rsid w:val="008813F9"/>
    <w:rsid w:val="0088144C"/>
    <w:rsid w:val="00881587"/>
    <w:rsid w:val="0088218C"/>
    <w:rsid w:val="00884060"/>
    <w:rsid w:val="00890796"/>
    <w:rsid w:val="0089321E"/>
    <w:rsid w:val="008933DF"/>
    <w:rsid w:val="00894C08"/>
    <w:rsid w:val="00895001"/>
    <w:rsid w:val="0089560E"/>
    <w:rsid w:val="008A0CBD"/>
    <w:rsid w:val="008A0D2A"/>
    <w:rsid w:val="008A1DEE"/>
    <w:rsid w:val="008A3970"/>
    <w:rsid w:val="008A5701"/>
    <w:rsid w:val="008B3DFF"/>
    <w:rsid w:val="008B3F28"/>
    <w:rsid w:val="008C49D3"/>
    <w:rsid w:val="008C5947"/>
    <w:rsid w:val="008C6DA1"/>
    <w:rsid w:val="008C72A6"/>
    <w:rsid w:val="008C7854"/>
    <w:rsid w:val="008D3D94"/>
    <w:rsid w:val="008D618A"/>
    <w:rsid w:val="008E1DC0"/>
    <w:rsid w:val="008E30BF"/>
    <w:rsid w:val="008E35A0"/>
    <w:rsid w:val="008E3A25"/>
    <w:rsid w:val="008E5038"/>
    <w:rsid w:val="008F031C"/>
    <w:rsid w:val="008F1463"/>
    <w:rsid w:val="008F1F11"/>
    <w:rsid w:val="008F31C7"/>
    <w:rsid w:val="008F7358"/>
    <w:rsid w:val="008F7394"/>
    <w:rsid w:val="008F79D7"/>
    <w:rsid w:val="009006DF"/>
    <w:rsid w:val="00910153"/>
    <w:rsid w:val="00910A19"/>
    <w:rsid w:val="00910BDC"/>
    <w:rsid w:val="00910F4E"/>
    <w:rsid w:val="00911695"/>
    <w:rsid w:val="00911E55"/>
    <w:rsid w:val="00913F05"/>
    <w:rsid w:val="0091562C"/>
    <w:rsid w:val="009177B6"/>
    <w:rsid w:val="00917A27"/>
    <w:rsid w:val="00923CD3"/>
    <w:rsid w:val="00924202"/>
    <w:rsid w:val="00924E50"/>
    <w:rsid w:val="00925CC6"/>
    <w:rsid w:val="00926ABF"/>
    <w:rsid w:val="00927A26"/>
    <w:rsid w:val="00927D00"/>
    <w:rsid w:val="00930969"/>
    <w:rsid w:val="0093269F"/>
    <w:rsid w:val="00936433"/>
    <w:rsid w:val="009412CD"/>
    <w:rsid w:val="0095349A"/>
    <w:rsid w:val="00955204"/>
    <w:rsid w:val="00960CAB"/>
    <w:rsid w:val="00960CCB"/>
    <w:rsid w:val="00961359"/>
    <w:rsid w:val="00962A0B"/>
    <w:rsid w:val="00962C4D"/>
    <w:rsid w:val="00964D34"/>
    <w:rsid w:val="00966F72"/>
    <w:rsid w:val="0096757C"/>
    <w:rsid w:val="00967A23"/>
    <w:rsid w:val="00972946"/>
    <w:rsid w:val="00972E84"/>
    <w:rsid w:val="00974691"/>
    <w:rsid w:val="00976022"/>
    <w:rsid w:val="00976169"/>
    <w:rsid w:val="00976580"/>
    <w:rsid w:val="00977C3F"/>
    <w:rsid w:val="00977CC3"/>
    <w:rsid w:val="00980102"/>
    <w:rsid w:val="0098316D"/>
    <w:rsid w:val="00984D59"/>
    <w:rsid w:val="0098502F"/>
    <w:rsid w:val="00986D16"/>
    <w:rsid w:val="009910B5"/>
    <w:rsid w:val="009920AD"/>
    <w:rsid w:val="0099244A"/>
    <w:rsid w:val="009938B8"/>
    <w:rsid w:val="00994EB2"/>
    <w:rsid w:val="00995053"/>
    <w:rsid w:val="009A0735"/>
    <w:rsid w:val="009A25E2"/>
    <w:rsid w:val="009A37CD"/>
    <w:rsid w:val="009A4C36"/>
    <w:rsid w:val="009B1FF8"/>
    <w:rsid w:val="009B42EF"/>
    <w:rsid w:val="009B4E7E"/>
    <w:rsid w:val="009B5EED"/>
    <w:rsid w:val="009C20D3"/>
    <w:rsid w:val="009C37BF"/>
    <w:rsid w:val="009C6EE6"/>
    <w:rsid w:val="009C7333"/>
    <w:rsid w:val="009C7979"/>
    <w:rsid w:val="009D0966"/>
    <w:rsid w:val="009D0B0C"/>
    <w:rsid w:val="009D22E5"/>
    <w:rsid w:val="009D4B7E"/>
    <w:rsid w:val="009D5E13"/>
    <w:rsid w:val="009D71F1"/>
    <w:rsid w:val="009E015C"/>
    <w:rsid w:val="009E0909"/>
    <w:rsid w:val="009E37B1"/>
    <w:rsid w:val="009E3E05"/>
    <w:rsid w:val="009E5780"/>
    <w:rsid w:val="009E5D72"/>
    <w:rsid w:val="009E6EC4"/>
    <w:rsid w:val="009F01E1"/>
    <w:rsid w:val="009F2F5E"/>
    <w:rsid w:val="009F3B2F"/>
    <w:rsid w:val="009F42ED"/>
    <w:rsid w:val="009F60D9"/>
    <w:rsid w:val="00A01456"/>
    <w:rsid w:val="00A01B5E"/>
    <w:rsid w:val="00A02A20"/>
    <w:rsid w:val="00A03301"/>
    <w:rsid w:val="00A05E3C"/>
    <w:rsid w:val="00A0769D"/>
    <w:rsid w:val="00A07925"/>
    <w:rsid w:val="00A101E8"/>
    <w:rsid w:val="00A10455"/>
    <w:rsid w:val="00A1132C"/>
    <w:rsid w:val="00A1168E"/>
    <w:rsid w:val="00A11DCF"/>
    <w:rsid w:val="00A11EE6"/>
    <w:rsid w:val="00A1213C"/>
    <w:rsid w:val="00A14C01"/>
    <w:rsid w:val="00A1556E"/>
    <w:rsid w:val="00A169DC"/>
    <w:rsid w:val="00A20C10"/>
    <w:rsid w:val="00A22308"/>
    <w:rsid w:val="00A22EC9"/>
    <w:rsid w:val="00A25ED3"/>
    <w:rsid w:val="00A264B5"/>
    <w:rsid w:val="00A26E1A"/>
    <w:rsid w:val="00A27D67"/>
    <w:rsid w:val="00A317E0"/>
    <w:rsid w:val="00A37208"/>
    <w:rsid w:val="00A373FE"/>
    <w:rsid w:val="00A37744"/>
    <w:rsid w:val="00A4126B"/>
    <w:rsid w:val="00A431C8"/>
    <w:rsid w:val="00A47E8E"/>
    <w:rsid w:val="00A50183"/>
    <w:rsid w:val="00A50E52"/>
    <w:rsid w:val="00A512D9"/>
    <w:rsid w:val="00A52488"/>
    <w:rsid w:val="00A52EF8"/>
    <w:rsid w:val="00A52F87"/>
    <w:rsid w:val="00A550F0"/>
    <w:rsid w:val="00A55F4D"/>
    <w:rsid w:val="00A56DFC"/>
    <w:rsid w:val="00A607D6"/>
    <w:rsid w:val="00A65ACF"/>
    <w:rsid w:val="00A71725"/>
    <w:rsid w:val="00A730D4"/>
    <w:rsid w:val="00A75160"/>
    <w:rsid w:val="00A80107"/>
    <w:rsid w:val="00A80270"/>
    <w:rsid w:val="00A81E1C"/>
    <w:rsid w:val="00A82C07"/>
    <w:rsid w:val="00A8654F"/>
    <w:rsid w:val="00A921C2"/>
    <w:rsid w:val="00A93040"/>
    <w:rsid w:val="00A9331E"/>
    <w:rsid w:val="00A96C90"/>
    <w:rsid w:val="00AA1C5D"/>
    <w:rsid w:val="00AA207A"/>
    <w:rsid w:val="00AA672A"/>
    <w:rsid w:val="00AA7717"/>
    <w:rsid w:val="00AA7A7D"/>
    <w:rsid w:val="00AA7BA4"/>
    <w:rsid w:val="00AB24DF"/>
    <w:rsid w:val="00AB2639"/>
    <w:rsid w:val="00AB41F5"/>
    <w:rsid w:val="00AB534D"/>
    <w:rsid w:val="00AB6C48"/>
    <w:rsid w:val="00AB7F2E"/>
    <w:rsid w:val="00AC00B4"/>
    <w:rsid w:val="00AC26EA"/>
    <w:rsid w:val="00AC2702"/>
    <w:rsid w:val="00AC5E52"/>
    <w:rsid w:val="00AC75F2"/>
    <w:rsid w:val="00AD0D0C"/>
    <w:rsid w:val="00AD28A1"/>
    <w:rsid w:val="00AD39D3"/>
    <w:rsid w:val="00AD6CA7"/>
    <w:rsid w:val="00AF04EA"/>
    <w:rsid w:val="00AF1B9D"/>
    <w:rsid w:val="00AF2D9F"/>
    <w:rsid w:val="00AF4146"/>
    <w:rsid w:val="00B01E1E"/>
    <w:rsid w:val="00B04E52"/>
    <w:rsid w:val="00B064E0"/>
    <w:rsid w:val="00B0681C"/>
    <w:rsid w:val="00B06DF0"/>
    <w:rsid w:val="00B125E7"/>
    <w:rsid w:val="00B17733"/>
    <w:rsid w:val="00B17A2D"/>
    <w:rsid w:val="00B238A2"/>
    <w:rsid w:val="00B24199"/>
    <w:rsid w:val="00B2684F"/>
    <w:rsid w:val="00B30708"/>
    <w:rsid w:val="00B30B1C"/>
    <w:rsid w:val="00B32557"/>
    <w:rsid w:val="00B40A36"/>
    <w:rsid w:val="00B421B9"/>
    <w:rsid w:val="00B43070"/>
    <w:rsid w:val="00B43FAA"/>
    <w:rsid w:val="00B46946"/>
    <w:rsid w:val="00B52319"/>
    <w:rsid w:val="00B5524B"/>
    <w:rsid w:val="00B60374"/>
    <w:rsid w:val="00B624DE"/>
    <w:rsid w:val="00B631C4"/>
    <w:rsid w:val="00B648B6"/>
    <w:rsid w:val="00B65453"/>
    <w:rsid w:val="00B669BA"/>
    <w:rsid w:val="00B67E11"/>
    <w:rsid w:val="00B75280"/>
    <w:rsid w:val="00B81D39"/>
    <w:rsid w:val="00B82D37"/>
    <w:rsid w:val="00B879EB"/>
    <w:rsid w:val="00B87A14"/>
    <w:rsid w:val="00B87A48"/>
    <w:rsid w:val="00B91A45"/>
    <w:rsid w:val="00BA398E"/>
    <w:rsid w:val="00BA58F0"/>
    <w:rsid w:val="00BA6D3B"/>
    <w:rsid w:val="00BA7453"/>
    <w:rsid w:val="00BB0336"/>
    <w:rsid w:val="00BB0FA2"/>
    <w:rsid w:val="00BB2223"/>
    <w:rsid w:val="00BB2B7B"/>
    <w:rsid w:val="00BB2E6B"/>
    <w:rsid w:val="00BC0C20"/>
    <w:rsid w:val="00BC508C"/>
    <w:rsid w:val="00BC79D7"/>
    <w:rsid w:val="00BD1389"/>
    <w:rsid w:val="00BD41E9"/>
    <w:rsid w:val="00BD51C6"/>
    <w:rsid w:val="00BD7908"/>
    <w:rsid w:val="00BE057A"/>
    <w:rsid w:val="00BE2D96"/>
    <w:rsid w:val="00BE520A"/>
    <w:rsid w:val="00BE5A23"/>
    <w:rsid w:val="00BE6705"/>
    <w:rsid w:val="00BE7FAD"/>
    <w:rsid w:val="00BF03C1"/>
    <w:rsid w:val="00BF0DAF"/>
    <w:rsid w:val="00BF0E76"/>
    <w:rsid w:val="00BF1E08"/>
    <w:rsid w:val="00BF2EB6"/>
    <w:rsid w:val="00BF7A0C"/>
    <w:rsid w:val="00C063C0"/>
    <w:rsid w:val="00C06DB4"/>
    <w:rsid w:val="00C0756A"/>
    <w:rsid w:val="00C12BE9"/>
    <w:rsid w:val="00C13786"/>
    <w:rsid w:val="00C14FCB"/>
    <w:rsid w:val="00C15A0C"/>
    <w:rsid w:val="00C15FE3"/>
    <w:rsid w:val="00C2443D"/>
    <w:rsid w:val="00C24999"/>
    <w:rsid w:val="00C25A3F"/>
    <w:rsid w:val="00C2616B"/>
    <w:rsid w:val="00C26E45"/>
    <w:rsid w:val="00C318C2"/>
    <w:rsid w:val="00C35769"/>
    <w:rsid w:val="00C405C9"/>
    <w:rsid w:val="00C40FE1"/>
    <w:rsid w:val="00C434BA"/>
    <w:rsid w:val="00C44BCE"/>
    <w:rsid w:val="00C46EAD"/>
    <w:rsid w:val="00C51140"/>
    <w:rsid w:val="00C536A9"/>
    <w:rsid w:val="00C56A2B"/>
    <w:rsid w:val="00C57A7D"/>
    <w:rsid w:val="00C57DD2"/>
    <w:rsid w:val="00C6039F"/>
    <w:rsid w:val="00C61FE7"/>
    <w:rsid w:val="00C64B7C"/>
    <w:rsid w:val="00C673DF"/>
    <w:rsid w:val="00C75A94"/>
    <w:rsid w:val="00C77A24"/>
    <w:rsid w:val="00C77AA8"/>
    <w:rsid w:val="00C804FA"/>
    <w:rsid w:val="00C82D91"/>
    <w:rsid w:val="00C82E68"/>
    <w:rsid w:val="00C862B3"/>
    <w:rsid w:val="00C87690"/>
    <w:rsid w:val="00C87B3D"/>
    <w:rsid w:val="00C92F00"/>
    <w:rsid w:val="00C936E3"/>
    <w:rsid w:val="00C93DA5"/>
    <w:rsid w:val="00C9452A"/>
    <w:rsid w:val="00C94FA3"/>
    <w:rsid w:val="00C9774D"/>
    <w:rsid w:val="00CA00CA"/>
    <w:rsid w:val="00CA0334"/>
    <w:rsid w:val="00CA2884"/>
    <w:rsid w:val="00CA2953"/>
    <w:rsid w:val="00CA3206"/>
    <w:rsid w:val="00CA348C"/>
    <w:rsid w:val="00CA4CD5"/>
    <w:rsid w:val="00CA68AA"/>
    <w:rsid w:val="00CB12D2"/>
    <w:rsid w:val="00CB3280"/>
    <w:rsid w:val="00CB3F09"/>
    <w:rsid w:val="00CB4283"/>
    <w:rsid w:val="00CB4873"/>
    <w:rsid w:val="00CB57BD"/>
    <w:rsid w:val="00CB618B"/>
    <w:rsid w:val="00CC1A9F"/>
    <w:rsid w:val="00CC1C9A"/>
    <w:rsid w:val="00CC252A"/>
    <w:rsid w:val="00CC4493"/>
    <w:rsid w:val="00CC44BA"/>
    <w:rsid w:val="00CC47DB"/>
    <w:rsid w:val="00CC5D81"/>
    <w:rsid w:val="00CC7B84"/>
    <w:rsid w:val="00CD275C"/>
    <w:rsid w:val="00CD4231"/>
    <w:rsid w:val="00CD4AF0"/>
    <w:rsid w:val="00CD7B4A"/>
    <w:rsid w:val="00CE3A30"/>
    <w:rsid w:val="00CE4050"/>
    <w:rsid w:val="00CE4F1D"/>
    <w:rsid w:val="00CE602D"/>
    <w:rsid w:val="00CE65F8"/>
    <w:rsid w:val="00CE792C"/>
    <w:rsid w:val="00CE7DD4"/>
    <w:rsid w:val="00CF59F8"/>
    <w:rsid w:val="00CF615A"/>
    <w:rsid w:val="00CF745F"/>
    <w:rsid w:val="00D0047C"/>
    <w:rsid w:val="00D01366"/>
    <w:rsid w:val="00D0265F"/>
    <w:rsid w:val="00D03403"/>
    <w:rsid w:val="00D046B8"/>
    <w:rsid w:val="00D12693"/>
    <w:rsid w:val="00D1359A"/>
    <w:rsid w:val="00D22FAB"/>
    <w:rsid w:val="00D258FD"/>
    <w:rsid w:val="00D26687"/>
    <w:rsid w:val="00D2689C"/>
    <w:rsid w:val="00D26B80"/>
    <w:rsid w:val="00D30EE3"/>
    <w:rsid w:val="00D329C5"/>
    <w:rsid w:val="00D3321C"/>
    <w:rsid w:val="00D337F6"/>
    <w:rsid w:val="00D35580"/>
    <w:rsid w:val="00D356EA"/>
    <w:rsid w:val="00D401A6"/>
    <w:rsid w:val="00D409EF"/>
    <w:rsid w:val="00D40B26"/>
    <w:rsid w:val="00D453E0"/>
    <w:rsid w:val="00D5328E"/>
    <w:rsid w:val="00D54F1A"/>
    <w:rsid w:val="00D565F5"/>
    <w:rsid w:val="00D567DA"/>
    <w:rsid w:val="00D577DB"/>
    <w:rsid w:val="00D57E1A"/>
    <w:rsid w:val="00D608B9"/>
    <w:rsid w:val="00D61861"/>
    <w:rsid w:val="00D622CD"/>
    <w:rsid w:val="00D62567"/>
    <w:rsid w:val="00D66575"/>
    <w:rsid w:val="00D70550"/>
    <w:rsid w:val="00D80FD3"/>
    <w:rsid w:val="00D82784"/>
    <w:rsid w:val="00D8528C"/>
    <w:rsid w:val="00D87357"/>
    <w:rsid w:val="00D93C90"/>
    <w:rsid w:val="00D97E72"/>
    <w:rsid w:val="00DA0B4C"/>
    <w:rsid w:val="00DA116F"/>
    <w:rsid w:val="00DA25E7"/>
    <w:rsid w:val="00DA56E9"/>
    <w:rsid w:val="00DA71CC"/>
    <w:rsid w:val="00DB0579"/>
    <w:rsid w:val="00DB697C"/>
    <w:rsid w:val="00DB727B"/>
    <w:rsid w:val="00DB7622"/>
    <w:rsid w:val="00DB7E9D"/>
    <w:rsid w:val="00DC26C6"/>
    <w:rsid w:val="00DC277E"/>
    <w:rsid w:val="00DC3027"/>
    <w:rsid w:val="00DC383B"/>
    <w:rsid w:val="00DC3D1F"/>
    <w:rsid w:val="00DD13E3"/>
    <w:rsid w:val="00DD2ED9"/>
    <w:rsid w:val="00DD33A6"/>
    <w:rsid w:val="00DD4A45"/>
    <w:rsid w:val="00DD63D1"/>
    <w:rsid w:val="00DE0362"/>
    <w:rsid w:val="00DE222A"/>
    <w:rsid w:val="00DE34C7"/>
    <w:rsid w:val="00DE3DF8"/>
    <w:rsid w:val="00DE5E9E"/>
    <w:rsid w:val="00DE7D44"/>
    <w:rsid w:val="00DF0E81"/>
    <w:rsid w:val="00DF1196"/>
    <w:rsid w:val="00DF73D5"/>
    <w:rsid w:val="00E006A4"/>
    <w:rsid w:val="00E01733"/>
    <w:rsid w:val="00E041AA"/>
    <w:rsid w:val="00E0726C"/>
    <w:rsid w:val="00E12C8B"/>
    <w:rsid w:val="00E13696"/>
    <w:rsid w:val="00E15607"/>
    <w:rsid w:val="00E15BD9"/>
    <w:rsid w:val="00E20153"/>
    <w:rsid w:val="00E213C3"/>
    <w:rsid w:val="00E24AF7"/>
    <w:rsid w:val="00E2637A"/>
    <w:rsid w:val="00E31555"/>
    <w:rsid w:val="00E31DCB"/>
    <w:rsid w:val="00E3267B"/>
    <w:rsid w:val="00E350B1"/>
    <w:rsid w:val="00E355CF"/>
    <w:rsid w:val="00E355D3"/>
    <w:rsid w:val="00E37A69"/>
    <w:rsid w:val="00E40E68"/>
    <w:rsid w:val="00E420DA"/>
    <w:rsid w:val="00E432BC"/>
    <w:rsid w:val="00E452FF"/>
    <w:rsid w:val="00E46A23"/>
    <w:rsid w:val="00E471B1"/>
    <w:rsid w:val="00E47253"/>
    <w:rsid w:val="00E52FB0"/>
    <w:rsid w:val="00E5543F"/>
    <w:rsid w:val="00E61183"/>
    <w:rsid w:val="00E61800"/>
    <w:rsid w:val="00E62303"/>
    <w:rsid w:val="00E658A8"/>
    <w:rsid w:val="00E668DA"/>
    <w:rsid w:val="00E676D9"/>
    <w:rsid w:val="00E71800"/>
    <w:rsid w:val="00E73BE6"/>
    <w:rsid w:val="00E73BEC"/>
    <w:rsid w:val="00E73D9E"/>
    <w:rsid w:val="00E73E25"/>
    <w:rsid w:val="00E74949"/>
    <w:rsid w:val="00E74A8E"/>
    <w:rsid w:val="00E76AD5"/>
    <w:rsid w:val="00E82224"/>
    <w:rsid w:val="00E87A83"/>
    <w:rsid w:val="00E96C97"/>
    <w:rsid w:val="00EA09A8"/>
    <w:rsid w:val="00EA3E32"/>
    <w:rsid w:val="00EA6D61"/>
    <w:rsid w:val="00EA704E"/>
    <w:rsid w:val="00EA7F7C"/>
    <w:rsid w:val="00EB2913"/>
    <w:rsid w:val="00EB42BD"/>
    <w:rsid w:val="00EB642C"/>
    <w:rsid w:val="00EC2475"/>
    <w:rsid w:val="00EC4E86"/>
    <w:rsid w:val="00EC5566"/>
    <w:rsid w:val="00EC69E9"/>
    <w:rsid w:val="00ED12A0"/>
    <w:rsid w:val="00ED2D4B"/>
    <w:rsid w:val="00ED4F9C"/>
    <w:rsid w:val="00ED55F8"/>
    <w:rsid w:val="00ED5689"/>
    <w:rsid w:val="00ED697B"/>
    <w:rsid w:val="00ED70F4"/>
    <w:rsid w:val="00EE0B69"/>
    <w:rsid w:val="00EE0F9A"/>
    <w:rsid w:val="00EE1A69"/>
    <w:rsid w:val="00EE5547"/>
    <w:rsid w:val="00EE7CE2"/>
    <w:rsid w:val="00EF6DB6"/>
    <w:rsid w:val="00EF6EF4"/>
    <w:rsid w:val="00F00091"/>
    <w:rsid w:val="00F005E7"/>
    <w:rsid w:val="00F01476"/>
    <w:rsid w:val="00F0190B"/>
    <w:rsid w:val="00F0202B"/>
    <w:rsid w:val="00F02302"/>
    <w:rsid w:val="00F03454"/>
    <w:rsid w:val="00F0494D"/>
    <w:rsid w:val="00F04A09"/>
    <w:rsid w:val="00F05D9E"/>
    <w:rsid w:val="00F06492"/>
    <w:rsid w:val="00F07ED0"/>
    <w:rsid w:val="00F10121"/>
    <w:rsid w:val="00F1264F"/>
    <w:rsid w:val="00F12882"/>
    <w:rsid w:val="00F1424F"/>
    <w:rsid w:val="00F1577A"/>
    <w:rsid w:val="00F21581"/>
    <w:rsid w:val="00F22362"/>
    <w:rsid w:val="00F24C6B"/>
    <w:rsid w:val="00F26850"/>
    <w:rsid w:val="00F274AF"/>
    <w:rsid w:val="00F308B0"/>
    <w:rsid w:val="00F3163A"/>
    <w:rsid w:val="00F3402B"/>
    <w:rsid w:val="00F365E1"/>
    <w:rsid w:val="00F3673E"/>
    <w:rsid w:val="00F400D9"/>
    <w:rsid w:val="00F40471"/>
    <w:rsid w:val="00F43778"/>
    <w:rsid w:val="00F43A25"/>
    <w:rsid w:val="00F44207"/>
    <w:rsid w:val="00F442EF"/>
    <w:rsid w:val="00F44932"/>
    <w:rsid w:val="00F471C7"/>
    <w:rsid w:val="00F509D2"/>
    <w:rsid w:val="00F53E92"/>
    <w:rsid w:val="00F554B2"/>
    <w:rsid w:val="00F579EE"/>
    <w:rsid w:val="00F57BC9"/>
    <w:rsid w:val="00F60225"/>
    <w:rsid w:val="00F61A0A"/>
    <w:rsid w:val="00F61AD6"/>
    <w:rsid w:val="00F641D8"/>
    <w:rsid w:val="00F64532"/>
    <w:rsid w:val="00F66627"/>
    <w:rsid w:val="00F711EC"/>
    <w:rsid w:val="00F71E61"/>
    <w:rsid w:val="00F75713"/>
    <w:rsid w:val="00F75AB0"/>
    <w:rsid w:val="00F75C73"/>
    <w:rsid w:val="00F81536"/>
    <w:rsid w:val="00F85169"/>
    <w:rsid w:val="00F85239"/>
    <w:rsid w:val="00F8527D"/>
    <w:rsid w:val="00F8540D"/>
    <w:rsid w:val="00F90548"/>
    <w:rsid w:val="00F922EF"/>
    <w:rsid w:val="00F937BD"/>
    <w:rsid w:val="00F962DC"/>
    <w:rsid w:val="00FA07CF"/>
    <w:rsid w:val="00FA2F0E"/>
    <w:rsid w:val="00FA4ABC"/>
    <w:rsid w:val="00FA51C6"/>
    <w:rsid w:val="00FA5D2F"/>
    <w:rsid w:val="00FB11E7"/>
    <w:rsid w:val="00FB7C96"/>
    <w:rsid w:val="00FC1F97"/>
    <w:rsid w:val="00FC460B"/>
    <w:rsid w:val="00FC56B8"/>
    <w:rsid w:val="00FC5F20"/>
    <w:rsid w:val="00FC69AF"/>
    <w:rsid w:val="00FC7B5E"/>
    <w:rsid w:val="00FD079E"/>
    <w:rsid w:val="00FD0B41"/>
    <w:rsid w:val="00FD20A0"/>
    <w:rsid w:val="00FD4991"/>
    <w:rsid w:val="00FE0113"/>
    <w:rsid w:val="00FE0A00"/>
    <w:rsid w:val="00FE0D2A"/>
    <w:rsid w:val="00FE417B"/>
    <w:rsid w:val="00FE6AF1"/>
    <w:rsid w:val="00FE7A2E"/>
    <w:rsid w:val="00FF1392"/>
    <w:rsid w:val="00FF2D63"/>
    <w:rsid w:val="00FF403E"/>
    <w:rsid w:val="00FF6ACF"/>
    <w:rsid w:val="00FF7157"/>
    <w:rsid w:val="01086012"/>
    <w:rsid w:val="012F23D2"/>
    <w:rsid w:val="01353E46"/>
    <w:rsid w:val="013D20EF"/>
    <w:rsid w:val="013D4C8F"/>
    <w:rsid w:val="0141555F"/>
    <w:rsid w:val="01542AFA"/>
    <w:rsid w:val="015460A2"/>
    <w:rsid w:val="015E6630"/>
    <w:rsid w:val="016C75C7"/>
    <w:rsid w:val="018D524F"/>
    <w:rsid w:val="019036D8"/>
    <w:rsid w:val="01A01767"/>
    <w:rsid w:val="01A40E48"/>
    <w:rsid w:val="01A66FAC"/>
    <w:rsid w:val="01BD4FDC"/>
    <w:rsid w:val="01C42B8B"/>
    <w:rsid w:val="01CE3A0A"/>
    <w:rsid w:val="01E941AE"/>
    <w:rsid w:val="01ED256A"/>
    <w:rsid w:val="01FE504C"/>
    <w:rsid w:val="021A6C4F"/>
    <w:rsid w:val="021F6C88"/>
    <w:rsid w:val="02201D8C"/>
    <w:rsid w:val="0221105C"/>
    <w:rsid w:val="02240E71"/>
    <w:rsid w:val="022F6268"/>
    <w:rsid w:val="0230144B"/>
    <w:rsid w:val="023E2A8F"/>
    <w:rsid w:val="023F01AC"/>
    <w:rsid w:val="02497F02"/>
    <w:rsid w:val="025C7268"/>
    <w:rsid w:val="025D37A6"/>
    <w:rsid w:val="02630A21"/>
    <w:rsid w:val="027520D7"/>
    <w:rsid w:val="028265A2"/>
    <w:rsid w:val="02910656"/>
    <w:rsid w:val="029452C8"/>
    <w:rsid w:val="0299330C"/>
    <w:rsid w:val="029C2053"/>
    <w:rsid w:val="029E3E12"/>
    <w:rsid w:val="02AE2F1E"/>
    <w:rsid w:val="02B07476"/>
    <w:rsid w:val="02B12263"/>
    <w:rsid w:val="02B34262"/>
    <w:rsid w:val="02BA6D6B"/>
    <w:rsid w:val="02BC6761"/>
    <w:rsid w:val="02C30781"/>
    <w:rsid w:val="02C32A89"/>
    <w:rsid w:val="02EB23C8"/>
    <w:rsid w:val="02ED4254"/>
    <w:rsid w:val="02F54A67"/>
    <w:rsid w:val="02FB586B"/>
    <w:rsid w:val="032764F6"/>
    <w:rsid w:val="032C124E"/>
    <w:rsid w:val="03355FAD"/>
    <w:rsid w:val="03357A15"/>
    <w:rsid w:val="033F6615"/>
    <w:rsid w:val="034A4B76"/>
    <w:rsid w:val="035148F2"/>
    <w:rsid w:val="03604B36"/>
    <w:rsid w:val="03646BB0"/>
    <w:rsid w:val="036A455B"/>
    <w:rsid w:val="03700AD7"/>
    <w:rsid w:val="03881BEB"/>
    <w:rsid w:val="03B07722"/>
    <w:rsid w:val="03B94246"/>
    <w:rsid w:val="03C9092D"/>
    <w:rsid w:val="03C947DD"/>
    <w:rsid w:val="03CC3F79"/>
    <w:rsid w:val="03CD0376"/>
    <w:rsid w:val="03E73921"/>
    <w:rsid w:val="03E868D9"/>
    <w:rsid w:val="03EB0F95"/>
    <w:rsid w:val="03F1290E"/>
    <w:rsid w:val="04002E0B"/>
    <w:rsid w:val="040F03FA"/>
    <w:rsid w:val="0412438A"/>
    <w:rsid w:val="04136717"/>
    <w:rsid w:val="041D2A27"/>
    <w:rsid w:val="04332546"/>
    <w:rsid w:val="04533461"/>
    <w:rsid w:val="046E6DDE"/>
    <w:rsid w:val="047015B8"/>
    <w:rsid w:val="048D54DF"/>
    <w:rsid w:val="04B51F1A"/>
    <w:rsid w:val="04BD0338"/>
    <w:rsid w:val="04C56D31"/>
    <w:rsid w:val="04CD0D24"/>
    <w:rsid w:val="04CF0F22"/>
    <w:rsid w:val="04D7542D"/>
    <w:rsid w:val="04DD163F"/>
    <w:rsid w:val="04E452F2"/>
    <w:rsid w:val="04E82F5F"/>
    <w:rsid w:val="05084E1A"/>
    <w:rsid w:val="051C4018"/>
    <w:rsid w:val="0536624A"/>
    <w:rsid w:val="05476ED2"/>
    <w:rsid w:val="05507187"/>
    <w:rsid w:val="05547F50"/>
    <w:rsid w:val="05586D81"/>
    <w:rsid w:val="055909BC"/>
    <w:rsid w:val="056775E0"/>
    <w:rsid w:val="05812096"/>
    <w:rsid w:val="05962A91"/>
    <w:rsid w:val="05A174D0"/>
    <w:rsid w:val="05A31C11"/>
    <w:rsid w:val="05A54A82"/>
    <w:rsid w:val="05B15E1B"/>
    <w:rsid w:val="05B6570E"/>
    <w:rsid w:val="05B719DB"/>
    <w:rsid w:val="05C8568A"/>
    <w:rsid w:val="05D411B5"/>
    <w:rsid w:val="05DC03BC"/>
    <w:rsid w:val="05E03755"/>
    <w:rsid w:val="05E05D39"/>
    <w:rsid w:val="05EE025B"/>
    <w:rsid w:val="05F81055"/>
    <w:rsid w:val="05FB2E46"/>
    <w:rsid w:val="06274DE9"/>
    <w:rsid w:val="0643158D"/>
    <w:rsid w:val="0652465D"/>
    <w:rsid w:val="06606ACF"/>
    <w:rsid w:val="06632C8A"/>
    <w:rsid w:val="066C44D0"/>
    <w:rsid w:val="066F0F20"/>
    <w:rsid w:val="06780BE4"/>
    <w:rsid w:val="067D77AC"/>
    <w:rsid w:val="0688298E"/>
    <w:rsid w:val="06A978A6"/>
    <w:rsid w:val="06BA577F"/>
    <w:rsid w:val="06C373A0"/>
    <w:rsid w:val="06CA61EA"/>
    <w:rsid w:val="06CE3AAD"/>
    <w:rsid w:val="06D3256B"/>
    <w:rsid w:val="06E93094"/>
    <w:rsid w:val="07142FC9"/>
    <w:rsid w:val="0716354A"/>
    <w:rsid w:val="071A113A"/>
    <w:rsid w:val="071A5532"/>
    <w:rsid w:val="073F7F68"/>
    <w:rsid w:val="07433326"/>
    <w:rsid w:val="074D1200"/>
    <w:rsid w:val="074E4657"/>
    <w:rsid w:val="07701435"/>
    <w:rsid w:val="078057A6"/>
    <w:rsid w:val="0791006E"/>
    <w:rsid w:val="07A93817"/>
    <w:rsid w:val="07AA51F7"/>
    <w:rsid w:val="07C047C7"/>
    <w:rsid w:val="07C16E32"/>
    <w:rsid w:val="07C956F1"/>
    <w:rsid w:val="07DE071F"/>
    <w:rsid w:val="07E53D2A"/>
    <w:rsid w:val="07E724F1"/>
    <w:rsid w:val="07F54B10"/>
    <w:rsid w:val="080D2DB2"/>
    <w:rsid w:val="08236132"/>
    <w:rsid w:val="0824157E"/>
    <w:rsid w:val="082A5712"/>
    <w:rsid w:val="08365D8B"/>
    <w:rsid w:val="083932FD"/>
    <w:rsid w:val="083C1D74"/>
    <w:rsid w:val="08442529"/>
    <w:rsid w:val="08664D5B"/>
    <w:rsid w:val="087338E5"/>
    <w:rsid w:val="087E552F"/>
    <w:rsid w:val="08935065"/>
    <w:rsid w:val="08994E2C"/>
    <w:rsid w:val="089E0248"/>
    <w:rsid w:val="08AA7F40"/>
    <w:rsid w:val="08AC09F8"/>
    <w:rsid w:val="08AF1C74"/>
    <w:rsid w:val="08B76FB8"/>
    <w:rsid w:val="08BB3B09"/>
    <w:rsid w:val="08EC3C9C"/>
    <w:rsid w:val="08EF4818"/>
    <w:rsid w:val="08F26284"/>
    <w:rsid w:val="08F57B11"/>
    <w:rsid w:val="08F617F2"/>
    <w:rsid w:val="08F64252"/>
    <w:rsid w:val="08F94C8C"/>
    <w:rsid w:val="08FD0C7A"/>
    <w:rsid w:val="09027DBF"/>
    <w:rsid w:val="090F109A"/>
    <w:rsid w:val="09151314"/>
    <w:rsid w:val="09263609"/>
    <w:rsid w:val="092E2FE0"/>
    <w:rsid w:val="093E5BC8"/>
    <w:rsid w:val="0953633D"/>
    <w:rsid w:val="095867F9"/>
    <w:rsid w:val="096659B3"/>
    <w:rsid w:val="09697733"/>
    <w:rsid w:val="097D56DC"/>
    <w:rsid w:val="09953804"/>
    <w:rsid w:val="099A0675"/>
    <w:rsid w:val="099C034D"/>
    <w:rsid w:val="09A71810"/>
    <w:rsid w:val="09AF52BC"/>
    <w:rsid w:val="09C556F2"/>
    <w:rsid w:val="09C9680A"/>
    <w:rsid w:val="09DB3327"/>
    <w:rsid w:val="09E33DCA"/>
    <w:rsid w:val="09EA33AB"/>
    <w:rsid w:val="09EA6668"/>
    <w:rsid w:val="0A0501E5"/>
    <w:rsid w:val="0A075D0B"/>
    <w:rsid w:val="0A0A57FB"/>
    <w:rsid w:val="0A193C90"/>
    <w:rsid w:val="0A1A77A1"/>
    <w:rsid w:val="0A3E3D26"/>
    <w:rsid w:val="0A4834F8"/>
    <w:rsid w:val="0A6173D2"/>
    <w:rsid w:val="0A682231"/>
    <w:rsid w:val="0A6825A9"/>
    <w:rsid w:val="0A781198"/>
    <w:rsid w:val="0AAC10E4"/>
    <w:rsid w:val="0AB07E4A"/>
    <w:rsid w:val="0AC93B72"/>
    <w:rsid w:val="0ACA6D38"/>
    <w:rsid w:val="0AD53C26"/>
    <w:rsid w:val="0ADD3B4A"/>
    <w:rsid w:val="0AEA7141"/>
    <w:rsid w:val="0AEE775A"/>
    <w:rsid w:val="0AFF5154"/>
    <w:rsid w:val="0B0260FA"/>
    <w:rsid w:val="0B127FA5"/>
    <w:rsid w:val="0B187C06"/>
    <w:rsid w:val="0B462863"/>
    <w:rsid w:val="0B4B3360"/>
    <w:rsid w:val="0B6153F6"/>
    <w:rsid w:val="0B6C4BE2"/>
    <w:rsid w:val="0B832C7E"/>
    <w:rsid w:val="0B895D1E"/>
    <w:rsid w:val="0B903157"/>
    <w:rsid w:val="0B9335CE"/>
    <w:rsid w:val="0BA653BF"/>
    <w:rsid w:val="0BAC6F99"/>
    <w:rsid w:val="0BCD1EAC"/>
    <w:rsid w:val="0BCF142C"/>
    <w:rsid w:val="0BCF27CB"/>
    <w:rsid w:val="0BDC319A"/>
    <w:rsid w:val="0BFB783E"/>
    <w:rsid w:val="0BFD5373"/>
    <w:rsid w:val="0BFD6481"/>
    <w:rsid w:val="0BFE68ED"/>
    <w:rsid w:val="0C0F0CD9"/>
    <w:rsid w:val="0C605BA6"/>
    <w:rsid w:val="0C631998"/>
    <w:rsid w:val="0C6821F6"/>
    <w:rsid w:val="0C9724B3"/>
    <w:rsid w:val="0C990787"/>
    <w:rsid w:val="0C992D4F"/>
    <w:rsid w:val="0CAE3A50"/>
    <w:rsid w:val="0CBF15FF"/>
    <w:rsid w:val="0CC20F4F"/>
    <w:rsid w:val="0CD90540"/>
    <w:rsid w:val="0CD91857"/>
    <w:rsid w:val="0CDA4E4E"/>
    <w:rsid w:val="0CF258A4"/>
    <w:rsid w:val="0D212A41"/>
    <w:rsid w:val="0D214045"/>
    <w:rsid w:val="0D215F2C"/>
    <w:rsid w:val="0D314FE6"/>
    <w:rsid w:val="0D330BC5"/>
    <w:rsid w:val="0D540C02"/>
    <w:rsid w:val="0D571C0F"/>
    <w:rsid w:val="0D5F19BA"/>
    <w:rsid w:val="0D637F0E"/>
    <w:rsid w:val="0D645222"/>
    <w:rsid w:val="0D6A5410"/>
    <w:rsid w:val="0D794CB6"/>
    <w:rsid w:val="0D8324ED"/>
    <w:rsid w:val="0D8F059D"/>
    <w:rsid w:val="0D8F5855"/>
    <w:rsid w:val="0D936D15"/>
    <w:rsid w:val="0D9827E5"/>
    <w:rsid w:val="0DAF3D29"/>
    <w:rsid w:val="0DBB49DC"/>
    <w:rsid w:val="0DBC0BBA"/>
    <w:rsid w:val="0DC466B9"/>
    <w:rsid w:val="0DC54945"/>
    <w:rsid w:val="0DF25BA4"/>
    <w:rsid w:val="0DF77047"/>
    <w:rsid w:val="0DFD573A"/>
    <w:rsid w:val="0DFE1012"/>
    <w:rsid w:val="0E0B029F"/>
    <w:rsid w:val="0E230373"/>
    <w:rsid w:val="0E236E8B"/>
    <w:rsid w:val="0E2A41ED"/>
    <w:rsid w:val="0E30302E"/>
    <w:rsid w:val="0E351EED"/>
    <w:rsid w:val="0E397874"/>
    <w:rsid w:val="0E43752E"/>
    <w:rsid w:val="0E461B92"/>
    <w:rsid w:val="0E6059EA"/>
    <w:rsid w:val="0E632208"/>
    <w:rsid w:val="0E6574A4"/>
    <w:rsid w:val="0E7C6025"/>
    <w:rsid w:val="0E844468"/>
    <w:rsid w:val="0E910299"/>
    <w:rsid w:val="0E9E135B"/>
    <w:rsid w:val="0EA44F43"/>
    <w:rsid w:val="0EA62844"/>
    <w:rsid w:val="0EC2669E"/>
    <w:rsid w:val="0EC95C60"/>
    <w:rsid w:val="0ED75315"/>
    <w:rsid w:val="0ED756CF"/>
    <w:rsid w:val="0EE34A0A"/>
    <w:rsid w:val="0EEF23A4"/>
    <w:rsid w:val="0F2500FF"/>
    <w:rsid w:val="0F2A7DB7"/>
    <w:rsid w:val="0F2D61D9"/>
    <w:rsid w:val="0F43254D"/>
    <w:rsid w:val="0F45451E"/>
    <w:rsid w:val="0F5372FC"/>
    <w:rsid w:val="0F543C48"/>
    <w:rsid w:val="0F54568B"/>
    <w:rsid w:val="0F6801CF"/>
    <w:rsid w:val="0F7F71A8"/>
    <w:rsid w:val="0F851480"/>
    <w:rsid w:val="0F9B0554"/>
    <w:rsid w:val="0FAF5422"/>
    <w:rsid w:val="0FAF5990"/>
    <w:rsid w:val="0FB271E8"/>
    <w:rsid w:val="0FB3423F"/>
    <w:rsid w:val="0FB73D2F"/>
    <w:rsid w:val="0FBF1392"/>
    <w:rsid w:val="0FC41BDA"/>
    <w:rsid w:val="0FD84D52"/>
    <w:rsid w:val="0FD93801"/>
    <w:rsid w:val="0FDC41E3"/>
    <w:rsid w:val="0FE95EB3"/>
    <w:rsid w:val="100C40A0"/>
    <w:rsid w:val="10131FB5"/>
    <w:rsid w:val="10176676"/>
    <w:rsid w:val="1031732E"/>
    <w:rsid w:val="10327E3A"/>
    <w:rsid w:val="10374301"/>
    <w:rsid w:val="10394E9C"/>
    <w:rsid w:val="103A764D"/>
    <w:rsid w:val="103B6EC4"/>
    <w:rsid w:val="10457DEF"/>
    <w:rsid w:val="10482BD9"/>
    <w:rsid w:val="104A6951"/>
    <w:rsid w:val="105628E7"/>
    <w:rsid w:val="105A27E6"/>
    <w:rsid w:val="105C0FEB"/>
    <w:rsid w:val="108120DC"/>
    <w:rsid w:val="108950E7"/>
    <w:rsid w:val="109135C4"/>
    <w:rsid w:val="10A4426E"/>
    <w:rsid w:val="10B656D8"/>
    <w:rsid w:val="10BB6F68"/>
    <w:rsid w:val="10C37A22"/>
    <w:rsid w:val="10C556C7"/>
    <w:rsid w:val="10C55FD8"/>
    <w:rsid w:val="10F772EF"/>
    <w:rsid w:val="11017A58"/>
    <w:rsid w:val="11023D17"/>
    <w:rsid w:val="110F34C8"/>
    <w:rsid w:val="111016B8"/>
    <w:rsid w:val="114415F3"/>
    <w:rsid w:val="11491151"/>
    <w:rsid w:val="1159543F"/>
    <w:rsid w:val="116230D1"/>
    <w:rsid w:val="116A7E05"/>
    <w:rsid w:val="11722460"/>
    <w:rsid w:val="117A4F14"/>
    <w:rsid w:val="119D6F55"/>
    <w:rsid w:val="11B63433"/>
    <w:rsid w:val="11CB1987"/>
    <w:rsid w:val="11D529F0"/>
    <w:rsid w:val="11DC5FC8"/>
    <w:rsid w:val="11E71072"/>
    <w:rsid w:val="11F55D84"/>
    <w:rsid w:val="11F95233"/>
    <w:rsid w:val="11FE73E1"/>
    <w:rsid w:val="1206271C"/>
    <w:rsid w:val="120E39AF"/>
    <w:rsid w:val="12114BE2"/>
    <w:rsid w:val="121911ED"/>
    <w:rsid w:val="12261816"/>
    <w:rsid w:val="122816CA"/>
    <w:rsid w:val="1231523F"/>
    <w:rsid w:val="12392AE3"/>
    <w:rsid w:val="12404237"/>
    <w:rsid w:val="12421044"/>
    <w:rsid w:val="127A5380"/>
    <w:rsid w:val="12957C2C"/>
    <w:rsid w:val="1298079E"/>
    <w:rsid w:val="12AD5EBA"/>
    <w:rsid w:val="12B10442"/>
    <w:rsid w:val="12C319F0"/>
    <w:rsid w:val="12CB7F7B"/>
    <w:rsid w:val="12D57B5A"/>
    <w:rsid w:val="12D60970"/>
    <w:rsid w:val="12DA74FD"/>
    <w:rsid w:val="130354DD"/>
    <w:rsid w:val="13160E95"/>
    <w:rsid w:val="131D4A08"/>
    <w:rsid w:val="132A077A"/>
    <w:rsid w:val="132B4874"/>
    <w:rsid w:val="13365D96"/>
    <w:rsid w:val="133833D9"/>
    <w:rsid w:val="13401CF4"/>
    <w:rsid w:val="13474541"/>
    <w:rsid w:val="13477178"/>
    <w:rsid w:val="13597FDE"/>
    <w:rsid w:val="135C5234"/>
    <w:rsid w:val="13610A7C"/>
    <w:rsid w:val="136415FC"/>
    <w:rsid w:val="1370511E"/>
    <w:rsid w:val="138A2CF3"/>
    <w:rsid w:val="139600FA"/>
    <w:rsid w:val="139B1B3C"/>
    <w:rsid w:val="13AC7923"/>
    <w:rsid w:val="13BB36C2"/>
    <w:rsid w:val="13C163E4"/>
    <w:rsid w:val="13C24A51"/>
    <w:rsid w:val="13CF69C3"/>
    <w:rsid w:val="13E63AA6"/>
    <w:rsid w:val="13EB21F9"/>
    <w:rsid w:val="13F175F7"/>
    <w:rsid w:val="13F85DC5"/>
    <w:rsid w:val="13FC3073"/>
    <w:rsid w:val="14002DA6"/>
    <w:rsid w:val="141601C0"/>
    <w:rsid w:val="14183270"/>
    <w:rsid w:val="141D447E"/>
    <w:rsid w:val="141D6B0B"/>
    <w:rsid w:val="142D6F89"/>
    <w:rsid w:val="144554E0"/>
    <w:rsid w:val="144C2ACB"/>
    <w:rsid w:val="145908CD"/>
    <w:rsid w:val="145E67DE"/>
    <w:rsid w:val="1461426A"/>
    <w:rsid w:val="146975C2"/>
    <w:rsid w:val="14802FFF"/>
    <w:rsid w:val="148617D9"/>
    <w:rsid w:val="149258A7"/>
    <w:rsid w:val="149321EC"/>
    <w:rsid w:val="14A979BF"/>
    <w:rsid w:val="14AA6C47"/>
    <w:rsid w:val="14AD74AF"/>
    <w:rsid w:val="14B81325"/>
    <w:rsid w:val="14BB5770"/>
    <w:rsid w:val="14CA4494"/>
    <w:rsid w:val="14DD13B5"/>
    <w:rsid w:val="14DF1102"/>
    <w:rsid w:val="14E74E80"/>
    <w:rsid w:val="14FB05D3"/>
    <w:rsid w:val="14FB1DB1"/>
    <w:rsid w:val="1507775C"/>
    <w:rsid w:val="15082EFA"/>
    <w:rsid w:val="15107A3E"/>
    <w:rsid w:val="15214D63"/>
    <w:rsid w:val="153E6FE7"/>
    <w:rsid w:val="15535F3F"/>
    <w:rsid w:val="155C3CBE"/>
    <w:rsid w:val="15697093"/>
    <w:rsid w:val="15760076"/>
    <w:rsid w:val="157E5DA4"/>
    <w:rsid w:val="159F6FD6"/>
    <w:rsid w:val="15A5462A"/>
    <w:rsid w:val="15B01BBF"/>
    <w:rsid w:val="15EC3B3E"/>
    <w:rsid w:val="15F1786F"/>
    <w:rsid w:val="15F24B15"/>
    <w:rsid w:val="15F46C2A"/>
    <w:rsid w:val="16121567"/>
    <w:rsid w:val="16175528"/>
    <w:rsid w:val="16236B8C"/>
    <w:rsid w:val="162D4D4B"/>
    <w:rsid w:val="16343F81"/>
    <w:rsid w:val="163634D4"/>
    <w:rsid w:val="163948ED"/>
    <w:rsid w:val="164275F4"/>
    <w:rsid w:val="164717FA"/>
    <w:rsid w:val="1654148B"/>
    <w:rsid w:val="165710DF"/>
    <w:rsid w:val="16573B76"/>
    <w:rsid w:val="165B71D5"/>
    <w:rsid w:val="16677B31"/>
    <w:rsid w:val="166869FF"/>
    <w:rsid w:val="16700A7A"/>
    <w:rsid w:val="16734728"/>
    <w:rsid w:val="167D1103"/>
    <w:rsid w:val="1683572D"/>
    <w:rsid w:val="1698298B"/>
    <w:rsid w:val="169E0BEA"/>
    <w:rsid w:val="16A3744A"/>
    <w:rsid w:val="16AF7EFC"/>
    <w:rsid w:val="16D00899"/>
    <w:rsid w:val="16DD2BAC"/>
    <w:rsid w:val="16F70EB5"/>
    <w:rsid w:val="17197085"/>
    <w:rsid w:val="172460AC"/>
    <w:rsid w:val="172B1987"/>
    <w:rsid w:val="173054B2"/>
    <w:rsid w:val="17424EAD"/>
    <w:rsid w:val="174C1699"/>
    <w:rsid w:val="17544559"/>
    <w:rsid w:val="175E7E76"/>
    <w:rsid w:val="1763479D"/>
    <w:rsid w:val="178667F0"/>
    <w:rsid w:val="178A4C4F"/>
    <w:rsid w:val="17942AA9"/>
    <w:rsid w:val="17987255"/>
    <w:rsid w:val="179928AA"/>
    <w:rsid w:val="17A739C7"/>
    <w:rsid w:val="17C079EF"/>
    <w:rsid w:val="17C212EB"/>
    <w:rsid w:val="17C42121"/>
    <w:rsid w:val="17D66D1D"/>
    <w:rsid w:val="17D82A95"/>
    <w:rsid w:val="17D86805"/>
    <w:rsid w:val="17FB6C91"/>
    <w:rsid w:val="18053F1E"/>
    <w:rsid w:val="18085749"/>
    <w:rsid w:val="180B6D06"/>
    <w:rsid w:val="181A3262"/>
    <w:rsid w:val="181C3FF8"/>
    <w:rsid w:val="18365CFA"/>
    <w:rsid w:val="18410454"/>
    <w:rsid w:val="184114A1"/>
    <w:rsid w:val="18425C49"/>
    <w:rsid w:val="186969E3"/>
    <w:rsid w:val="18883A30"/>
    <w:rsid w:val="188C7694"/>
    <w:rsid w:val="18AE37F5"/>
    <w:rsid w:val="18BE3F0D"/>
    <w:rsid w:val="18C140E3"/>
    <w:rsid w:val="18CD6371"/>
    <w:rsid w:val="18DA0A8E"/>
    <w:rsid w:val="18DC03A2"/>
    <w:rsid w:val="18E11EA5"/>
    <w:rsid w:val="18FA4C8D"/>
    <w:rsid w:val="19054750"/>
    <w:rsid w:val="19083037"/>
    <w:rsid w:val="19092828"/>
    <w:rsid w:val="19103908"/>
    <w:rsid w:val="1933462F"/>
    <w:rsid w:val="19390D64"/>
    <w:rsid w:val="19554C37"/>
    <w:rsid w:val="19566DB3"/>
    <w:rsid w:val="196279A1"/>
    <w:rsid w:val="198040A4"/>
    <w:rsid w:val="198C37FE"/>
    <w:rsid w:val="19A941C1"/>
    <w:rsid w:val="19AE5ACF"/>
    <w:rsid w:val="19AF5A77"/>
    <w:rsid w:val="19B3071D"/>
    <w:rsid w:val="19B675DA"/>
    <w:rsid w:val="19C57049"/>
    <w:rsid w:val="19C637E5"/>
    <w:rsid w:val="19C721FB"/>
    <w:rsid w:val="19CE5CD8"/>
    <w:rsid w:val="19F02EFF"/>
    <w:rsid w:val="1A052165"/>
    <w:rsid w:val="1A063EF5"/>
    <w:rsid w:val="1A0F3AD5"/>
    <w:rsid w:val="1A0F6516"/>
    <w:rsid w:val="1A0F7374"/>
    <w:rsid w:val="1A142D27"/>
    <w:rsid w:val="1A1816AF"/>
    <w:rsid w:val="1A302494"/>
    <w:rsid w:val="1A330E88"/>
    <w:rsid w:val="1A407304"/>
    <w:rsid w:val="1A60672B"/>
    <w:rsid w:val="1A630F50"/>
    <w:rsid w:val="1A6732FB"/>
    <w:rsid w:val="1A7871D0"/>
    <w:rsid w:val="1A7929A3"/>
    <w:rsid w:val="1A7B4669"/>
    <w:rsid w:val="1A870B38"/>
    <w:rsid w:val="1A8C5DB8"/>
    <w:rsid w:val="1A8C6CF6"/>
    <w:rsid w:val="1A9417D9"/>
    <w:rsid w:val="1AA572B8"/>
    <w:rsid w:val="1AA70EB7"/>
    <w:rsid w:val="1AAA4949"/>
    <w:rsid w:val="1AB31D2F"/>
    <w:rsid w:val="1AC00AAF"/>
    <w:rsid w:val="1ACE55DA"/>
    <w:rsid w:val="1ACE6054"/>
    <w:rsid w:val="1ACE6D27"/>
    <w:rsid w:val="1AD734D7"/>
    <w:rsid w:val="1AE0038B"/>
    <w:rsid w:val="1AE34AB0"/>
    <w:rsid w:val="1AEF625F"/>
    <w:rsid w:val="1B403FA5"/>
    <w:rsid w:val="1B450A9E"/>
    <w:rsid w:val="1B481CDF"/>
    <w:rsid w:val="1B4B17D0"/>
    <w:rsid w:val="1B524326"/>
    <w:rsid w:val="1B55168B"/>
    <w:rsid w:val="1B561283"/>
    <w:rsid w:val="1B5A455C"/>
    <w:rsid w:val="1B63458F"/>
    <w:rsid w:val="1B645069"/>
    <w:rsid w:val="1B7D1BE7"/>
    <w:rsid w:val="1B7D1D15"/>
    <w:rsid w:val="1B8637EA"/>
    <w:rsid w:val="1B966EEF"/>
    <w:rsid w:val="1BDD1B28"/>
    <w:rsid w:val="1BE57F51"/>
    <w:rsid w:val="1C022610"/>
    <w:rsid w:val="1C037CCC"/>
    <w:rsid w:val="1C085913"/>
    <w:rsid w:val="1C0876C1"/>
    <w:rsid w:val="1C2F4A48"/>
    <w:rsid w:val="1C37598E"/>
    <w:rsid w:val="1C400DCC"/>
    <w:rsid w:val="1C4A3D51"/>
    <w:rsid w:val="1C550B58"/>
    <w:rsid w:val="1C6062B5"/>
    <w:rsid w:val="1C656B00"/>
    <w:rsid w:val="1C657709"/>
    <w:rsid w:val="1C6D522B"/>
    <w:rsid w:val="1C703A01"/>
    <w:rsid w:val="1C762201"/>
    <w:rsid w:val="1C87757C"/>
    <w:rsid w:val="1C911F05"/>
    <w:rsid w:val="1C9232F2"/>
    <w:rsid w:val="1C943E77"/>
    <w:rsid w:val="1C993860"/>
    <w:rsid w:val="1CA06DAD"/>
    <w:rsid w:val="1CB517E1"/>
    <w:rsid w:val="1CBF5FD1"/>
    <w:rsid w:val="1CC07FCD"/>
    <w:rsid w:val="1CCD060E"/>
    <w:rsid w:val="1CCE78E1"/>
    <w:rsid w:val="1CD4109A"/>
    <w:rsid w:val="1CDE3631"/>
    <w:rsid w:val="1CE814D1"/>
    <w:rsid w:val="1CFE11B3"/>
    <w:rsid w:val="1D00167E"/>
    <w:rsid w:val="1D01132A"/>
    <w:rsid w:val="1D022EEB"/>
    <w:rsid w:val="1D2C5B34"/>
    <w:rsid w:val="1D3444B7"/>
    <w:rsid w:val="1D3A1AFC"/>
    <w:rsid w:val="1D3F2887"/>
    <w:rsid w:val="1D413DD6"/>
    <w:rsid w:val="1D442082"/>
    <w:rsid w:val="1D494085"/>
    <w:rsid w:val="1D6104E9"/>
    <w:rsid w:val="1D6D5E73"/>
    <w:rsid w:val="1D6E2EA0"/>
    <w:rsid w:val="1D7C0366"/>
    <w:rsid w:val="1D8C44DA"/>
    <w:rsid w:val="1D90430C"/>
    <w:rsid w:val="1DA228F6"/>
    <w:rsid w:val="1DA26C67"/>
    <w:rsid w:val="1DB571C9"/>
    <w:rsid w:val="1DB624A5"/>
    <w:rsid w:val="1DBF6F58"/>
    <w:rsid w:val="1DFB74DD"/>
    <w:rsid w:val="1DFC5003"/>
    <w:rsid w:val="1E203D43"/>
    <w:rsid w:val="1E2527AC"/>
    <w:rsid w:val="1E2A3F9F"/>
    <w:rsid w:val="1E65546D"/>
    <w:rsid w:val="1E7B6900"/>
    <w:rsid w:val="1E933E22"/>
    <w:rsid w:val="1EB60A31"/>
    <w:rsid w:val="1EC6457D"/>
    <w:rsid w:val="1EC7170B"/>
    <w:rsid w:val="1EC7534C"/>
    <w:rsid w:val="1ECD7160"/>
    <w:rsid w:val="1ED11BB0"/>
    <w:rsid w:val="1ED34F83"/>
    <w:rsid w:val="1ED641E3"/>
    <w:rsid w:val="1EED4935"/>
    <w:rsid w:val="1EF15FC6"/>
    <w:rsid w:val="1F196F16"/>
    <w:rsid w:val="1F1F544D"/>
    <w:rsid w:val="1F294330"/>
    <w:rsid w:val="1F2A3EE6"/>
    <w:rsid w:val="1F5164BE"/>
    <w:rsid w:val="1F530AFF"/>
    <w:rsid w:val="1F550636"/>
    <w:rsid w:val="1F5642FC"/>
    <w:rsid w:val="1F6725BD"/>
    <w:rsid w:val="1F6F0182"/>
    <w:rsid w:val="1F751014"/>
    <w:rsid w:val="1F7A16FF"/>
    <w:rsid w:val="1F841E94"/>
    <w:rsid w:val="1F86410F"/>
    <w:rsid w:val="1F88077C"/>
    <w:rsid w:val="1F987D78"/>
    <w:rsid w:val="1FAD0B55"/>
    <w:rsid w:val="1FB57B5F"/>
    <w:rsid w:val="1FBA786C"/>
    <w:rsid w:val="1FC55FF4"/>
    <w:rsid w:val="1FDF7221"/>
    <w:rsid w:val="1FE07DD2"/>
    <w:rsid w:val="1FF72B1D"/>
    <w:rsid w:val="2000702C"/>
    <w:rsid w:val="201952D2"/>
    <w:rsid w:val="2020109E"/>
    <w:rsid w:val="20220096"/>
    <w:rsid w:val="202816B6"/>
    <w:rsid w:val="20352DB6"/>
    <w:rsid w:val="204E725A"/>
    <w:rsid w:val="205050F3"/>
    <w:rsid w:val="20542A53"/>
    <w:rsid w:val="20665891"/>
    <w:rsid w:val="20823312"/>
    <w:rsid w:val="208241B4"/>
    <w:rsid w:val="208F5999"/>
    <w:rsid w:val="20AA6F98"/>
    <w:rsid w:val="20AF45AF"/>
    <w:rsid w:val="20B05494"/>
    <w:rsid w:val="20B417FA"/>
    <w:rsid w:val="20BD4F1E"/>
    <w:rsid w:val="20D109C9"/>
    <w:rsid w:val="20EE5770"/>
    <w:rsid w:val="20FD17BE"/>
    <w:rsid w:val="2107261C"/>
    <w:rsid w:val="210B52D2"/>
    <w:rsid w:val="21147FEE"/>
    <w:rsid w:val="2132760F"/>
    <w:rsid w:val="213F7E47"/>
    <w:rsid w:val="21592FEC"/>
    <w:rsid w:val="215B2DFE"/>
    <w:rsid w:val="215C5CD9"/>
    <w:rsid w:val="215F2E6D"/>
    <w:rsid w:val="218B2E3C"/>
    <w:rsid w:val="219E13DD"/>
    <w:rsid w:val="21AC3DB3"/>
    <w:rsid w:val="21B5456C"/>
    <w:rsid w:val="21C0289A"/>
    <w:rsid w:val="21C314C7"/>
    <w:rsid w:val="21CB366A"/>
    <w:rsid w:val="21E53DD4"/>
    <w:rsid w:val="21F91F85"/>
    <w:rsid w:val="21FE67C3"/>
    <w:rsid w:val="21FF567A"/>
    <w:rsid w:val="220019CB"/>
    <w:rsid w:val="22080E1D"/>
    <w:rsid w:val="222E4A4B"/>
    <w:rsid w:val="224564ED"/>
    <w:rsid w:val="225B1C1A"/>
    <w:rsid w:val="22655D1C"/>
    <w:rsid w:val="227A5579"/>
    <w:rsid w:val="227B3EC3"/>
    <w:rsid w:val="22AC6E9D"/>
    <w:rsid w:val="22AF6B28"/>
    <w:rsid w:val="22BF1959"/>
    <w:rsid w:val="22FE3A70"/>
    <w:rsid w:val="23007343"/>
    <w:rsid w:val="230A1D1E"/>
    <w:rsid w:val="230F3D0A"/>
    <w:rsid w:val="232E3EB1"/>
    <w:rsid w:val="23341448"/>
    <w:rsid w:val="23385650"/>
    <w:rsid w:val="23425BAE"/>
    <w:rsid w:val="23517B9F"/>
    <w:rsid w:val="23531B69"/>
    <w:rsid w:val="235C6C70"/>
    <w:rsid w:val="237F04EF"/>
    <w:rsid w:val="23841437"/>
    <w:rsid w:val="23880DD8"/>
    <w:rsid w:val="238A3CA3"/>
    <w:rsid w:val="23AA4BFB"/>
    <w:rsid w:val="23AF4708"/>
    <w:rsid w:val="23C16A9A"/>
    <w:rsid w:val="23C465C3"/>
    <w:rsid w:val="23E66003"/>
    <w:rsid w:val="23F80076"/>
    <w:rsid w:val="23FC534D"/>
    <w:rsid w:val="23FE2FB7"/>
    <w:rsid w:val="23FE3AF7"/>
    <w:rsid w:val="24150BCD"/>
    <w:rsid w:val="241B7142"/>
    <w:rsid w:val="241F6BDF"/>
    <w:rsid w:val="24452007"/>
    <w:rsid w:val="244802C7"/>
    <w:rsid w:val="244C0B39"/>
    <w:rsid w:val="245A32E7"/>
    <w:rsid w:val="246102B6"/>
    <w:rsid w:val="24635935"/>
    <w:rsid w:val="24660E6A"/>
    <w:rsid w:val="24665559"/>
    <w:rsid w:val="24691825"/>
    <w:rsid w:val="248E0BEE"/>
    <w:rsid w:val="249222CA"/>
    <w:rsid w:val="249B49DE"/>
    <w:rsid w:val="24B056E4"/>
    <w:rsid w:val="24BE3012"/>
    <w:rsid w:val="24CC572F"/>
    <w:rsid w:val="24CF65FC"/>
    <w:rsid w:val="24D258A5"/>
    <w:rsid w:val="24DA6A74"/>
    <w:rsid w:val="24DB4BCD"/>
    <w:rsid w:val="24F602A0"/>
    <w:rsid w:val="250025A0"/>
    <w:rsid w:val="252966D9"/>
    <w:rsid w:val="25296C9F"/>
    <w:rsid w:val="25401D76"/>
    <w:rsid w:val="2544236B"/>
    <w:rsid w:val="25453733"/>
    <w:rsid w:val="255249D2"/>
    <w:rsid w:val="256C3562"/>
    <w:rsid w:val="257F6C45"/>
    <w:rsid w:val="25882662"/>
    <w:rsid w:val="258C736F"/>
    <w:rsid w:val="25977271"/>
    <w:rsid w:val="259B2D68"/>
    <w:rsid w:val="259E7D45"/>
    <w:rsid w:val="25A6077B"/>
    <w:rsid w:val="25A941CC"/>
    <w:rsid w:val="25A97E1E"/>
    <w:rsid w:val="25B40CD0"/>
    <w:rsid w:val="25BC160E"/>
    <w:rsid w:val="25BF4424"/>
    <w:rsid w:val="25C17AFA"/>
    <w:rsid w:val="25C251DB"/>
    <w:rsid w:val="25E00E0C"/>
    <w:rsid w:val="25EF379B"/>
    <w:rsid w:val="25FA611E"/>
    <w:rsid w:val="25FC2044"/>
    <w:rsid w:val="260C11C1"/>
    <w:rsid w:val="261049C1"/>
    <w:rsid w:val="261E645E"/>
    <w:rsid w:val="26215F4F"/>
    <w:rsid w:val="26383109"/>
    <w:rsid w:val="264043A1"/>
    <w:rsid w:val="2641214D"/>
    <w:rsid w:val="264E7E9A"/>
    <w:rsid w:val="26597FFC"/>
    <w:rsid w:val="265F30DF"/>
    <w:rsid w:val="26697AAB"/>
    <w:rsid w:val="266D2F42"/>
    <w:rsid w:val="2673065B"/>
    <w:rsid w:val="26746071"/>
    <w:rsid w:val="267839D3"/>
    <w:rsid w:val="26802C75"/>
    <w:rsid w:val="268423E1"/>
    <w:rsid w:val="26890627"/>
    <w:rsid w:val="26937CAB"/>
    <w:rsid w:val="26A43060"/>
    <w:rsid w:val="26BB1EFF"/>
    <w:rsid w:val="26BB2001"/>
    <w:rsid w:val="26C467F8"/>
    <w:rsid w:val="26DD103B"/>
    <w:rsid w:val="26E35358"/>
    <w:rsid w:val="270E00FE"/>
    <w:rsid w:val="270E298C"/>
    <w:rsid w:val="270E29F5"/>
    <w:rsid w:val="271512D2"/>
    <w:rsid w:val="272A0E33"/>
    <w:rsid w:val="272A2D2F"/>
    <w:rsid w:val="274020AE"/>
    <w:rsid w:val="27446B6F"/>
    <w:rsid w:val="274F752C"/>
    <w:rsid w:val="27520933"/>
    <w:rsid w:val="27584657"/>
    <w:rsid w:val="275E5A93"/>
    <w:rsid w:val="27736226"/>
    <w:rsid w:val="27755DA7"/>
    <w:rsid w:val="277C7F9A"/>
    <w:rsid w:val="279D2924"/>
    <w:rsid w:val="27A52E1A"/>
    <w:rsid w:val="27AC7A9A"/>
    <w:rsid w:val="27BF60E1"/>
    <w:rsid w:val="27C53958"/>
    <w:rsid w:val="27D36D37"/>
    <w:rsid w:val="27DA4B73"/>
    <w:rsid w:val="27E61F25"/>
    <w:rsid w:val="27EC31BB"/>
    <w:rsid w:val="27ED2CBD"/>
    <w:rsid w:val="27F53BDC"/>
    <w:rsid w:val="27F63DA6"/>
    <w:rsid w:val="27FA5CB6"/>
    <w:rsid w:val="280D34EA"/>
    <w:rsid w:val="281466B1"/>
    <w:rsid w:val="281713B7"/>
    <w:rsid w:val="281824A7"/>
    <w:rsid w:val="28312BBF"/>
    <w:rsid w:val="283902DE"/>
    <w:rsid w:val="283B7736"/>
    <w:rsid w:val="284C64E6"/>
    <w:rsid w:val="2852403A"/>
    <w:rsid w:val="28530F27"/>
    <w:rsid w:val="285F673E"/>
    <w:rsid w:val="28644CCA"/>
    <w:rsid w:val="28687E65"/>
    <w:rsid w:val="286B1C5E"/>
    <w:rsid w:val="28732D83"/>
    <w:rsid w:val="288F6949"/>
    <w:rsid w:val="28911AF2"/>
    <w:rsid w:val="289151CA"/>
    <w:rsid w:val="28A10C81"/>
    <w:rsid w:val="28A2680F"/>
    <w:rsid w:val="28AB1AFF"/>
    <w:rsid w:val="28B63487"/>
    <w:rsid w:val="28DF17A9"/>
    <w:rsid w:val="28E92551"/>
    <w:rsid w:val="28EB31BC"/>
    <w:rsid w:val="28EB583C"/>
    <w:rsid w:val="28EB65CC"/>
    <w:rsid w:val="28EC2844"/>
    <w:rsid w:val="28F402DA"/>
    <w:rsid w:val="28FC78BE"/>
    <w:rsid w:val="29000A40"/>
    <w:rsid w:val="290F29AF"/>
    <w:rsid w:val="292D0766"/>
    <w:rsid w:val="293634F4"/>
    <w:rsid w:val="29600B3C"/>
    <w:rsid w:val="29606D8E"/>
    <w:rsid w:val="29671ECA"/>
    <w:rsid w:val="29770361"/>
    <w:rsid w:val="2985201E"/>
    <w:rsid w:val="29A273A6"/>
    <w:rsid w:val="29C55899"/>
    <w:rsid w:val="29C96048"/>
    <w:rsid w:val="29D3130E"/>
    <w:rsid w:val="29DC1452"/>
    <w:rsid w:val="29F2147C"/>
    <w:rsid w:val="2A0C4A40"/>
    <w:rsid w:val="2A0D3DED"/>
    <w:rsid w:val="2A104310"/>
    <w:rsid w:val="2A133E00"/>
    <w:rsid w:val="2A134AF4"/>
    <w:rsid w:val="2A255C2B"/>
    <w:rsid w:val="2A2B7BC9"/>
    <w:rsid w:val="2A3A5DF9"/>
    <w:rsid w:val="2A4926C2"/>
    <w:rsid w:val="2A4B107A"/>
    <w:rsid w:val="2A4D2BFD"/>
    <w:rsid w:val="2A530EDF"/>
    <w:rsid w:val="2A574428"/>
    <w:rsid w:val="2A5F6992"/>
    <w:rsid w:val="2A7949E3"/>
    <w:rsid w:val="2A80647C"/>
    <w:rsid w:val="2A8E62B6"/>
    <w:rsid w:val="2A9572CC"/>
    <w:rsid w:val="2AA9206F"/>
    <w:rsid w:val="2AD81233"/>
    <w:rsid w:val="2AE63EFE"/>
    <w:rsid w:val="2AFE060C"/>
    <w:rsid w:val="2B053749"/>
    <w:rsid w:val="2B195446"/>
    <w:rsid w:val="2B2E227F"/>
    <w:rsid w:val="2B2F07C6"/>
    <w:rsid w:val="2B3404E2"/>
    <w:rsid w:val="2B363CF4"/>
    <w:rsid w:val="2B3A7305"/>
    <w:rsid w:val="2B425FD0"/>
    <w:rsid w:val="2B4268A6"/>
    <w:rsid w:val="2B536BAA"/>
    <w:rsid w:val="2B8C79C6"/>
    <w:rsid w:val="2B9B40AD"/>
    <w:rsid w:val="2B9B4F58"/>
    <w:rsid w:val="2BA3696C"/>
    <w:rsid w:val="2BAA0794"/>
    <w:rsid w:val="2BB67A51"/>
    <w:rsid w:val="2BB769EE"/>
    <w:rsid w:val="2BB8130D"/>
    <w:rsid w:val="2BC058C2"/>
    <w:rsid w:val="2BC1223D"/>
    <w:rsid w:val="2BC40014"/>
    <w:rsid w:val="2BC51B34"/>
    <w:rsid w:val="2BDE3F9A"/>
    <w:rsid w:val="2BE07D12"/>
    <w:rsid w:val="2BF95140"/>
    <w:rsid w:val="2C063C1D"/>
    <w:rsid w:val="2C0B194E"/>
    <w:rsid w:val="2C1A4F62"/>
    <w:rsid w:val="2C1D0F66"/>
    <w:rsid w:val="2C3447BE"/>
    <w:rsid w:val="2C3B1B1B"/>
    <w:rsid w:val="2C3C07B5"/>
    <w:rsid w:val="2C3C1CCE"/>
    <w:rsid w:val="2C3D3C75"/>
    <w:rsid w:val="2C4B420E"/>
    <w:rsid w:val="2C56006A"/>
    <w:rsid w:val="2C5A16A1"/>
    <w:rsid w:val="2C5F50DB"/>
    <w:rsid w:val="2C660165"/>
    <w:rsid w:val="2C6619D7"/>
    <w:rsid w:val="2C6A0BA3"/>
    <w:rsid w:val="2C6E17C2"/>
    <w:rsid w:val="2C8A76F4"/>
    <w:rsid w:val="2C931BC6"/>
    <w:rsid w:val="2CA45E14"/>
    <w:rsid w:val="2CB43679"/>
    <w:rsid w:val="2CB62CA6"/>
    <w:rsid w:val="2CD40261"/>
    <w:rsid w:val="2CEE34EF"/>
    <w:rsid w:val="2CF605F7"/>
    <w:rsid w:val="2D016FE9"/>
    <w:rsid w:val="2D14362B"/>
    <w:rsid w:val="2D2E304F"/>
    <w:rsid w:val="2D3C07FE"/>
    <w:rsid w:val="2D5756FC"/>
    <w:rsid w:val="2D5D5591"/>
    <w:rsid w:val="2D74743A"/>
    <w:rsid w:val="2D7C11D4"/>
    <w:rsid w:val="2D7F4766"/>
    <w:rsid w:val="2D8D3A62"/>
    <w:rsid w:val="2DAF3E40"/>
    <w:rsid w:val="2DBE7F60"/>
    <w:rsid w:val="2DDF3360"/>
    <w:rsid w:val="2DE81100"/>
    <w:rsid w:val="2DF6381D"/>
    <w:rsid w:val="2DF6788C"/>
    <w:rsid w:val="2E0D1588"/>
    <w:rsid w:val="2E3944B7"/>
    <w:rsid w:val="2E3D6EFE"/>
    <w:rsid w:val="2E4749F8"/>
    <w:rsid w:val="2E4C1B78"/>
    <w:rsid w:val="2E73313B"/>
    <w:rsid w:val="2E81720F"/>
    <w:rsid w:val="2E866E5E"/>
    <w:rsid w:val="2E9077CD"/>
    <w:rsid w:val="2EA916B2"/>
    <w:rsid w:val="2EB46A04"/>
    <w:rsid w:val="2EB84F76"/>
    <w:rsid w:val="2EC62DA5"/>
    <w:rsid w:val="2ECB7077"/>
    <w:rsid w:val="2EED318E"/>
    <w:rsid w:val="2EFE3F3B"/>
    <w:rsid w:val="2F0C331C"/>
    <w:rsid w:val="2F0F1794"/>
    <w:rsid w:val="2F176141"/>
    <w:rsid w:val="2F1A0856"/>
    <w:rsid w:val="2F2443BA"/>
    <w:rsid w:val="2F2B5B05"/>
    <w:rsid w:val="2F386C31"/>
    <w:rsid w:val="2F475C7E"/>
    <w:rsid w:val="2F486024"/>
    <w:rsid w:val="2F523B34"/>
    <w:rsid w:val="2F5E78CC"/>
    <w:rsid w:val="2F667CCB"/>
    <w:rsid w:val="2F681310"/>
    <w:rsid w:val="2F6C283B"/>
    <w:rsid w:val="2F743B89"/>
    <w:rsid w:val="2F7E2877"/>
    <w:rsid w:val="2F8567D8"/>
    <w:rsid w:val="2F8B5040"/>
    <w:rsid w:val="2F9107C4"/>
    <w:rsid w:val="2F961B57"/>
    <w:rsid w:val="2FA40DFE"/>
    <w:rsid w:val="2FDC6A42"/>
    <w:rsid w:val="2FE65B09"/>
    <w:rsid w:val="2FFF53A8"/>
    <w:rsid w:val="30047098"/>
    <w:rsid w:val="30077F63"/>
    <w:rsid w:val="30115CE5"/>
    <w:rsid w:val="30135C1F"/>
    <w:rsid w:val="30191760"/>
    <w:rsid w:val="3028092A"/>
    <w:rsid w:val="302F54E7"/>
    <w:rsid w:val="30477D6F"/>
    <w:rsid w:val="304863A9"/>
    <w:rsid w:val="306C4DF1"/>
    <w:rsid w:val="30726790"/>
    <w:rsid w:val="30801AC4"/>
    <w:rsid w:val="30823D65"/>
    <w:rsid w:val="30831C53"/>
    <w:rsid w:val="308E438B"/>
    <w:rsid w:val="30A43A04"/>
    <w:rsid w:val="30C87FB8"/>
    <w:rsid w:val="30CB1DAF"/>
    <w:rsid w:val="30E90E2B"/>
    <w:rsid w:val="30ED02EA"/>
    <w:rsid w:val="30FF267A"/>
    <w:rsid w:val="30FF594C"/>
    <w:rsid w:val="310A2A14"/>
    <w:rsid w:val="310F59F0"/>
    <w:rsid w:val="31395BA8"/>
    <w:rsid w:val="3141666D"/>
    <w:rsid w:val="31422C6A"/>
    <w:rsid w:val="3143321D"/>
    <w:rsid w:val="31480833"/>
    <w:rsid w:val="314B14BF"/>
    <w:rsid w:val="3158219E"/>
    <w:rsid w:val="316D537E"/>
    <w:rsid w:val="31716348"/>
    <w:rsid w:val="317355F2"/>
    <w:rsid w:val="31807FCD"/>
    <w:rsid w:val="3185517F"/>
    <w:rsid w:val="3185793C"/>
    <w:rsid w:val="319475D5"/>
    <w:rsid w:val="31975317"/>
    <w:rsid w:val="31A041CB"/>
    <w:rsid w:val="31A87524"/>
    <w:rsid w:val="31B06C89"/>
    <w:rsid w:val="31B91778"/>
    <w:rsid w:val="31C2569E"/>
    <w:rsid w:val="31C96BD0"/>
    <w:rsid w:val="31D04385"/>
    <w:rsid w:val="31D9377A"/>
    <w:rsid w:val="31E15891"/>
    <w:rsid w:val="31F043F4"/>
    <w:rsid w:val="32170EE1"/>
    <w:rsid w:val="325066A8"/>
    <w:rsid w:val="32563FE3"/>
    <w:rsid w:val="325C6E21"/>
    <w:rsid w:val="325D3410"/>
    <w:rsid w:val="325F0A17"/>
    <w:rsid w:val="3260226B"/>
    <w:rsid w:val="327652E9"/>
    <w:rsid w:val="327A5FF1"/>
    <w:rsid w:val="32810B80"/>
    <w:rsid w:val="32A55CC0"/>
    <w:rsid w:val="32A937D2"/>
    <w:rsid w:val="32C95971"/>
    <w:rsid w:val="32CF5928"/>
    <w:rsid w:val="32D97115"/>
    <w:rsid w:val="32E41009"/>
    <w:rsid w:val="32E9078F"/>
    <w:rsid w:val="32ED34FF"/>
    <w:rsid w:val="330856D0"/>
    <w:rsid w:val="332B3F69"/>
    <w:rsid w:val="33316646"/>
    <w:rsid w:val="333A06E2"/>
    <w:rsid w:val="33462B8C"/>
    <w:rsid w:val="33491C13"/>
    <w:rsid w:val="335E45B2"/>
    <w:rsid w:val="33617488"/>
    <w:rsid w:val="33680D19"/>
    <w:rsid w:val="33691E57"/>
    <w:rsid w:val="336E025D"/>
    <w:rsid w:val="336F654B"/>
    <w:rsid w:val="33735D99"/>
    <w:rsid w:val="33736E76"/>
    <w:rsid w:val="337570A4"/>
    <w:rsid w:val="33833CFC"/>
    <w:rsid w:val="33A269EC"/>
    <w:rsid w:val="33A856B1"/>
    <w:rsid w:val="33A930DF"/>
    <w:rsid w:val="33AB2922"/>
    <w:rsid w:val="33AE6B10"/>
    <w:rsid w:val="33B73314"/>
    <w:rsid w:val="33C50B9E"/>
    <w:rsid w:val="33D30EC6"/>
    <w:rsid w:val="33D867E1"/>
    <w:rsid w:val="33D976B3"/>
    <w:rsid w:val="33DB2EFB"/>
    <w:rsid w:val="33DC6CF8"/>
    <w:rsid w:val="33EE36D1"/>
    <w:rsid w:val="33F54490"/>
    <w:rsid w:val="33F85833"/>
    <w:rsid w:val="33F94458"/>
    <w:rsid w:val="340B1EAD"/>
    <w:rsid w:val="34111989"/>
    <w:rsid w:val="341266A4"/>
    <w:rsid w:val="3429350C"/>
    <w:rsid w:val="343C76C2"/>
    <w:rsid w:val="343D0166"/>
    <w:rsid w:val="343D6C24"/>
    <w:rsid w:val="345873A9"/>
    <w:rsid w:val="347C5D20"/>
    <w:rsid w:val="348C4EDB"/>
    <w:rsid w:val="34997F68"/>
    <w:rsid w:val="349D6F1D"/>
    <w:rsid w:val="34AF7CC9"/>
    <w:rsid w:val="34B14942"/>
    <w:rsid w:val="34C87463"/>
    <w:rsid w:val="34DB376C"/>
    <w:rsid w:val="34E526B4"/>
    <w:rsid w:val="34F03DC0"/>
    <w:rsid w:val="34FE7262"/>
    <w:rsid w:val="352407FC"/>
    <w:rsid w:val="352612DF"/>
    <w:rsid w:val="35284201"/>
    <w:rsid w:val="35322B1F"/>
    <w:rsid w:val="3535498A"/>
    <w:rsid w:val="35471E10"/>
    <w:rsid w:val="354F3660"/>
    <w:rsid w:val="355004C3"/>
    <w:rsid w:val="3556146D"/>
    <w:rsid w:val="355724F0"/>
    <w:rsid w:val="35584DBD"/>
    <w:rsid w:val="356B5D07"/>
    <w:rsid w:val="357240D1"/>
    <w:rsid w:val="357A4D33"/>
    <w:rsid w:val="35810326"/>
    <w:rsid w:val="358C5E8C"/>
    <w:rsid w:val="358D7C9B"/>
    <w:rsid w:val="358E2186"/>
    <w:rsid w:val="35A53AF4"/>
    <w:rsid w:val="35AA4C6A"/>
    <w:rsid w:val="35B90B5D"/>
    <w:rsid w:val="35C81F43"/>
    <w:rsid w:val="35CC1726"/>
    <w:rsid w:val="35DE239E"/>
    <w:rsid w:val="35E06512"/>
    <w:rsid w:val="35E33F92"/>
    <w:rsid w:val="36010FB1"/>
    <w:rsid w:val="360212D1"/>
    <w:rsid w:val="360C7B72"/>
    <w:rsid w:val="360E2480"/>
    <w:rsid w:val="361327DB"/>
    <w:rsid w:val="361E1B63"/>
    <w:rsid w:val="361F1CFE"/>
    <w:rsid w:val="362F026F"/>
    <w:rsid w:val="36371201"/>
    <w:rsid w:val="363720E3"/>
    <w:rsid w:val="3639711B"/>
    <w:rsid w:val="363E765D"/>
    <w:rsid w:val="364611F8"/>
    <w:rsid w:val="36592830"/>
    <w:rsid w:val="36632356"/>
    <w:rsid w:val="367409D2"/>
    <w:rsid w:val="367B56C5"/>
    <w:rsid w:val="367C5173"/>
    <w:rsid w:val="36915D46"/>
    <w:rsid w:val="36B81FB7"/>
    <w:rsid w:val="36BA3202"/>
    <w:rsid w:val="36CA31B0"/>
    <w:rsid w:val="36D20797"/>
    <w:rsid w:val="36E65B3A"/>
    <w:rsid w:val="36FF3742"/>
    <w:rsid w:val="370346A6"/>
    <w:rsid w:val="37113475"/>
    <w:rsid w:val="37252E94"/>
    <w:rsid w:val="37296474"/>
    <w:rsid w:val="373227C5"/>
    <w:rsid w:val="37405833"/>
    <w:rsid w:val="374101FF"/>
    <w:rsid w:val="375869AC"/>
    <w:rsid w:val="375B253A"/>
    <w:rsid w:val="37666B6B"/>
    <w:rsid w:val="37675674"/>
    <w:rsid w:val="376B1978"/>
    <w:rsid w:val="37940CA8"/>
    <w:rsid w:val="37C0746E"/>
    <w:rsid w:val="37D848CF"/>
    <w:rsid w:val="37DA41AF"/>
    <w:rsid w:val="37DB157C"/>
    <w:rsid w:val="37DB3C7D"/>
    <w:rsid w:val="37EE7D30"/>
    <w:rsid w:val="37F62976"/>
    <w:rsid w:val="37F77F19"/>
    <w:rsid w:val="38034F62"/>
    <w:rsid w:val="38042FDA"/>
    <w:rsid w:val="381C3F20"/>
    <w:rsid w:val="3822692C"/>
    <w:rsid w:val="38343F2A"/>
    <w:rsid w:val="38490F9C"/>
    <w:rsid w:val="384C1631"/>
    <w:rsid w:val="38542754"/>
    <w:rsid w:val="386C03A0"/>
    <w:rsid w:val="386D6DD1"/>
    <w:rsid w:val="387D5108"/>
    <w:rsid w:val="38850AD8"/>
    <w:rsid w:val="38B10FD7"/>
    <w:rsid w:val="38B2326B"/>
    <w:rsid w:val="38BD498D"/>
    <w:rsid w:val="38D81B11"/>
    <w:rsid w:val="38ED2653"/>
    <w:rsid w:val="38FC71A8"/>
    <w:rsid w:val="38FD1F03"/>
    <w:rsid w:val="39020983"/>
    <w:rsid w:val="39037F6C"/>
    <w:rsid w:val="3904042D"/>
    <w:rsid w:val="3916668B"/>
    <w:rsid w:val="39214610"/>
    <w:rsid w:val="39317DFF"/>
    <w:rsid w:val="39464964"/>
    <w:rsid w:val="395224D9"/>
    <w:rsid w:val="39535FC7"/>
    <w:rsid w:val="395601FC"/>
    <w:rsid w:val="397B4E62"/>
    <w:rsid w:val="39972B1A"/>
    <w:rsid w:val="399A1410"/>
    <w:rsid w:val="39C47D94"/>
    <w:rsid w:val="39CD1539"/>
    <w:rsid w:val="39CD5D32"/>
    <w:rsid w:val="39DA1DFA"/>
    <w:rsid w:val="39DC71EB"/>
    <w:rsid w:val="39DD4817"/>
    <w:rsid w:val="39DD5D2E"/>
    <w:rsid w:val="39E01A69"/>
    <w:rsid w:val="39FD79FE"/>
    <w:rsid w:val="3A045F91"/>
    <w:rsid w:val="3A076679"/>
    <w:rsid w:val="3A0A0953"/>
    <w:rsid w:val="3A211C22"/>
    <w:rsid w:val="3A2C4127"/>
    <w:rsid w:val="3A3C7179"/>
    <w:rsid w:val="3A4F0AA8"/>
    <w:rsid w:val="3A543DA5"/>
    <w:rsid w:val="3A5576B6"/>
    <w:rsid w:val="3A682780"/>
    <w:rsid w:val="3A687850"/>
    <w:rsid w:val="3A697EB7"/>
    <w:rsid w:val="3A6E455A"/>
    <w:rsid w:val="3A701E17"/>
    <w:rsid w:val="3A764E67"/>
    <w:rsid w:val="3A7F0311"/>
    <w:rsid w:val="3A845141"/>
    <w:rsid w:val="3A8538B6"/>
    <w:rsid w:val="3A884EF1"/>
    <w:rsid w:val="3A8C5141"/>
    <w:rsid w:val="3A99205F"/>
    <w:rsid w:val="3AA52853"/>
    <w:rsid w:val="3AA648FE"/>
    <w:rsid w:val="3AAA7D3D"/>
    <w:rsid w:val="3AD117FB"/>
    <w:rsid w:val="3AD4138A"/>
    <w:rsid w:val="3AD72904"/>
    <w:rsid w:val="3AD75A09"/>
    <w:rsid w:val="3ADC5AFD"/>
    <w:rsid w:val="3AE17BBC"/>
    <w:rsid w:val="3AED6A12"/>
    <w:rsid w:val="3B007A89"/>
    <w:rsid w:val="3B0E664A"/>
    <w:rsid w:val="3B0F5ABD"/>
    <w:rsid w:val="3B2F4F75"/>
    <w:rsid w:val="3B31477D"/>
    <w:rsid w:val="3B315914"/>
    <w:rsid w:val="3B422101"/>
    <w:rsid w:val="3B4715CB"/>
    <w:rsid w:val="3B5008D7"/>
    <w:rsid w:val="3B7346FF"/>
    <w:rsid w:val="3B7D5180"/>
    <w:rsid w:val="3B7F15E2"/>
    <w:rsid w:val="3B824942"/>
    <w:rsid w:val="3B8536A6"/>
    <w:rsid w:val="3B9F0C51"/>
    <w:rsid w:val="3BA00572"/>
    <w:rsid w:val="3BB1021B"/>
    <w:rsid w:val="3BE15B0C"/>
    <w:rsid w:val="3BF72A83"/>
    <w:rsid w:val="3C135790"/>
    <w:rsid w:val="3C1752F7"/>
    <w:rsid w:val="3C193171"/>
    <w:rsid w:val="3C1E3214"/>
    <w:rsid w:val="3C2528C6"/>
    <w:rsid w:val="3C371BD0"/>
    <w:rsid w:val="3C4F1FEA"/>
    <w:rsid w:val="3C5A58BF"/>
    <w:rsid w:val="3C5B6745"/>
    <w:rsid w:val="3C5E3DBD"/>
    <w:rsid w:val="3C683B38"/>
    <w:rsid w:val="3C686571"/>
    <w:rsid w:val="3C6F5E3B"/>
    <w:rsid w:val="3C83525B"/>
    <w:rsid w:val="3C87375A"/>
    <w:rsid w:val="3C88531F"/>
    <w:rsid w:val="3C8D7A42"/>
    <w:rsid w:val="3C8E189D"/>
    <w:rsid w:val="3CA22EFE"/>
    <w:rsid w:val="3CB8043D"/>
    <w:rsid w:val="3CB94BCA"/>
    <w:rsid w:val="3CC35212"/>
    <w:rsid w:val="3CC50225"/>
    <w:rsid w:val="3CD967E3"/>
    <w:rsid w:val="3CDE231E"/>
    <w:rsid w:val="3D245A63"/>
    <w:rsid w:val="3D254E4B"/>
    <w:rsid w:val="3D295A26"/>
    <w:rsid w:val="3D36346C"/>
    <w:rsid w:val="3D4269DA"/>
    <w:rsid w:val="3D430EA3"/>
    <w:rsid w:val="3D47560D"/>
    <w:rsid w:val="3D483B85"/>
    <w:rsid w:val="3D523BCD"/>
    <w:rsid w:val="3D645169"/>
    <w:rsid w:val="3D6933DE"/>
    <w:rsid w:val="3D7C3859"/>
    <w:rsid w:val="3D80607F"/>
    <w:rsid w:val="3D8F2120"/>
    <w:rsid w:val="3D8F30A0"/>
    <w:rsid w:val="3D990E61"/>
    <w:rsid w:val="3DA327E5"/>
    <w:rsid w:val="3DB01C7C"/>
    <w:rsid w:val="3DB334D8"/>
    <w:rsid w:val="3DBA1ADA"/>
    <w:rsid w:val="3DC355A6"/>
    <w:rsid w:val="3DC42D6E"/>
    <w:rsid w:val="3DD009EA"/>
    <w:rsid w:val="3DD05142"/>
    <w:rsid w:val="3DD122A2"/>
    <w:rsid w:val="3DD64752"/>
    <w:rsid w:val="3DD80DF7"/>
    <w:rsid w:val="3DE17E96"/>
    <w:rsid w:val="3DE26317"/>
    <w:rsid w:val="3DEB1B40"/>
    <w:rsid w:val="3DFC4E7F"/>
    <w:rsid w:val="3E097D00"/>
    <w:rsid w:val="3E0D0E3B"/>
    <w:rsid w:val="3E2D1C0D"/>
    <w:rsid w:val="3E352B5B"/>
    <w:rsid w:val="3E3A2755"/>
    <w:rsid w:val="3E463101"/>
    <w:rsid w:val="3E5717D0"/>
    <w:rsid w:val="3E5E04B0"/>
    <w:rsid w:val="3E5F4189"/>
    <w:rsid w:val="3E6C1A3F"/>
    <w:rsid w:val="3E734A16"/>
    <w:rsid w:val="3E752133"/>
    <w:rsid w:val="3E7A5DA4"/>
    <w:rsid w:val="3E953235"/>
    <w:rsid w:val="3EAA3B18"/>
    <w:rsid w:val="3EAA555F"/>
    <w:rsid w:val="3EBD0BAE"/>
    <w:rsid w:val="3EC3774B"/>
    <w:rsid w:val="3ECC3927"/>
    <w:rsid w:val="3ECD2095"/>
    <w:rsid w:val="3EE4497A"/>
    <w:rsid w:val="3EEF22EE"/>
    <w:rsid w:val="3EF02AD3"/>
    <w:rsid w:val="3F024C1A"/>
    <w:rsid w:val="3F0D0FA0"/>
    <w:rsid w:val="3F21052E"/>
    <w:rsid w:val="3F330C34"/>
    <w:rsid w:val="3F3917F4"/>
    <w:rsid w:val="3F397A0D"/>
    <w:rsid w:val="3F4A39C9"/>
    <w:rsid w:val="3F625E8E"/>
    <w:rsid w:val="3F6A673B"/>
    <w:rsid w:val="3F716AD8"/>
    <w:rsid w:val="3F8C2A74"/>
    <w:rsid w:val="3FA70307"/>
    <w:rsid w:val="3FA7458E"/>
    <w:rsid w:val="3FB22390"/>
    <w:rsid w:val="3FB4130E"/>
    <w:rsid w:val="3FCF1529"/>
    <w:rsid w:val="3FDD2A57"/>
    <w:rsid w:val="3FE37E33"/>
    <w:rsid w:val="3FF027C2"/>
    <w:rsid w:val="3FF55C7D"/>
    <w:rsid w:val="3FF676AC"/>
    <w:rsid w:val="400E03CE"/>
    <w:rsid w:val="401171AD"/>
    <w:rsid w:val="40225AF1"/>
    <w:rsid w:val="403D5148"/>
    <w:rsid w:val="403D6B94"/>
    <w:rsid w:val="40507C98"/>
    <w:rsid w:val="40580367"/>
    <w:rsid w:val="4061657E"/>
    <w:rsid w:val="40642B5B"/>
    <w:rsid w:val="40695C34"/>
    <w:rsid w:val="406A7016"/>
    <w:rsid w:val="40767673"/>
    <w:rsid w:val="407707ED"/>
    <w:rsid w:val="40892318"/>
    <w:rsid w:val="408E0789"/>
    <w:rsid w:val="40A76FA9"/>
    <w:rsid w:val="40AC084A"/>
    <w:rsid w:val="40D05FDB"/>
    <w:rsid w:val="40DB515E"/>
    <w:rsid w:val="40E30197"/>
    <w:rsid w:val="40E63D94"/>
    <w:rsid w:val="40EA1367"/>
    <w:rsid w:val="40EB151F"/>
    <w:rsid w:val="40ED4F53"/>
    <w:rsid w:val="40F25A91"/>
    <w:rsid w:val="40FD0036"/>
    <w:rsid w:val="41061575"/>
    <w:rsid w:val="411C387B"/>
    <w:rsid w:val="41292B74"/>
    <w:rsid w:val="41406E31"/>
    <w:rsid w:val="414E3836"/>
    <w:rsid w:val="41592854"/>
    <w:rsid w:val="41670735"/>
    <w:rsid w:val="416E516B"/>
    <w:rsid w:val="418812BB"/>
    <w:rsid w:val="418D4040"/>
    <w:rsid w:val="419E7FFC"/>
    <w:rsid w:val="419F3079"/>
    <w:rsid w:val="41AE3A67"/>
    <w:rsid w:val="41C95125"/>
    <w:rsid w:val="41EA02ED"/>
    <w:rsid w:val="42075BA1"/>
    <w:rsid w:val="4215282E"/>
    <w:rsid w:val="42166627"/>
    <w:rsid w:val="42225E0B"/>
    <w:rsid w:val="42383FB6"/>
    <w:rsid w:val="423D7815"/>
    <w:rsid w:val="424F30C2"/>
    <w:rsid w:val="425E14DB"/>
    <w:rsid w:val="42621029"/>
    <w:rsid w:val="426B4382"/>
    <w:rsid w:val="42725710"/>
    <w:rsid w:val="427358D4"/>
    <w:rsid w:val="42736D87"/>
    <w:rsid w:val="427E086F"/>
    <w:rsid w:val="42826F4F"/>
    <w:rsid w:val="428B0580"/>
    <w:rsid w:val="429A4E70"/>
    <w:rsid w:val="429E14C4"/>
    <w:rsid w:val="42A26186"/>
    <w:rsid w:val="42A94EAA"/>
    <w:rsid w:val="42BA0E65"/>
    <w:rsid w:val="42C10460"/>
    <w:rsid w:val="42C13D5C"/>
    <w:rsid w:val="42D65C3E"/>
    <w:rsid w:val="42DD74CF"/>
    <w:rsid w:val="42DF3579"/>
    <w:rsid w:val="42E264C2"/>
    <w:rsid w:val="42E85CD3"/>
    <w:rsid w:val="42F54D63"/>
    <w:rsid w:val="43011E27"/>
    <w:rsid w:val="430D368B"/>
    <w:rsid w:val="430F20A0"/>
    <w:rsid w:val="43135F0F"/>
    <w:rsid w:val="431B6CC7"/>
    <w:rsid w:val="43225F65"/>
    <w:rsid w:val="433A3C4A"/>
    <w:rsid w:val="435720D9"/>
    <w:rsid w:val="435D7A57"/>
    <w:rsid w:val="43615785"/>
    <w:rsid w:val="43732880"/>
    <w:rsid w:val="43865952"/>
    <w:rsid w:val="438F0BB0"/>
    <w:rsid w:val="43993170"/>
    <w:rsid w:val="43BF04EA"/>
    <w:rsid w:val="43C05A1E"/>
    <w:rsid w:val="43CF4932"/>
    <w:rsid w:val="43D22CDA"/>
    <w:rsid w:val="43D354DC"/>
    <w:rsid w:val="43E3106F"/>
    <w:rsid w:val="4405353A"/>
    <w:rsid w:val="44063CF3"/>
    <w:rsid w:val="44072973"/>
    <w:rsid w:val="44095C00"/>
    <w:rsid w:val="44117E2D"/>
    <w:rsid w:val="441822E7"/>
    <w:rsid w:val="442F13DF"/>
    <w:rsid w:val="44426345"/>
    <w:rsid w:val="444B2816"/>
    <w:rsid w:val="445279AA"/>
    <w:rsid w:val="4453331F"/>
    <w:rsid w:val="445F3A86"/>
    <w:rsid w:val="4478636B"/>
    <w:rsid w:val="447A0DB3"/>
    <w:rsid w:val="447B4624"/>
    <w:rsid w:val="447D2B53"/>
    <w:rsid w:val="4481712B"/>
    <w:rsid w:val="44901E7E"/>
    <w:rsid w:val="449F54A7"/>
    <w:rsid w:val="44A1052F"/>
    <w:rsid w:val="44C93406"/>
    <w:rsid w:val="44D74994"/>
    <w:rsid w:val="44DD0E3B"/>
    <w:rsid w:val="44E67CEF"/>
    <w:rsid w:val="44F62875"/>
    <w:rsid w:val="44FB02DC"/>
    <w:rsid w:val="45080856"/>
    <w:rsid w:val="45111EFE"/>
    <w:rsid w:val="451730A2"/>
    <w:rsid w:val="451955A3"/>
    <w:rsid w:val="45205199"/>
    <w:rsid w:val="45260B70"/>
    <w:rsid w:val="45357C2D"/>
    <w:rsid w:val="453A003B"/>
    <w:rsid w:val="45467C1A"/>
    <w:rsid w:val="45523E0A"/>
    <w:rsid w:val="45603F46"/>
    <w:rsid w:val="45784EE5"/>
    <w:rsid w:val="45790587"/>
    <w:rsid w:val="457C33A8"/>
    <w:rsid w:val="45800144"/>
    <w:rsid w:val="458804FE"/>
    <w:rsid w:val="458D57CB"/>
    <w:rsid w:val="4595726A"/>
    <w:rsid w:val="45C67177"/>
    <w:rsid w:val="45D048BE"/>
    <w:rsid w:val="45DE626C"/>
    <w:rsid w:val="45E87332"/>
    <w:rsid w:val="45EB660D"/>
    <w:rsid w:val="45F13477"/>
    <w:rsid w:val="45FD7B3D"/>
    <w:rsid w:val="460A10C2"/>
    <w:rsid w:val="46220C85"/>
    <w:rsid w:val="46230254"/>
    <w:rsid w:val="46244F73"/>
    <w:rsid w:val="46287B26"/>
    <w:rsid w:val="462A00B0"/>
    <w:rsid w:val="462D24EF"/>
    <w:rsid w:val="46534E0B"/>
    <w:rsid w:val="46692DA8"/>
    <w:rsid w:val="4670640B"/>
    <w:rsid w:val="46753897"/>
    <w:rsid w:val="467A71EB"/>
    <w:rsid w:val="46867477"/>
    <w:rsid w:val="468A02AD"/>
    <w:rsid w:val="468B3DD1"/>
    <w:rsid w:val="469043B7"/>
    <w:rsid w:val="46BF4C9C"/>
    <w:rsid w:val="46C936C8"/>
    <w:rsid w:val="46CB1893"/>
    <w:rsid w:val="46D87DE5"/>
    <w:rsid w:val="46E556A4"/>
    <w:rsid w:val="46E97F6B"/>
    <w:rsid w:val="46EA25E1"/>
    <w:rsid w:val="46EB1077"/>
    <w:rsid w:val="470C2558"/>
    <w:rsid w:val="472127B7"/>
    <w:rsid w:val="472165B7"/>
    <w:rsid w:val="47277064"/>
    <w:rsid w:val="47323C17"/>
    <w:rsid w:val="4743767B"/>
    <w:rsid w:val="474C305D"/>
    <w:rsid w:val="474E29C1"/>
    <w:rsid w:val="475569C5"/>
    <w:rsid w:val="475A49C5"/>
    <w:rsid w:val="475E44B5"/>
    <w:rsid w:val="476121D8"/>
    <w:rsid w:val="476A063C"/>
    <w:rsid w:val="477C748E"/>
    <w:rsid w:val="478A7058"/>
    <w:rsid w:val="47941208"/>
    <w:rsid w:val="47A101B2"/>
    <w:rsid w:val="47AB5220"/>
    <w:rsid w:val="47BF2852"/>
    <w:rsid w:val="47BF386C"/>
    <w:rsid w:val="47C3256A"/>
    <w:rsid w:val="47C95C6C"/>
    <w:rsid w:val="47EC7022"/>
    <w:rsid w:val="47FC7940"/>
    <w:rsid w:val="48030B33"/>
    <w:rsid w:val="48046015"/>
    <w:rsid w:val="4819316F"/>
    <w:rsid w:val="482F5E51"/>
    <w:rsid w:val="483F125D"/>
    <w:rsid w:val="48546F47"/>
    <w:rsid w:val="48580B32"/>
    <w:rsid w:val="485B43A9"/>
    <w:rsid w:val="48635024"/>
    <w:rsid w:val="486C0E54"/>
    <w:rsid w:val="48735D3E"/>
    <w:rsid w:val="487B675C"/>
    <w:rsid w:val="48954DA6"/>
    <w:rsid w:val="48A95C04"/>
    <w:rsid w:val="48B22238"/>
    <w:rsid w:val="48B33076"/>
    <w:rsid w:val="48C4330A"/>
    <w:rsid w:val="48D55EB3"/>
    <w:rsid w:val="48DA0701"/>
    <w:rsid w:val="48DF324A"/>
    <w:rsid w:val="48E052EC"/>
    <w:rsid w:val="48E65AEE"/>
    <w:rsid w:val="48F50E49"/>
    <w:rsid w:val="48F80CE7"/>
    <w:rsid w:val="49096FCD"/>
    <w:rsid w:val="491B0811"/>
    <w:rsid w:val="491D7C08"/>
    <w:rsid w:val="494625B6"/>
    <w:rsid w:val="49507E2D"/>
    <w:rsid w:val="49512BB1"/>
    <w:rsid w:val="495E0009"/>
    <w:rsid w:val="49641F5D"/>
    <w:rsid w:val="49666B6B"/>
    <w:rsid w:val="496F2CCC"/>
    <w:rsid w:val="498F64FC"/>
    <w:rsid w:val="49AD1724"/>
    <w:rsid w:val="49BE7E39"/>
    <w:rsid w:val="49C40005"/>
    <w:rsid w:val="49C65419"/>
    <w:rsid w:val="49D04BAB"/>
    <w:rsid w:val="49EA0282"/>
    <w:rsid w:val="49EA17C4"/>
    <w:rsid w:val="49EF440A"/>
    <w:rsid w:val="4A1A2F12"/>
    <w:rsid w:val="4A2C7C77"/>
    <w:rsid w:val="4A321C6F"/>
    <w:rsid w:val="4A366D8C"/>
    <w:rsid w:val="4A375709"/>
    <w:rsid w:val="4A475BFC"/>
    <w:rsid w:val="4A484FA8"/>
    <w:rsid w:val="4A4E1094"/>
    <w:rsid w:val="4A561717"/>
    <w:rsid w:val="4A5D3269"/>
    <w:rsid w:val="4A606796"/>
    <w:rsid w:val="4A717D8F"/>
    <w:rsid w:val="4A7D0F83"/>
    <w:rsid w:val="4A834A22"/>
    <w:rsid w:val="4A8815D3"/>
    <w:rsid w:val="4A9454F9"/>
    <w:rsid w:val="4A972DF7"/>
    <w:rsid w:val="4A992274"/>
    <w:rsid w:val="4AA77F21"/>
    <w:rsid w:val="4AAA2276"/>
    <w:rsid w:val="4AB64534"/>
    <w:rsid w:val="4ABD14F2"/>
    <w:rsid w:val="4AC66642"/>
    <w:rsid w:val="4AC87549"/>
    <w:rsid w:val="4AD37353"/>
    <w:rsid w:val="4ADA37AE"/>
    <w:rsid w:val="4ADC6651"/>
    <w:rsid w:val="4AE2340C"/>
    <w:rsid w:val="4AE72A13"/>
    <w:rsid w:val="4AFB3A8D"/>
    <w:rsid w:val="4AFF6999"/>
    <w:rsid w:val="4B0E61F2"/>
    <w:rsid w:val="4B21257E"/>
    <w:rsid w:val="4B290FE3"/>
    <w:rsid w:val="4B322207"/>
    <w:rsid w:val="4B3B5793"/>
    <w:rsid w:val="4B58050B"/>
    <w:rsid w:val="4B5A25F7"/>
    <w:rsid w:val="4B6A0768"/>
    <w:rsid w:val="4B6B0CBD"/>
    <w:rsid w:val="4B705719"/>
    <w:rsid w:val="4B7B47F9"/>
    <w:rsid w:val="4B8D7117"/>
    <w:rsid w:val="4BA563FE"/>
    <w:rsid w:val="4BB77663"/>
    <w:rsid w:val="4BBF1EF3"/>
    <w:rsid w:val="4BC54DE5"/>
    <w:rsid w:val="4BCB7306"/>
    <w:rsid w:val="4BD52968"/>
    <w:rsid w:val="4BD91D02"/>
    <w:rsid w:val="4BE2600E"/>
    <w:rsid w:val="4BE34975"/>
    <w:rsid w:val="4BE57820"/>
    <w:rsid w:val="4BF657A1"/>
    <w:rsid w:val="4BFB7B74"/>
    <w:rsid w:val="4C0457A1"/>
    <w:rsid w:val="4C1E1023"/>
    <w:rsid w:val="4C2070A8"/>
    <w:rsid w:val="4C3F2C78"/>
    <w:rsid w:val="4C42244E"/>
    <w:rsid w:val="4C437DCE"/>
    <w:rsid w:val="4C6D3DA8"/>
    <w:rsid w:val="4C727CFA"/>
    <w:rsid w:val="4C88081B"/>
    <w:rsid w:val="4C8872A2"/>
    <w:rsid w:val="4C9C19F3"/>
    <w:rsid w:val="4CA47183"/>
    <w:rsid w:val="4CB7606E"/>
    <w:rsid w:val="4CDE1861"/>
    <w:rsid w:val="4CF745DE"/>
    <w:rsid w:val="4CFC57E0"/>
    <w:rsid w:val="4D087B01"/>
    <w:rsid w:val="4D0B58BC"/>
    <w:rsid w:val="4D0C050F"/>
    <w:rsid w:val="4D0C2AD5"/>
    <w:rsid w:val="4D2059FA"/>
    <w:rsid w:val="4D2E3574"/>
    <w:rsid w:val="4D451B18"/>
    <w:rsid w:val="4D4D5AFE"/>
    <w:rsid w:val="4D502AF2"/>
    <w:rsid w:val="4D5C07F9"/>
    <w:rsid w:val="4D755736"/>
    <w:rsid w:val="4DAC0A3B"/>
    <w:rsid w:val="4DB92102"/>
    <w:rsid w:val="4DBA3E20"/>
    <w:rsid w:val="4DBC5B64"/>
    <w:rsid w:val="4DC679DB"/>
    <w:rsid w:val="4DE61D12"/>
    <w:rsid w:val="4DF1146E"/>
    <w:rsid w:val="4DF53699"/>
    <w:rsid w:val="4DF82017"/>
    <w:rsid w:val="4E0E661C"/>
    <w:rsid w:val="4E1E3790"/>
    <w:rsid w:val="4E2E44B5"/>
    <w:rsid w:val="4E4C57ED"/>
    <w:rsid w:val="4E5505A6"/>
    <w:rsid w:val="4E820BD8"/>
    <w:rsid w:val="4E874C8C"/>
    <w:rsid w:val="4E8D729C"/>
    <w:rsid w:val="4E8E1C0C"/>
    <w:rsid w:val="4E9609D8"/>
    <w:rsid w:val="4E98004C"/>
    <w:rsid w:val="4EA5208F"/>
    <w:rsid w:val="4EAC01FC"/>
    <w:rsid w:val="4EAE617F"/>
    <w:rsid w:val="4EBC7D13"/>
    <w:rsid w:val="4EBD702F"/>
    <w:rsid w:val="4EC310A1"/>
    <w:rsid w:val="4EC818B0"/>
    <w:rsid w:val="4ECB59F9"/>
    <w:rsid w:val="4ECE1CAC"/>
    <w:rsid w:val="4EE414BB"/>
    <w:rsid w:val="4EE87B84"/>
    <w:rsid w:val="4EFE0DEE"/>
    <w:rsid w:val="4EFF65C5"/>
    <w:rsid w:val="4F0052D1"/>
    <w:rsid w:val="4F014784"/>
    <w:rsid w:val="4F0431E6"/>
    <w:rsid w:val="4F1B712F"/>
    <w:rsid w:val="4F1C605F"/>
    <w:rsid w:val="4F254824"/>
    <w:rsid w:val="4F2658BE"/>
    <w:rsid w:val="4F42646A"/>
    <w:rsid w:val="4F4736A7"/>
    <w:rsid w:val="4F585C8E"/>
    <w:rsid w:val="4F7914EF"/>
    <w:rsid w:val="4F7A7F42"/>
    <w:rsid w:val="4F9174FD"/>
    <w:rsid w:val="4F9402D2"/>
    <w:rsid w:val="4FB10142"/>
    <w:rsid w:val="4FB82BD0"/>
    <w:rsid w:val="4FC643B6"/>
    <w:rsid w:val="4FD1578E"/>
    <w:rsid w:val="4FE10E76"/>
    <w:rsid w:val="4FEE2189"/>
    <w:rsid w:val="4FF71C3D"/>
    <w:rsid w:val="50016856"/>
    <w:rsid w:val="5008518B"/>
    <w:rsid w:val="500B32A2"/>
    <w:rsid w:val="501A4DE6"/>
    <w:rsid w:val="502B6647"/>
    <w:rsid w:val="502B6EFE"/>
    <w:rsid w:val="50324E90"/>
    <w:rsid w:val="503D7EA1"/>
    <w:rsid w:val="504C1B11"/>
    <w:rsid w:val="504E68CB"/>
    <w:rsid w:val="505F48A5"/>
    <w:rsid w:val="506472D4"/>
    <w:rsid w:val="50664FFD"/>
    <w:rsid w:val="50666C7A"/>
    <w:rsid w:val="507460A4"/>
    <w:rsid w:val="5094445D"/>
    <w:rsid w:val="509C0D4E"/>
    <w:rsid w:val="50A23A1E"/>
    <w:rsid w:val="50AC44E3"/>
    <w:rsid w:val="50B57EA9"/>
    <w:rsid w:val="50BC2B26"/>
    <w:rsid w:val="50BE1984"/>
    <w:rsid w:val="50D141C6"/>
    <w:rsid w:val="50D94FDD"/>
    <w:rsid w:val="50EA120A"/>
    <w:rsid w:val="50F115EA"/>
    <w:rsid w:val="50F72C9C"/>
    <w:rsid w:val="50FC0DB6"/>
    <w:rsid w:val="511107EA"/>
    <w:rsid w:val="511F2007"/>
    <w:rsid w:val="51271E2F"/>
    <w:rsid w:val="51342CAA"/>
    <w:rsid w:val="51366F32"/>
    <w:rsid w:val="513B5867"/>
    <w:rsid w:val="51406A38"/>
    <w:rsid w:val="514B4E4E"/>
    <w:rsid w:val="516578E1"/>
    <w:rsid w:val="517174DB"/>
    <w:rsid w:val="518049FF"/>
    <w:rsid w:val="51890380"/>
    <w:rsid w:val="51932FAD"/>
    <w:rsid w:val="51A06E66"/>
    <w:rsid w:val="51AF590D"/>
    <w:rsid w:val="51B475E9"/>
    <w:rsid w:val="51BA020E"/>
    <w:rsid w:val="51C05FF6"/>
    <w:rsid w:val="51D135DE"/>
    <w:rsid w:val="51DF4444"/>
    <w:rsid w:val="51ED6B61"/>
    <w:rsid w:val="51F65295"/>
    <w:rsid w:val="51F872B4"/>
    <w:rsid w:val="51FD3DB6"/>
    <w:rsid w:val="52034AEB"/>
    <w:rsid w:val="52097713"/>
    <w:rsid w:val="520C3BB6"/>
    <w:rsid w:val="52252174"/>
    <w:rsid w:val="52295AE6"/>
    <w:rsid w:val="522D0E7F"/>
    <w:rsid w:val="523E4D62"/>
    <w:rsid w:val="5243507E"/>
    <w:rsid w:val="525402A0"/>
    <w:rsid w:val="52554706"/>
    <w:rsid w:val="525F5585"/>
    <w:rsid w:val="528D41E4"/>
    <w:rsid w:val="52BF5C92"/>
    <w:rsid w:val="52C2167A"/>
    <w:rsid w:val="52C7794C"/>
    <w:rsid w:val="52D279CD"/>
    <w:rsid w:val="52D32ADF"/>
    <w:rsid w:val="52E45ACB"/>
    <w:rsid w:val="52E71802"/>
    <w:rsid w:val="52F47AFB"/>
    <w:rsid w:val="53071B37"/>
    <w:rsid w:val="530A5973"/>
    <w:rsid w:val="531169F3"/>
    <w:rsid w:val="531348FB"/>
    <w:rsid w:val="531F2A57"/>
    <w:rsid w:val="53275D3D"/>
    <w:rsid w:val="532760A3"/>
    <w:rsid w:val="533354CF"/>
    <w:rsid w:val="533407C0"/>
    <w:rsid w:val="53346A12"/>
    <w:rsid w:val="53346B96"/>
    <w:rsid w:val="535D5DC8"/>
    <w:rsid w:val="537961D3"/>
    <w:rsid w:val="537A3167"/>
    <w:rsid w:val="537D2360"/>
    <w:rsid w:val="53811E50"/>
    <w:rsid w:val="5393482C"/>
    <w:rsid w:val="53B22465"/>
    <w:rsid w:val="53B45F49"/>
    <w:rsid w:val="53B72F65"/>
    <w:rsid w:val="53BE3989"/>
    <w:rsid w:val="53D83751"/>
    <w:rsid w:val="53D85151"/>
    <w:rsid w:val="53E844A9"/>
    <w:rsid w:val="53FD2AC2"/>
    <w:rsid w:val="5409404E"/>
    <w:rsid w:val="54134B75"/>
    <w:rsid w:val="54164746"/>
    <w:rsid w:val="541F238F"/>
    <w:rsid w:val="542E2ADC"/>
    <w:rsid w:val="543341B9"/>
    <w:rsid w:val="543415ED"/>
    <w:rsid w:val="5438608E"/>
    <w:rsid w:val="544607AB"/>
    <w:rsid w:val="544B7F7E"/>
    <w:rsid w:val="54501D22"/>
    <w:rsid w:val="54592AA9"/>
    <w:rsid w:val="546146EB"/>
    <w:rsid w:val="54680D66"/>
    <w:rsid w:val="54685AA1"/>
    <w:rsid w:val="547D06FB"/>
    <w:rsid w:val="547D14B1"/>
    <w:rsid w:val="54857DDB"/>
    <w:rsid w:val="548C678B"/>
    <w:rsid w:val="54905199"/>
    <w:rsid w:val="54914216"/>
    <w:rsid w:val="549273A9"/>
    <w:rsid w:val="549405C7"/>
    <w:rsid w:val="549D6C55"/>
    <w:rsid w:val="54CA07F6"/>
    <w:rsid w:val="54E979F3"/>
    <w:rsid w:val="54EE7993"/>
    <w:rsid w:val="54EF0774"/>
    <w:rsid w:val="54F2448F"/>
    <w:rsid w:val="54FE2E33"/>
    <w:rsid w:val="550B2DC8"/>
    <w:rsid w:val="551E1403"/>
    <w:rsid w:val="5520724E"/>
    <w:rsid w:val="5540169E"/>
    <w:rsid w:val="55466588"/>
    <w:rsid w:val="5547793A"/>
    <w:rsid w:val="554C32B2"/>
    <w:rsid w:val="55501E76"/>
    <w:rsid w:val="55701D69"/>
    <w:rsid w:val="55731E3E"/>
    <w:rsid w:val="557A0272"/>
    <w:rsid w:val="557E29D7"/>
    <w:rsid w:val="558F2195"/>
    <w:rsid w:val="55900035"/>
    <w:rsid w:val="559455FC"/>
    <w:rsid w:val="55AF798B"/>
    <w:rsid w:val="55BC7E49"/>
    <w:rsid w:val="55CA70E8"/>
    <w:rsid w:val="55EC471E"/>
    <w:rsid w:val="55ED4967"/>
    <w:rsid w:val="55F350C4"/>
    <w:rsid w:val="561B14C6"/>
    <w:rsid w:val="561B7A15"/>
    <w:rsid w:val="5622727F"/>
    <w:rsid w:val="56247722"/>
    <w:rsid w:val="56342FDD"/>
    <w:rsid w:val="56467B64"/>
    <w:rsid w:val="565626F9"/>
    <w:rsid w:val="565671A2"/>
    <w:rsid w:val="56685CA8"/>
    <w:rsid w:val="56694C24"/>
    <w:rsid w:val="56740DC7"/>
    <w:rsid w:val="56753961"/>
    <w:rsid w:val="5677558B"/>
    <w:rsid w:val="569C2904"/>
    <w:rsid w:val="56AA3219"/>
    <w:rsid w:val="56CF2574"/>
    <w:rsid w:val="56CF424D"/>
    <w:rsid w:val="56DE4C00"/>
    <w:rsid w:val="570847EE"/>
    <w:rsid w:val="57212E09"/>
    <w:rsid w:val="573270B5"/>
    <w:rsid w:val="57331689"/>
    <w:rsid w:val="57443B56"/>
    <w:rsid w:val="57614844"/>
    <w:rsid w:val="57664CC0"/>
    <w:rsid w:val="576A00D2"/>
    <w:rsid w:val="576A530D"/>
    <w:rsid w:val="57971A40"/>
    <w:rsid w:val="579E4D2D"/>
    <w:rsid w:val="57A24175"/>
    <w:rsid w:val="57B75717"/>
    <w:rsid w:val="57C470D2"/>
    <w:rsid w:val="57C77E19"/>
    <w:rsid w:val="57CA488B"/>
    <w:rsid w:val="57DB3900"/>
    <w:rsid w:val="57DB47FB"/>
    <w:rsid w:val="57FB18AC"/>
    <w:rsid w:val="580846BB"/>
    <w:rsid w:val="5816050F"/>
    <w:rsid w:val="581D5CC6"/>
    <w:rsid w:val="58205F1A"/>
    <w:rsid w:val="582468CD"/>
    <w:rsid w:val="582840C5"/>
    <w:rsid w:val="583074F9"/>
    <w:rsid w:val="583515AC"/>
    <w:rsid w:val="584B45E2"/>
    <w:rsid w:val="584C2587"/>
    <w:rsid w:val="585127AA"/>
    <w:rsid w:val="585D5314"/>
    <w:rsid w:val="58603D47"/>
    <w:rsid w:val="58743A0C"/>
    <w:rsid w:val="58795D80"/>
    <w:rsid w:val="58BB3CCE"/>
    <w:rsid w:val="58C97BB5"/>
    <w:rsid w:val="58CD3249"/>
    <w:rsid w:val="58DE0E81"/>
    <w:rsid w:val="59125866"/>
    <w:rsid w:val="5915352F"/>
    <w:rsid w:val="591B0458"/>
    <w:rsid w:val="59213DE0"/>
    <w:rsid w:val="59232E69"/>
    <w:rsid w:val="59304651"/>
    <w:rsid w:val="593E2965"/>
    <w:rsid w:val="594856C1"/>
    <w:rsid w:val="59486EBB"/>
    <w:rsid w:val="59493AFE"/>
    <w:rsid w:val="594C38F9"/>
    <w:rsid w:val="594C4A1E"/>
    <w:rsid w:val="59567838"/>
    <w:rsid w:val="59700D18"/>
    <w:rsid w:val="5970491E"/>
    <w:rsid w:val="597304CA"/>
    <w:rsid w:val="59794C92"/>
    <w:rsid w:val="597A0373"/>
    <w:rsid w:val="598803B1"/>
    <w:rsid w:val="59A5117A"/>
    <w:rsid w:val="59A937D5"/>
    <w:rsid w:val="59BA6CB3"/>
    <w:rsid w:val="59BA6CC4"/>
    <w:rsid w:val="59BF6EE5"/>
    <w:rsid w:val="59DB746A"/>
    <w:rsid w:val="59F2154E"/>
    <w:rsid w:val="59F9691A"/>
    <w:rsid w:val="5A012975"/>
    <w:rsid w:val="5A0233C6"/>
    <w:rsid w:val="5A097A39"/>
    <w:rsid w:val="5A112448"/>
    <w:rsid w:val="5A1E417A"/>
    <w:rsid w:val="5A266C4C"/>
    <w:rsid w:val="5A2D3B53"/>
    <w:rsid w:val="5A3B2434"/>
    <w:rsid w:val="5A6457FD"/>
    <w:rsid w:val="5A645A7F"/>
    <w:rsid w:val="5A653116"/>
    <w:rsid w:val="5A7035CD"/>
    <w:rsid w:val="5A7E3799"/>
    <w:rsid w:val="5A873ECB"/>
    <w:rsid w:val="5A934A0F"/>
    <w:rsid w:val="5A957C98"/>
    <w:rsid w:val="5A9E6D6F"/>
    <w:rsid w:val="5AAC50E0"/>
    <w:rsid w:val="5AAD60EA"/>
    <w:rsid w:val="5AB61DE0"/>
    <w:rsid w:val="5ACB527F"/>
    <w:rsid w:val="5AD7761B"/>
    <w:rsid w:val="5AF96739"/>
    <w:rsid w:val="5AFE3E43"/>
    <w:rsid w:val="5B072DB6"/>
    <w:rsid w:val="5B19492B"/>
    <w:rsid w:val="5B233465"/>
    <w:rsid w:val="5B2630E4"/>
    <w:rsid w:val="5B2B7747"/>
    <w:rsid w:val="5B506B61"/>
    <w:rsid w:val="5B5F0F2E"/>
    <w:rsid w:val="5B667984"/>
    <w:rsid w:val="5B6B796C"/>
    <w:rsid w:val="5B7C0F56"/>
    <w:rsid w:val="5B9808C1"/>
    <w:rsid w:val="5BA32ED4"/>
    <w:rsid w:val="5BB10CB2"/>
    <w:rsid w:val="5BC16A09"/>
    <w:rsid w:val="5BC86C25"/>
    <w:rsid w:val="5C012CC6"/>
    <w:rsid w:val="5C144408"/>
    <w:rsid w:val="5C3B496D"/>
    <w:rsid w:val="5C503DE0"/>
    <w:rsid w:val="5C5435D1"/>
    <w:rsid w:val="5C5C5BA5"/>
    <w:rsid w:val="5C6C0FCA"/>
    <w:rsid w:val="5C8005D2"/>
    <w:rsid w:val="5C8C4702"/>
    <w:rsid w:val="5C936557"/>
    <w:rsid w:val="5C943DBC"/>
    <w:rsid w:val="5C997625"/>
    <w:rsid w:val="5CA57080"/>
    <w:rsid w:val="5CA77E21"/>
    <w:rsid w:val="5CAF0BE0"/>
    <w:rsid w:val="5CB458BA"/>
    <w:rsid w:val="5CDC782C"/>
    <w:rsid w:val="5CDF3569"/>
    <w:rsid w:val="5CE23DAC"/>
    <w:rsid w:val="5CE73917"/>
    <w:rsid w:val="5D0A73AF"/>
    <w:rsid w:val="5D120F26"/>
    <w:rsid w:val="5D1F603D"/>
    <w:rsid w:val="5D376039"/>
    <w:rsid w:val="5D3E31E9"/>
    <w:rsid w:val="5D436E42"/>
    <w:rsid w:val="5D63667B"/>
    <w:rsid w:val="5D6F2EDA"/>
    <w:rsid w:val="5D783847"/>
    <w:rsid w:val="5D83037A"/>
    <w:rsid w:val="5D8E1D59"/>
    <w:rsid w:val="5D9941C1"/>
    <w:rsid w:val="5DA92832"/>
    <w:rsid w:val="5DAE502B"/>
    <w:rsid w:val="5DB466F3"/>
    <w:rsid w:val="5DB915F2"/>
    <w:rsid w:val="5DBC60F3"/>
    <w:rsid w:val="5DCB1D21"/>
    <w:rsid w:val="5DCD5A99"/>
    <w:rsid w:val="5DDA5440"/>
    <w:rsid w:val="5DDD5947"/>
    <w:rsid w:val="5DDF393D"/>
    <w:rsid w:val="5DDF6E4E"/>
    <w:rsid w:val="5DFA49E0"/>
    <w:rsid w:val="5E1D0F80"/>
    <w:rsid w:val="5E1F3B6D"/>
    <w:rsid w:val="5E224037"/>
    <w:rsid w:val="5E352C38"/>
    <w:rsid w:val="5E3E40FF"/>
    <w:rsid w:val="5E40706E"/>
    <w:rsid w:val="5E4C1080"/>
    <w:rsid w:val="5E4E1C8A"/>
    <w:rsid w:val="5E4F4071"/>
    <w:rsid w:val="5E5D7A78"/>
    <w:rsid w:val="5E6006BB"/>
    <w:rsid w:val="5E7833A1"/>
    <w:rsid w:val="5E8274BA"/>
    <w:rsid w:val="5E8530EF"/>
    <w:rsid w:val="5EA06D09"/>
    <w:rsid w:val="5EA53C9A"/>
    <w:rsid w:val="5EB822A5"/>
    <w:rsid w:val="5EBC7F37"/>
    <w:rsid w:val="5ECE7D1A"/>
    <w:rsid w:val="5ED36C86"/>
    <w:rsid w:val="5EDA60B0"/>
    <w:rsid w:val="5EE35A57"/>
    <w:rsid w:val="5EFD415C"/>
    <w:rsid w:val="5F1645A7"/>
    <w:rsid w:val="5F49114F"/>
    <w:rsid w:val="5F6A54DD"/>
    <w:rsid w:val="5F8115FB"/>
    <w:rsid w:val="5F815969"/>
    <w:rsid w:val="5F8B4FA7"/>
    <w:rsid w:val="5F9617AA"/>
    <w:rsid w:val="5F9B72D1"/>
    <w:rsid w:val="5FAB0A44"/>
    <w:rsid w:val="5FB17C29"/>
    <w:rsid w:val="5FB34738"/>
    <w:rsid w:val="5FB95E1C"/>
    <w:rsid w:val="5FC353A5"/>
    <w:rsid w:val="5FC85F82"/>
    <w:rsid w:val="5FCB3FE5"/>
    <w:rsid w:val="5FDC5EDE"/>
    <w:rsid w:val="5FEB2206"/>
    <w:rsid w:val="5FED772C"/>
    <w:rsid w:val="5FF97EAE"/>
    <w:rsid w:val="5FFA117E"/>
    <w:rsid w:val="60155C27"/>
    <w:rsid w:val="60162D11"/>
    <w:rsid w:val="601A6070"/>
    <w:rsid w:val="60226F8B"/>
    <w:rsid w:val="602806E3"/>
    <w:rsid w:val="602E2042"/>
    <w:rsid w:val="603B4F3C"/>
    <w:rsid w:val="60477ABF"/>
    <w:rsid w:val="604B06AE"/>
    <w:rsid w:val="60526566"/>
    <w:rsid w:val="607F756F"/>
    <w:rsid w:val="60917251"/>
    <w:rsid w:val="60982996"/>
    <w:rsid w:val="60A96E90"/>
    <w:rsid w:val="60C53D01"/>
    <w:rsid w:val="60C9018D"/>
    <w:rsid w:val="60DA12FD"/>
    <w:rsid w:val="61012C93"/>
    <w:rsid w:val="61053FC5"/>
    <w:rsid w:val="610C088E"/>
    <w:rsid w:val="614A03E6"/>
    <w:rsid w:val="61531A50"/>
    <w:rsid w:val="61532201"/>
    <w:rsid w:val="61651210"/>
    <w:rsid w:val="61666018"/>
    <w:rsid w:val="616B46BB"/>
    <w:rsid w:val="616E1CFF"/>
    <w:rsid w:val="616E5EB6"/>
    <w:rsid w:val="617526CF"/>
    <w:rsid w:val="618560EB"/>
    <w:rsid w:val="618E3791"/>
    <w:rsid w:val="619743F4"/>
    <w:rsid w:val="619B5D77"/>
    <w:rsid w:val="61B10243"/>
    <w:rsid w:val="61BB2DD9"/>
    <w:rsid w:val="61C00B2F"/>
    <w:rsid w:val="61C3411F"/>
    <w:rsid w:val="61DD1B9A"/>
    <w:rsid w:val="61E136F6"/>
    <w:rsid w:val="61F4426B"/>
    <w:rsid w:val="61F83805"/>
    <w:rsid w:val="62022776"/>
    <w:rsid w:val="6205764C"/>
    <w:rsid w:val="620E45EE"/>
    <w:rsid w:val="621F13DC"/>
    <w:rsid w:val="62256C85"/>
    <w:rsid w:val="623600B0"/>
    <w:rsid w:val="623E7B68"/>
    <w:rsid w:val="62562501"/>
    <w:rsid w:val="6256299E"/>
    <w:rsid w:val="62574D95"/>
    <w:rsid w:val="62583769"/>
    <w:rsid w:val="62586747"/>
    <w:rsid w:val="626C60B7"/>
    <w:rsid w:val="62746498"/>
    <w:rsid w:val="62922E0D"/>
    <w:rsid w:val="62937FCE"/>
    <w:rsid w:val="62982A5C"/>
    <w:rsid w:val="62CB6D60"/>
    <w:rsid w:val="62E358B2"/>
    <w:rsid w:val="62EA49F7"/>
    <w:rsid w:val="62F154C5"/>
    <w:rsid w:val="62FD0A5D"/>
    <w:rsid w:val="63162338"/>
    <w:rsid w:val="632036E4"/>
    <w:rsid w:val="63232EB3"/>
    <w:rsid w:val="63267478"/>
    <w:rsid w:val="633D315E"/>
    <w:rsid w:val="63504ABF"/>
    <w:rsid w:val="63517786"/>
    <w:rsid w:val="636447A9"/>
    <w:rsid w:val="637052D7"/>
    <w:rsid w:val="638438AF"/>
    <w:rsid w:val="6388739F"/>
    <w:rsid w:val="6389099E"/>
    <w:rsid w:val="63954DAA"/>
    <w:rsid w:val="63C74AA3"/>
    <w:rsid w:val="63D87748"/>
    <w:rsid w:val="63DE2EEF"/>
    <w:rsid w:val="63E8362C"/>
    <w:rsid w:val="63F16145"/>
    <w:rsid w:val="64024CFF"/>
    <w:rsid w:val="641D22DD"/>
    <w:rsid w:val="64426DE8"/>
    <w:rsid w:val="645B3151"/>
    <w:rsid w:val="646A170C"/>
    <w:rsid w:val="64701038"/>
    <w:rsid w:val="64722EF6"/>
    <w:rsid w:val="64797A3F"/>
    <w:rsid w:val="647B4B09"/>
    <w:rsid w:val="647B6F79"/>
    <w:rsid w:val="64815AEE"/>
    <w:rsid w:val="648937A8"/>
    <w:rsid w:val="648B1BA9"/>
    <w:rsid w:val="648D0F64"/>
    <w:rsid w:val="649449E8"/>
    <w:rsid w:val="649D5D6D"/>
    <w:rsid w:val="64A9391A"/>
    <w:rsid w:val="64AF7CA6"/>
    <w:rsid w:val="64D03BCB"/>
    <w:rsid w:val="64D77B16"/>
    <w:rsid w:val="64DC08B1"/>
    <w:rsid w:val="64F55A2C"/>
    <w:rsid w:val="64F953C5"/>
    <w:rsid w:val="651B533C"/>
    <w:rsid w:val="651E27DC"/>
    <w:rsid w:val="65206DF6"/>
    <w:rsid w:val="65291D8F"/>
    <w:rsid w:val="65570D94"/>
    <w:rsid w:val="655774EE"/>
    <w:rsid w:val="65795592"/>
    <w:rsid w:val="65A10F4D"/>
    <w:rsid w:val="65A93335"/>
    <w:rsid w:val="65B51681"/>
    <w:rsid w:val="65B765E2"/>
    <w:rsid w:val="65BC5BDE"/>
    <w:rsid w:val="65CB4FB4"/>
    <w:rsid w:val="65D3678B"/>
    <w:rsid w:val="65DB69B9"/>
    <w:rsid w:val="65E142CF"/>
    <w:rsid w:val="65F16DEF"/>
    <w:rsid w:val="65FF5B93"/>
    <w:rsid w:val="660540EE"/>
    <w:rsid w:val="66081715"/>
    <w:rsid w:val="661673E0"/>
    <w:rsid w:val="661A1A97"/>
    <w:rsid w:val="661A3845"/>
    <w:rsid w:val="661B00EA"/>
    <w:rsid w:val="661D360B"/>
    <w:rsid w:val="66523C3F"/>
    <w:rsid w:val="66541F53"/>
    <w:rsid w:val="665C126F"/>
    <w:rsid w:val="6660647F"/>
    <w:rsid w:val="66613222"/>
    <w:rsid w:val="66820F47"/>
    <w:rsid w:val="668A782A"/>
    <w:rsid w:val="66AF1795"/>
    <w:rsid w:val="66B07CC1"/>
    <w:rsid w:val="66B14B24"/>
    <w:rsid w:val="66B27D18"/>
    <w:rsid w:val="66D1442C"/>
    <w:rsid w:val="66D47E7F"/>
    <w:rsid w:val="66D64E5B"/>
    <w:rsid w:val="66DD089D"/>
    <w:rsid w:val="66DD4F9F"/>
    <w:rsid w:val="66DE592A"/>
    <w:rsid w:val="66F0016C"/>
    <w:rsid w:val="66F65B16"/>
    <w:rsid w:val="66FA0812"/>
    <w:rsid w:val="66FB2BD0"/>
    <w:rsid w:val="66FC2971"/>
    <w:rsid w:val="670008EB"/>
    <w:rsid w:val="67103ED9"/>
    <w:rsid w:val="67262B05"/>
    <w:rsid w:val="672C7CD4"/>
    <w:rsid w:val="674E513F"/>
    <w:rsid w:val="674E6BDA"/>
    <w:rsid w:val="67610E75"/>
    <w:rsid w:val="676F0F89"/>
    <w:rsid w:val="677047C4"/>
    <w:rsid w:val="677178CC"/>
    <w:rsid w:val="677977BA"/>
    <w:rsid w:val="67797A29"/>
    <w:rsid w:val="678952B2"/>
    <w:rsid w:val="679D31F9"/>
    <w:rsid w:val="679D3BF4"/>
    <w:rsid w:val="679D472E"/>
    <w:rsid w:val="67A41618"/>
    <w:rsid w:val="67AE4749"/>
    <w:rsid w:val="67C56A11"/>
    <w:rsid w:val="67DC3A63"/>
    <w:rsid w:val="67E071EA"/>
    <w:rsid w:val="67FC4971"/>
    <w:rsid w:val="68152516"/>
    <w:rsid w:val="68221BAF"/>
    <w:rsid w:val="682D62D9"/>
    <w:rsid w:val="685143BC"/>
    <w:rsid w:val="68542A0A"/>
    <w:rsid w:val="68555296"/>
    <w:rsid w:val="685A68BE"/>
    <w:rsid w:val="686C1E80"/>
    <w:rsid w:val="68816836"/>
    <w:rsid w:val="689079C3"/>
    <w:rsid w:val="689A2A1B"/>
    <w:rsid w:val="68B95597"/>
    <w:rsid w:val="68D46A71"/>
    <w:rsid w:val="68D56910"/>
    <w:rsid w:val="68EF70C5"/>
    <w:rsid w:val="68F22D9F"/>
    <w:rsid w:val="69162C86"/>
    <w:rsid w:val="69180AD7"/>
    <w:rsid w:val="69214083"/>
    <w:rsid w:val="69456B9A"/>
    <w:rsid w:val="69481344"/>
    <w:rsid w:val="695700E3"/>
    <w:rsid w:val="6980516E"/>
    <w:rsid w:val="698B51FD"/>
    <w:rsid w:val="69960468"/>
    <w:rsid w:val="69A109AD"/>
    <w:rsid w:val="69B875FD"/>
    <w:rsid w:val="69D5796F"/>
    <w:rsid w:val="69E00AE8"/>
    <w:rsid w:val="69E2467A"/>
    <w:rsid w:val="69F101EA"/>
    <w:rsid w:val="69F448E4"/>
    <w:rsid w:val="6A0606AA"/>
    <w:rsid w:val="6A090874"/>
    <w:rsid w:val="6A0F6D29"/>
    <w:rsid w:val="6A1231B1"/>
    <w:rsid w:val="6A1B780C"/>
    <w:rsid w:val="6A206086"/>
    <w:rsid w:val="6A262C83"/>
    <w:rsid w:val="6A3F0B90"/>
    <w:rsid w:val="6A3F71AB"/>
    <w:rsid w:val="6A407F9F"/>
    <w:rsid w:val="6A425119"/>
    <w:rsid w:val="6A4620BF"/>
    <w:rsid w:val="6A4D5F32"/>
    <w:rsid w:val="6A5D65D9"/>
    <w:rsid w:val="6A653139"/>
    <w:rsid w:val="6A6908F7"/>
    <w:rsid w:val="6A722F0B"/>
    <w:rsid w:val="6A7A4D5B"/>
    <w:rsid w:val="6A7E7518"/>
    <w:rsid w:val="6A825953"/>
    <w:rsid w:val="6A881C38"/>
    <w:rsid w:val="6A8A11E6"/>
    <w:rsid w:val="6A8B2F63"/>
    <w:rsid w:val="6A955B90"/>
    <w:rsid w:val="6A9C6F1F"/>
    <w:rsid w:val="6AA33E09"/>
    <w:rsid w:val="6AC034F3"/>
    <w:rsid w:val="6AC96987"/>
    <w:rsid w:val="6AD24017"/>
    <w:rsid w:val="6AD42C61"/>
    <w:rsid w:val="6AE14092"/>
    <w:rsid w:val="6AEA323D"/>
    <w:rsid w:val="6AF07997"/>
    <w:rsid w:val="6AF5032D"/>
    <w:rsid w:val="6AFB2812"/>
    <w:rsid w:val="6AFF182D"/>
    <w:rsid w:val="6B032C8C"/>
    <w:rsid w:val="6B0F64B4"/>
    <w:rsid w:val="6B243303"/>
    <w:rsid w:val="6B3569BE"/>
    <w:rsid w:val="6B3A1CE8"/>
    <w:rsid w:val="6B3E4E41"/>
    <w:rsid w:val="6B4D49EF"/>
    <w:rsid w:val="6B556078"/>
    <w:rsid w:val="6B565CD0"/>
    <w:rsid w:val="6B68013D"/>
    <w:rsid w:val="6B7022D0"/>
    <w:rsid w:val="6B7B5422"/>
    <w:rsid w:val="6B852192"/>
    <w:rsid w:val="6B925A32"/>
    <w:rsid w:val="6B9C4F5E"/>
    <w:rsid w:val="6BA92B5A"/>
    <w:rsid w:val="6BB42760"/>
    <w:rsid w:val="6BD37065"/>
    <w:rsid w:val="6BE13B5E"/>
    <w:rsid w:val="6BE31674"/>
    <w:rsid w:val="6BE95EA9"/>
    <w:rsid w:val="6BEA6094"/>
    <w:rsid w:val="6C114575"/>
    <w:rsid w:val="6C2A7712"/>
    <w:rsid w:val="6C3E2214"/>
    <w:rsid w:val="6C427652"/>
    <w:rsid w:val="6C4D48CD"/>
    <w:rsid w:val="6C643A6C"/>
    <w:rsid w:val="6C661592"/>
    <w:rsid w:val="6C8202CD"/>
    <w:rsid w:val="6C8639E2"/>
    <w:rsid w:val="6C961621"/>
    <w:rsid w:val="6C9D5038"/>
    <w:rsid w:val="6CBB7DE1"/>
    <w:rsid w:val="6CC445CB"/>
    <w:rsid w:val="6CD042ED"/>
    <w:rsid w:val="6CDA2357"/>
    <w:rsid w:val="6CE8212C"/>
    <w:rsid w:val="6CED6224"/>
    <w:rsid w:val="6CF01775"/>
    <w:rsid w:val="6CFB62C0"/>
    <w:rsid w:val="6CFD7CAA"/>
    <w:rsid w:val="6D026DE8"/>
    <w:rsid w:val="6D0316B2"/>
    <w:rsid w:val="6D087337"/>
    <w:rsid w:val="6D0E1321"/>
    <w:rsid w:val="6D104BE0"/>
    <w:rsid w:val="6D132371"/>
    <w:rsid w:val="6D1338DD"/>
    <w:rsid w:val="6D153789"/>
    <w:rsid w:val="6D1E28F0"/>
    <w:rsid w:val="6D3B4D97"/>
    <w:rsid w:val="6D487B73"/>
    <w:rsid w:val="6D4A2408"/>
    <w:rsid w:val="6D4B1E5A"/>
    <w:rsid w:val="6D54588F"/>
    <w:rsid w:val="6D5E70E9"/>
    <w:rsid w:val="6D6729D8"/>
    <w:rsid w:val="6D6E09F2"/>
    <w:rsid w:val="6D852386"/>
    <w:rsid w:val="6DBD67AE"/>
    <w:rsid w:val="6DCF3167"/>
    <w:rsid w:val="6DD54C21"/>
    <w:rsid w:val="6DD8026E"/>
    <w:rsid w:val="6DF453C2"/>
    <w:rsid w:val="6DFC1EB9"/>
    <w:rsid w:val="6E25722B"/>
    <w:rsid w:val="6E3363CE"/>
    <w:rsid w:val="6E3C316F"/>
    <w:rsid w:val="6E453429"/>
    <w:rsid w:val="6E456275"/>
    <w:rsid w:val="6E4E36BD"/>
    <w:rsid w:val="6E5161B1"/>
    <w:rsid w:val="6E6127F4"/>
    <w:rsid w:val="6E631ECC"/>
    <w:rsid w:val="6E860D5E"/>
    <w:rsid w:val="6E880670"/>
    <w:rsid w:val="6E9028F6"/>
    <w:rsid w:val="6EA81F5F"/>
    <w:rsid w:val="6EB7522E"/>
    <w:rsid w:val="6EC002E5"/>
    <w:rsid w:val="6EC64ECD"/>
    <w:rsid w:val="6EC71F62"/>
    <w:rsid w:val="6ECD2CED"/>
    <w:rsid w:val="6EE1422E"/>
    <w:rsid w:val="6EE449F0"/>
    <w:rsid w:val="6EF14DB2"/>
    <w:rsid w:val="6EFA06B8"/>
    <w:rsid w:val="6F046E40"/>
    <w:rsid w:val="6F1743AC"/>
    <w:rsid w:val="6F2B58DE"/>
    <w:rsid w:val="6F3E2352"/>
    <w:rsid w:val="6F4656AB"/>
    <w:rsid w:val="6F5C1867"/>
    <w:rsid w:val="6F5C3F48"/>
    <w:rsid w:val="6F61462B"/>
    <w:rsid w:val="6F6D6714"/>
    <w:rsid w:val="6F8561D3"/>
    <w:rsid w:val="6F926B42"/>
    <w:rsid w:val="6F9C2017"/>
    <w:rsid w:val="6FB37BE5"/>
    <w:rsid w:val="6FC2450B"/>
    <w:rsid w:val="6FC7059A"/>
    <w:rsid w:val="6FCA64CD"/>
    <w:rsid w:val="6FE112C4"/>
    <w:rsid w:val="6FF069FB"/>
    <w:rsid w:val="6FF36A80"/>
    <w:rsid w:val="6FFB0619"/>
    <w:rsid w:val="6FFD7D02"/>
    <w:rsid w:val="6FFE5F86"/>
    <w:rsid w:val="70020E6A"/>
    <w:rsid w:val="70060CE6"/>
    <w:rsid w:val="700D7F77"/>
    <w:rsid w:val="701A60AC"/>
    <w:rsid w:val="702149D3"/>
    <w:rsid w:val="7021684B"/>
    <w:rsid w:val="70217D0F"/>
    <w:rsid w:val="7045295A"/>
    <w:rsid w:val="7047527A"/>
    <w:rsid w:val="704E0CBB"/>
    <w:rsid w:val="7056241A"/>
    <w:rsid w:val="705C767F"/>
    <w:rsid w:val="707B2CB1"/>
    <w:rsid w:val="70924B19"/>
    <w:rsid w:val="70952588"/>
    <w:rsid w:val="70A34833"/>
    <w:rsid w:val="70B75478"/>
    <w:rsid w:val="70BA7DE6"/>
    <w:rsid w:val="70BF74C3"/>
    <w:rsid w:val="70D56048"/>
    <w:rsid w:val="70DA3248"/>
    <w:rsid w:val="70DB6936"/>
    <w:rsid w:val="71027F8C"/>
    <w:rsid w:val="710A0DE2"/>
    <w:rsid w:val="712A4901"/>
    <w:rsid w:val="7134264D"/>
    <w:rsid w:val="71391F94"/>
    <w:rsid w:val="7148395C"/>
    <w:rsid w:val="715D7335"/>
    <w:rsid w:val="717159EA"/>
    <w:rsid w:val="71777F8A"/>
    <w:rsid w:val="719340CC"/>
    <w:rsid w:val="71946BA2"/>
    <w:rsid w:val="71A412EF"/>
    <w:rsid w:val="71B106B0"/>
    <w:rsid w:val="71B61A42"/>
    <w:rsid w:val="71BB267E"/>
    <w:rsid w:val="71BE59CD"/>
    <w:rsid w:val="71C32243"/>
    <w:rsid w:val="71D94178"/>
    <w:rsid w:val="71E258E0"/>
    <w:rsid w:val="71E371E1"/>
    <w:rsid w:val="71E450CA"/>
    <w:rsid w:val="71EA7F5E"/>
    <w:rsid w:val="71EE0EE5"/>
    <w:rsid w:val="71F773F9"/>
    <w:rsid w:val="71FB452B"/>
    <w:rsid w:val="72025ED5"/>
    <w:rsid w:val="720A7322"/>
    <w:rsid w:val="72137E38"/>
    <w:rsid w:val="721C41A5"/>
    <w:rsid w:val="721E571E"/>
    <w:rsid w:val="721F7D69"/>
    <w:rsid w:val="7225336C"/>
    <w:rsid w:val="722E3E35"/>
    <w:rsid w:val="724A7260"/>
    <w:rsid w:val="724B68D9"/>
    <w:rsid w:val="72541E8D"/>
    <w:rsid w:val="725E62FA"/>
    <w:rsid w:val="72860473"/>
    <w:rsid w:val="7299364D"/>
    <w:rsid w:val="72C16C93"/>
    <w:rsid w:val="72C9344C"/>
    <w:rsid w:val="72D66A82"/>
    <w:rsid w:val="72D67597"/>
    <w:rsid w:val="72E43D31"/>
    <w:rsid w:val="72FF6E9B"/>
    <w:rsid w:val="73027148"/>
    <w:rsid w:val="7305147C"/>
    <w:rsid w:val="731A30F8"/>
    <w:rsid w:val="733A7EE8"/>
    <w:rsid w:val="734D11ED"/>
    <w:rsid w:val="735A55D3"/>
    <w:rsid w:val="73621B80"/>
    <w:rsid w:val="73740A39"/>
    <w:rsid w:val="7375174D"/>
    <w:rsid w:val="73795D83"/>
    <w:rsid w:val="737B6EF7"/>
    <w:rsid w:val="73850D73"/>
    <w:rsid w:val="738B56FD"/>
    <w:rsid w:val="738B5D82"/>
    <w:rsid w:val="73911760"/>
    <w:rsid w:val="73993FFB"/>
    <w:rsid w:val="739F2E93"/>
    <w:rsid w:val="73A60FE9"/>
    <w:rsid w:val="73B21B10"/>
    <w:rsid w:val="73B8143C"/>
    <w:rsid w:val="73C06788"/>
    <w:rsid w:val="73D813D5"/>
    <w:rsid w:val="73DB1F8F"/>
    <w:rsid w:val="73DE1B70"/>
    <w:rsid w:val="73E6120B"/>
    <w:rsid w:val="741378E4"/>
    <w:rsid w:val="74213FF1"/>
    <w:rsid w:val="743138C9"/>
    <w:rsid w:val="74346455"/>
    <w:rsid w:val="74497E8D"/>
    <w:rsid w:val="744F70D5"/>
    <w:rsid w:val="74542618"/>
    <w:rsid w:val="746B1062"/>
    <w:rsid w:val="74836A59"/>
    <w:rsid w:val="74890514"/>
    <w:rsid w:val="74957A1D"/>
    <w:rsid w:val="74976F8C"/>
    <w:rsid w:val="749C28D6"/>
    <w:rsid w:val="74AC2DBE"/>
    <w:rsid w:val="74B03CF2"/>
    <w:rsid w:val="74B4279D"/>
    <w:rsid w:val="74C959EF"/>
    <w:rsid w:val="74D13C69"/>
    <w:rsid w:val="74D226D8"/>
    <w:rsid w:val="74D42A08"/>
    <w:rsid w:val="74D951DD"/>
    <w:rsid w:val="74E36253"/>
    <w:rsid w:val="74F273DA"/>
    <w:rsid w:val="74F600B5"/>
    <w:rsid w:val="750C6A4F"/>
    <w:rsid w:val="75102AF5"/>
    <w:rsid w:val="751C1B98"/>
    <w:rsid w:val="751C3CCD"/>
    <w:rsid w:val="752E2E69"/>
    <w:rsid w:val="753F1C14"/>
    <w:rsid w:val="75404D65"/>
    <w:rsid w:val="75410DEE"/>
    <w:rsid w:val="754B45FC"/>
    <w:rsid w:val="754C4FE3"/>
    <w:rsid w:val="75780005"/>
    <w:rsid w:val="75846F2D"/>
    <w:rsid w:val="758A336D"/>
    <w:rsid w:val="758E56B6"/>
    <w:rsid w:val="759D26FD"/>
    <w:rsid w:val="75BA7DC9"/>
    <w:rsid w:val="75C158E1"/>
    <w:rsid w:val="75D75BBF"/>
    <w:rsid w:val="75F25C45"/>
    <w:rsid w:val="75F8173D"/>
    <w:rsid w:val="75FE15A4"/>
    <w:rsid w:val="76027B21"/>
    <w:rsid w:val="76087EFE"/>
    <w:rsid w:val="762F3987"/>
    <w:rsid w:val="763146BA"/>
    <w:rsid w:val="76373F9F"/>
    <w:rsid w:val="763C17CD"/>
    <w:rsid w:val="7651209F"/>
    <w:rsid w:val="765A396A"/>
    <w:rsid w:val="765B5EE0"/>
    <w:rsid w:val="76625186"/>
    <w:rsid w:val="76694515"/>
    <w:rsid w:val="7671183A"/>
    <w:rsid w:val="76795A9A"/>
    <w:rsid w:val="76850BE3"/>
    <w:rsid w:val="768E7AAD"/>
    <w:rsid w:val="769D37DC"/>
    <w:rsid w:val="76AD1FDF"/>
    <w:rsid w:val="76AF483A"/>
    <w:rsid w:val="76C37C6F"/>
    <w:rsid w:val="76C61386"/>
    <w:rsid w:val="76CF1D13"/>
    <w:rsid w:val="76D56664"/>
    <w:rsid w:val="76E41A31"/>
    <w:rsid w:val="76E67BCC"/>
    <w:rsid w:val="76E81AE6"/>
    <w:rsid w:val="76FD0D45"/>
    <w:rsid w:val="77000835"/>
    <w:rsid w:val="770802F0"/>
    <w:rsid w:val="771025D4"/>
    <w:rsid w:val="77115FC5"/>
    <w:rsid w:val="77196438"/>
    <w:rsid w:val="77326AF1"/>
    <w:rsid w:val="77342D6F"/>
    <w:rsid w:val="77383B2B"/>
    <w:rsid w:val="773B467C"/>
    <w:rsid w:val="775B5775"/>
    <w:rsid w:val="775E0D1F"/>
    <w:rsid w:val="776655B0"/>
    <w:rsid w:val="77685B26"/>
    <w:rsid w:val="777814CA"/>
    <w:rsid w:val="777B5097"/>
    <w:rsid w:val="777E55F4"/>
    <w:rsid w:val="777F79AC"/>
    <w:rsid w:val="77820DEB"/>
    <w:rsid w:val="7792671F"/>
    <w:rsid w:val="7797445D"/>
    <w:rsid w:val="77986D62"/>
    <w:rsid w:val="779905B2"/>
    <w:rsid w:val="77A015C8"/>
    <w:rsid w:val="77A92E90"/>
    <w:rsid w:val="77B524BC"/>
    <w:rsid w:val="77B650A0"/>
    <w:rsid w:val="77CE0481"/>
    <w:rsid w:val="77E43CB3"/>
    <w:rsid w:val="77EC7456"/>
    <w:rsid w:val="77EE7D89"/>
    <w:rsid w:val="77EF0483"/>
    <w:rsid w:val="77F13E57"/>
    <w:rsid w:val="77F54C8C"/>
    <w:rsid w:val="7803238B"/>
    <w:rsid w:val="78131205"/>
    <w:rsid w:val="781911C5"/>
    <w:rsid w:val="781A279F"/>
    <w:rsid w:val="782500E0"/>
    <w:rsid w:val="782F5811"/>
    <w:rsid w:val="78384A59"/>
    <w:rsid w:val="783B343E"/>
    <w:rsid w:val="78491B75"/>
    <w:rsid w:val="784A2663"/>
    <w:rsid w:val="784A43B3"/>
    <w:rsid w:val="78511348"/>
    <w:rsid w:val="785250C1"/>
    <w:rsid w:val="78564BB1"/>
    <w:rsid w:val="78581051"/>
    <w:rsid w:val="786228CD"/>
    <w:rsid w:val="786F0FB8"/>
    <w:rsid w:val="78714DF4"/>
    <w:rsid w:val="78721CEF"/>
    <w:rsid w:val="787234C6"/>
    <w:rsid w:val="78756296"/>
    <w:rsid w:val="788334CC"/>
    <w:rsid w:val="78933114"/>
    <w:rsid w:val="78B20233"/>
    <w:rsid w:val="78D12FAA"/>
    <w:rsid w:val="78D855C6"/>
    <w:rsid w:val="78FC0536"/>
    <w:rsid w:val="78FE7954"/>
    <w:rsid w:val="79315979"/>
    <w:rsid w:val="79424F4F"/>
    <w:rsid w:val="795831E5"/>
    <w:rsid w:val="796E7E54"/>
    <w:rsid w:val="79756315"/>
    <w:rsid w:val="79765CDA"/>
    <w:rsid w:val="797C76D7"/>
    <w:rsid w:val="798B6ADC"/>
    <w:rsid w:val="79971D97"/>
    <w:rsid w:val="79A47621"/>
    <w:rsid w:val="79AA18D2"/>
    <w:rsid w:val="79AB6836"/>
    <w:rsid w:val="79BC53F7"/>
    <w:rsid w:val="79C56A19"/>
    <w:rsid w:val="79D957CA"/>
    <w:rsid w:val="79DA621C"/>
    <w:rsid w:val="79ED729C"/>
    <w:rsid w:val="7A0A78E3"/>
    <w:rsid w:val="7A2465E9"/>
    <w:rsid w:val="7A364577"/>
    <w:rsid w:val="7A54735F"/>
    <w:rsid w:val="7A5A319C"/>
    <w:rsid w:val="7A5B64AE"/>
    <w:rsid w:val="7A5C5D83"/>
    <w:rsid w:val="7A681FA7"/>
    <w:rsid w:val="7A6963D8"/>
    <w:rsid w:val="7A8D6E37"/>
    <w:rsid w:val="7AA21823"/>
    <w:rsid w:val="7AA7070E"/>
    <w:rsid w:val="7AA900DE"/>
    <w:rsid w:val="7AA936C9"/>
    <w:rsid w:val="7AB12D4C"/>
    <w:rsid w:val="7AD37F76"/>
    <w:rsid w:val="7AF32BF3"/>
    <w:rsid w:val="7AF771AA"/>
    <w:rsid w:val="7B063D79"/>
    <w:rsid w:val="7B095F0A"/>
    <w:rsid w:val="7B116B6D"/>
    <w:rsid w:val="7B190BA4"/>
    <w:rsid w:val="7B334D35"/>
    <w:rsid w:val="7B36137C"/>
    <w:rsid w:val="7B3A2568"/>
    <w:rsid w:val="7B51165F"/>
    <w:rsid w:val="7B6F5B5B"/>
    <w:rsid w:val="7B7415FA"/>
    <w:rsid w:val="7B765886"/>
    <w:rsid w:val="7B7C4D25"/>
    <w:rsid w:val="7B893C25"/>
    <w:rsid w:val="7B8B5C40"/>
    <w:rsid w:val="7B90640C"/>
    <w:rsid w:val="7B922E29"/>
    <w:rsid w:val="7BAB0D70"/>
    <w:rsid w:val="7BBC11CF"/>
    <w:rsid w:val="7BBF79A8"/>
    <w:rsid w:val="7BC24F1F"/>
    <w:rsid w:val="7BE129E3"/>
    <w:rsid w:val="7BE23EB3"/>
    <w:rsid w:val="7BE91898"/>
    <w:rsid w:val="7BF10E61"/>
    <w:rsid w:val="7BF72207"/>
    <w:rsid w:val="7C161B08"/>
    <w:rsid w:val="7C3A2FA7"/>
    <w:rsid w:val="7C4C61AE"/>
    <w:rsid w:val="7C541407"/>
    <w:rsid w:val="7C5840BF"/>
    <w:rsid w:val="7C6D071B"/>
    <w:rsid w:val="7C7750F6"/>
    <w:rsid w:val="7C84107F"/>
    <w:rsid w:val="7C9909ED"/>
    <w:rsid w:val="7C9C2291"/>
    <w:rsid w:val="7CA46921"/>
    <w:rsid w:val="7CA56991"/>
    <w:rsid w:val="7CA71E0B"/>
    <w:rsid w:val="7CB4175F"/>
    <w:rsid w:val="7CB85E09"/>
    <w:rsid w:val="7CDA3AFC"/>
    <w:rsid w:val="7CFE3A42"/>
    <w:rsid w:val="7CFF1519"/>
    <w:rsid w:val="7CFF7755"/>
    <w:rsid w:val="7D013878"/>
    <w:rsid w:val="7D0F508E"/>
    <w:rsid w:val="7D17450A"/>
    <w:rsid w:val="7D1943FF"/>
    <w:rsid w:val="7D1C4A30"/>
    <w:rsid w:val="7D2557AC"/>
    <w:rsid w:val="7D3F099E"/>
    <w:rsid w:val="7D4B01E2"/>
    <w:rsid w:val="7D4F1BCF"/>
    <w:rsid w:val="7D533A52"/>
    <w:rsid w:val="7D5B43D0"/>
    <w:rsid w:val="7D6243C6"/>
    <w:rsid w:val="7D76523E"/>
    <w:rsid w:val="7D78086B"/>
    <w:rsid w:val="7D781E69"/>
    <w:rsid w:val="7D7B5075"/>
    <w:rsid w:val="7D832173"/>
    <w:rsid w:val="7D8A3C14"/>
    <w:rsid w:val="7D8C5B06"/>
    <w:rsid w:val="7D934401"/>
    <w:rsid w:val="7D953960"/>
    <w:rsid w:val="7D961406"/>
    <w:rsid w:val="7DA56991"/>
    <w:rsid w:val="7DA623C2"/>
    <w:rsid w:val="7DA737B9"/>
    <w:rsid w:val="7DB639FC"/>
    <w:rsid w:val="7DC425BD"/>
    <w:rsid w:val="7DFF0E02"/>
    <w:rsid w:val="7E070C8C"/>
    <w:rsid w:val="7E0800A0"/>
    <w:rsid w:val="7E0C521E"/>
    <w:rsid w:val="7E0E7E19"/>
    <w:rsid w:val="7E1840CC"/>
    <w:rsid w:val="7E1964D0"/>
    <w:rsid w:val="7E2A3B50"/>
    <w:rsid w:val="7E303249"/>
    <w:rsid w:val="7E525E1A"/>
    <w:rsid w:val="7E555123"/>
    <w:rsid w:val="7E557656"/>
    <w:rsid w:val="7E7538B7"/>
    <w:rsid w:val="7E841CD2"/>
    <w:rsid w:val="7E844BCE"/>
    <w:rsid w:val="7E8B4E88"/>
    <w:rsid w:val="7E8D660B"/>
    <w:rsid w:val="7E920963"/>
    <w:rsid w:val="7E9433D2"/>
    <w:rsid w:val="7E992085"/>
    <w:rsid w:val="7EB47F46"/>
    <w:rsid w:val="7EB94600"/>
    <w:rsid w:val="7EC15709"/>
    <w:rsid w:val="7ECF7C45"/>
    <w:rsid w:val="7ED82860"/>
    <w:rsid w:val="7EF45DB1"/>
    <w:rsid w:val="7EFB3F06"/>
    <w:rsid w:val="7EFD2358"/>
    <w:rsid w:val="7EFF5324"/>
    <w:rsid w:val="7F03165A"/>
    <w:rsid w:val="7F077A20"/>
    <w:rsid w:val="7F077BC2"/>
    <w:rsid w:val="7F09267A"/>
    <w:rsid w:val="7F2B23E6"/>
    <w:rsid w:val="7F2B4123"/>
    <w:rsid w:val="7F3426C9"/>
    <w:rsid w:val="7F3E0944"/>
    <w:rsid w:val="7F3E5DC7"/>
    <w:rsid w:val="7F5C2ED4"/>
    <w:rsid w:val="7F5E061E"/>
    <w:rsid w:val="7F643B5C"/>
    <w:rsid w:val="7F7C0DAA"/>
    <w:rsid w:val="7F7F2B17"/>
    <w:rsid w:val="7F8A3D01"/>
    <w:rsid w:val="7F8B6823"/>
    <w:rsid w:val="7F9B25D3"/>
    <w:rsid w:val="7F9C4EBD"/>
    <w:rsid w:val="7FAD310E"/>
    <w:rsid w:val="7FCD6742"/>
    <w:rsid w:val="7FD83999"/>
    <w:rsid w:val="7FE44850"/>
    <w:rsid w:val="7FE546A7"/>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1"/>
    <w:basedOn w:val="1"/>
    <w:next w:val="1"/>
    <w:link w:val="65"/>
    <w:autoRedefine/>
    <w:qFormat/>
    <w:uiPriority w:val="0"/>
    <w:pPr>
      <w:keepNext/>
      <w:keepLines/>
      <w:spacing w:line="440" w:lineRule="exact"/>
      <w:jc w:val="center"/>
      <w:outlineLvl w:val="0"/>
    </w:pPr>
    <w:rPr>
      <w:b/>
      <w:bCs/>
      <w:kern w:val="44"/>
      <w:sz w:val="44"/>
      <w:szCs w:val="44"/>
    </w:rPr>
  </w:style>
  <w:style w:type="paragraph" w:styleId="7">
    <w:name w:val="heading 2"/>
    <w:basedOn w:val="1"/>
    <w:next w:val="1"/>
    <w:link w:val="198"/>
    <w:autoRedefine/>
    <w:qFormat/>
    <w:uiPriority w:val="0"/>
    <w:pPr>
      <w:keepNext/>
      <w:keepLines/>
      <w:spacing w:line="440" w:lineRule="exact"/>
      <w:jc w:val="left"/>
      <w:outlineLvl w:val="1"/>
    </w:pPr>
    <w:rPr>
      <w:rFonts w:ascii="Arial" w:hAnsi="Arial" w:eastAsia="黑体"/>
      <w:b/>
      <w:bCs/>
      <w:szCs w:val="32"/>
    </w:rPr>
  </w:style>
  <w:style w:type="paragraph" w:styleId="8">
    <w:name w:val="heading 3"/>
    <w:basedOn w:val="1"/>
    <w:next w:val="1"/>
    <w:link w:val="154"/>
    <w:autoRedefine/>
    <w:qFormat/>
    <w:uiPriority w:val="0"/>
    <w:pPr>
      <w:keepNext/>
      <w:keepLines/>
      <w:spacing w:line="415" w:lineRule="auto"/>
      <w:outlineLvl w:val="2"/>
    </w:pPr>
    <w:rPr>
      <w:b/>
      <w:bCs/>
      <w:kern w:val="0"/>
      <w:sz w:val="32"/>
      <w:szCs w:val="32"/>
    </w:rPr>
  </w:style>
  <w:style w:type="paragraph" w:styleId="9">
    <w:name w:val="heading 4"/>
    <w:basedOn w:val="1"/>
    <w:next w:val="10"/>
    <w:autoRedefine/>
    <w:qFormat/>
    <w:uiPriority w:val="0"/>
    <w:pPr>
      <w:keepNext/>
      <w:keepLines/>
      <w:spacing w:line="374" w:lineRule="auto"/>
      <w:outlineLvl w:val="3"/>
    </w:pPr>
    <w:rPr>
      <w:rFonts w:ascii="Arial" w:hAnsi="Arial" w:eastAsia="黑体"/>
      <w:b/>
      <w:bCs/>
      <w:sz w:val="28"/>
      <w:szCs w:val="28"/>
    </w:rPr>
  </w:style>
  <w:style w:type="paragraph" w:styleId="11">
    <w:name w:val="heading 5"/>
    <w:basedOn w:val="1"/>
    <w:next w:val="1"/>
    <w:link w:val="131"/>
    <w:autoRedefine/>
    <w:qFormat/>
    <w:uiPriority w:val="0"/>
    <w:pPr>
      <w:keepNext/>
      <w:keepLines/>
      <w:spacing w:line="376" w:lineRule="auto"/>
      <w:outlineLvl w:val="4"/>
    </w:pPr>
    <w:rPr>
      <w:b/>
      <w:bCs/>
      <w:sz w:val="28"/>
      <w:szCs w:val="28"/>
    </w:rPr>
  </w:style>
  <w:style w:type="paragraph" w:styleId="12">
    <w:name w:val="heading 6"/>
    <w:basedOn w:val="1"/>
    <w:next w:val="1"/>
    <w:autoRedefine/>
    <w:qFormat/>
    <w:uiPriority w:val="0"/>
    <w:pPr>
      <w:keepNext/>
      <w:keepLines/>
      <w:widowControl/>
      <w:tabs>
        <w:tab w:val="left" w:pos="1440"/>
      </w:tabs>
      <w:spacing w:line="319" w:lineRule="auto"/>
      <w:ind w:left="1152" w:hanging="1152"/>
      <w:jc w:val="left"/>
      <w:outlineLvl w:val="5"/>
    </w:pPr>
    <w:rPr>
      <w:rFonts w:ascii="Arial" w:hAnsi="Arial" w:eastAsia="黑体"/>
      <w:b/>
      <w:bCs/>
      <w:kern w:val="0"/>
      <w:sz w:val="24"/>
    </w:rPr>
  </w:style>
  <w:style w:type="paragraph" w:styleId="13">
    <w:name w:val="heading 7"/>
    <w:basedOn w:val="1"/>
    <w:next w:val="1"/>
    <w:autoRedefine/>
    <w:qFormat/>
    <w:uiPriority w:val="0"/>
    <w:pPr>
      <w:keepNext/>
      <w:keepLines/>
      <w:widowControl/>
      <w:tabs>
        <w:tab w:val="left" w:pos="2520"/>
      </w:tabs>
      <w:spacing w:line="319" w:lineRule="auto"/>
      <w:ind w:left="1296" w:hanging="1296"/>
      <w:jc w:val="left"/>
      <w:outlineLvl w:val="6"/>
    </w:pPr>
    <w:rPr>
      <w:b/>
      <w:bCs/>
      <w:kern w:val="0"/>
      <w:sz w:val="24"/>
    </w:rPr>
  </w:style>
  <w:style w:type="paragraph" w:styleId="14">
    <w:name w:val="heading 8"/>
    <w:basedOn w:val="1"/>
    <w:next w:val="1"/>
    <w:autoRedefine/>
    <w:qFormat/>
    <w:uiPriority w:val="0"/>
    <w:pPr>
      <w:keepNext/>
      <w:keepLines/>
      <w:widowControl/>
      <w:tabs>
        <w:tab w:val="left" w:pos="1440"/>
      </w:tabs>
      <w:spacing w:line="319" w:lineRule="auto"/>
      <w:ind w:left="1440" w:hanging="1440"/>
      <w:jc w:val="left"/>
      <w:outlineLvl w:val="7"/>
    </w:pPr>
    <w:rPr>
      <w:rFonts w:ascii="Arial" w:hAnsi="Arial" w:eastAsia="黑体"/>
      <w:kern w:val="0"/>
      <w:sz w:val="24"/>
    </w:rPr>
  </w:style>
  <w:style w:type="paragraph" w:styleId="15">
    <w:name w:val="heading 9"/>
    <w:basedOn w:val="1"/>
    <w:next w:val="1"/>
    <w:autoRedefine/>
    <w:qFormat/>
    <w:uiPriority w:val="0"/>
    <w:pPr>
      <w:keepNext/>
      <w:keepLines/>
      <w:widowControl/>
      <w:tabs>
        <w:tab w:val="left" w:pos="1584"/>
      </w:tabs>
      <w:spacing w:line="319" w:lineRule="auto"/>
      <w:ind w:left="1584" w:hanging="1584"/>
      <w:jc w:val="left"/>
      <w:outlineLvl w:val="8"/>
    </w:pPr>
    <w:rPr>
      <w:rFonts w:ascii="Arial" w:hAnsi="Arial" w:eastAsia="黑体"/>
      <w:kern w:val="0"/>
      <w:szCs w:val="21"/>
    </w:rPr>
  </w:style>
  <w:style w:type="character" w:default="1" w:styleId="48">
    <w:name w:val="Default Paragraph Font"/>
    <w:autoRedefine/>
    <w:semiHidden/>
    <w:unhideWhenUsed/>
    <w:qFormat/>
    <w:uiPriority w:val="1"/>
  </w:style>
  <w:style w:type="table" w:default="1" w:styleId="46">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First Indent 2"/>
    <w:basedOn w:val="3"/>
    <w:next w:val="1"/>
    <w:autoRedefine/>
    <w:qFormat/>
    <w:uiPriority w:val="0"/>
    <w:pPr>
      <w:spacing w:line="360" w:lineRule="auto"/>
      <w:ind w:firstLine="200" w:firstLineChars="200"/>
    </w:pPr>
    <w:rPr>
      <w:rFonts w:ascii="宋体"/>
      <w:szCs w:val="20"/>
    </w:rPr>
  </w:style>
  <w:style w:type="paragraph" w:styleId="3">
    <w:name w:val="Body Text Indent"/>
    <w:basedOn w:val="1"/>
    <w:next w:val="4"/>
    <w:autoRedefine/>
    <w:qFormat/>
    <w:uiPriority w:val="0"/>
    <w:pPr>
      <w:ind w:left="420" w:leftChars="200"/>
    </w:pPr>
  </w:style>
  <w:style w:type="paragraph" w:styleId="4">
    <w:name w:val="envelope return"/>
    <w:basedOn w:val="1"/>
    <w:next w:val="5"/>
    <w:autoRedefine/>
    <w:qFormat/>
    <w:uiPriority w:val="0"/>
    <w:pPr>
      <w:snapToGrid w:val="0"/>
    </w:pPr>
    <w:rPr>
      <w:rFonts w:ascii="Arial" w:hAnsi="Arial"/>
    </w:rPr>
  </w:style>
  <w:style w:type="paragraph" w:styleId="5">
    <w:name w:val="toc 7"/>
    <w:basedOn w:val="1"/>
    <w:next w:val="1"/>
    <w:autoRedefine/>
    <w:qFormat/>
    <w:uiPriority w:val="39"/>
    <w:pPr>
      <w:ind w:left="1260"/>
      <w:jc w:val="left"/>
    </w:pPr>
    <w:rPr>
      <w:sz w:val="18"/>
      <w:szCs w:val="18"/>
    </w:rPr>
  </w:style>
  <w:style w:type="paragraph" w:styleId="10">
    <w:name w:val="Normal Indent"/>
    <w:basedOn w:val="1"/>
    <w:autoRedefine/>
    <w:qFormat/>
    <w:uiPriority w:val="0"/>
    <w:pPr>
      <w:ind w:firstLine="420" w:firstLineChars="200"/>
    </w:pPr>
  </w:style>
  <w:style w:type="paragraph" w:styleId="16">
    <w:name w:val="table of authorities"/>
    <w:basedOn w:val="1"/>
    <w:next w:val="1"/>
    <w:autoRedefine/>
    <w:unhideWhenUsed/>
    <w:qFormat/>
    <w:uiPriority w:val="0"/>
    <w:pPr>
      <w:ind w:left="420" w:leftChars="200"/>
    </w:pPr>
  </w:style>
  <w:style w:type="paragraph" w:styleId="17">
    <w:name w:val="Document Map"/>
    <w:basedOn w:val="1"/>
    <w:autoRedefine/>
    <w:qFormat/>
    <w:uiPriority w:val="0"/>
    <w:pPr>
      <w:shd w:val="clear" w:color="auto" w:fill="000080"/>
    </w:pPr>
  </w:style>
  <w:style w:type="paragraph" w:styleId="18">
    <w:name w:val="annotation text"/>
    <w:basedOn w:val="1"/>
    <w:link w:val="115"/>
    <w:autoRedefine/>
    <w:qFormat/>
    <w:uiPriority w:val="0"/>
    <w:pPr>
      <w:jc w:val="left"/>
    </w:pPr>
  </w:style>
  <w:style w:type="paragraph" w:styleId="19">
    <w:name w:val="Body Text 3"/>
    <w:basedOn w:val="1"/>
    <w:autoRedefine/>
    <w:qFormat/>
    <w:uiPriority w:val="0"/>
    <w:rPr>
      <w:rFonts w:ascii="宋体"/>
      <w:sz w:val="24"/>
      <w:szCs w:val="20"/>
    </w:rPr>
  </w:style>
  <w:style w:type="paragraph" w:styleId="20">
    <w:name w:val="Body Text"/>
    <w:basedOn w:val="1"/>
    <w:link w:val="143"/>
    <w:autoRedefine/>
    <w:qFormat/>
    <w:uiPriority w:val="0"/>
  </w:style>
  <w:style w:type="paragraph" w:styleId="21">
    <w:name w:val="Block Text"/>
    <w:basedOn w:val="1"/>
    <w:next w:val="22"/>
    <w:autoRedefine/>
    <w:qFormat/>
    <w:uiPriority w:val="0"/>
    <w:pPr>
      <w:spacing w:line="400" w:lineRule="exact"/>
      <w:ind w:left="-359" w:leftChars="-171" w:right="31" w:rightChars="15" w:firstLine="980" w:firstLineChars="350"/>
    </w:pPr>
    <w:rPr>
      <w:rFonts w:ascii="宋体" w:hAnsi="宋体"/>
      <w:sz w:val="28"/>
      <w:szCs w:val="32"/>
    </w:rPr>
  </w:style>
  <w:style w:type="paragraph" w:styleId="22">
    <w:name w:val="Body Text Indent 3"/>
    <w:basedOn w:val="1"/>
    <w:next w:val="1"/>
    <w:autoRedefine/>
    <w:qFormat/>
    <w:uiPriority w:val="0"/>
    <w:pPr>
      <w:ind w:left="420" w:leftChars="200"/>
    </w:pPr>
    <w:rPr>
      <w:sz w:val="16"/>
      <w:szCs w:val="16"/>
    </w:rPr>
  </w:style>
  <w:style w:type="paragraph" w:styleId="23">
    <w:name w:val="toc 5"/>
    <w:basedOn w:val="1"/>
    <w:next w:val="1"/>
    <w:autoRedefine/>
    <w:qFormat/>
    <w:uiPriority w:val="39"/>
    <w:pPr>
      <w:ind w:left="840"/>
      <w:jc w:val="left"/>
    </w:pPr>
    <w:rPr>
      <w:sz w:val="18"/>
      <w:szCs w:val="18"/>
    </w:rPr>
  </w:style>
  <w:style w:type="paragraph" w:styleId="24">
    <w:name w:val="toc 3"/>
    <w:basedOn w:val="1"/>
    <w:next w:val="1"/>
    <w:autoRedefine/>
    <w:qFormat/>
    <w:uiPriority w:val="39"/>
    <w:pPr>
      <w:ind w:left="420"/>
      <w:jc w:val="left"/>
    </w:pPr>
    <w:rPr>
      <w:i/>
      <w:iCs/>
      <w:sz w:val="20"/>
      <w:szCs w:val="20"/>
    </w:rPr>
  </w:style>
  <w:style w:type="paragraph" w:styleId="25">
    <w:name w:val="Plain Text"/>
    <w:basedOn w:val="1"/>
    <w:next w:val="1"/>
    <w:link w:val="138"/>
    <w:autoRedefine/>
    <w:qFormat/>
    <w:uiPriority w:val="0"/>
    <w:rPr>
      <w:rFonts w:ascii="Courier New" w:hAnsi="Courier New"/>
      <w:szCs w:val="20"/>
    </w:rPr>
  </w:style>
  <w:style w:type="paragraph" w:styleId="26">
    <w:name w:val="toc 8"/>
    <w:basedOn w:val="1"/>
    <w:next w:val="1"/>
    <w:autoRedefine/>
    <w:qFormat/>
    <w:uiPriority w:val="39"/>
    <w:pPr>
      <w:ind w:left="1470"/>
      <w:jc w:val="left"/>
    </w:pPr>
    <w:rPr>
      <w:sz w:val="18"/>
      <w:szCs w:val="18"/>
    </w:rPr>
  </w:style>
  <w:style w:type="paragraph" w:styleId="27">
    <w:name w:val="Date"/>
    <w:basedOn w:val="1"/>
    <w:next w:val="1"/>
    <w:autoRedefine/>
    <w:qFormat/>
    <w:uiPriority w:val="0"/>
    <w:rPr>
      <w:sz w:val="24"/>
      <w:szCs w:val="20"/>
    </w:rPr>
  </w:style>
  <w:style w:type="paragraph" w:styleId="28">
    <w:name w:val="Body Text Indent 2"/>
    <w:basedOn w:val="1"/>
    <w:autoRedefine/>
    <w:qFormat/>
    <w:uiPriority w:val="0"/>
    <w:pPr>
      <w:spacing w:line="360" w:lineRule="exact"/>
      <w:ind w:firstLine="600" w:firstLineChars="250"/>
      <w:jc w:val="left"/>
    </w:pPr>
    <w:rPr>
      <w:sz w:val="24"/>
    </w:rPr>
  </w:style>
  <w:style w:type="paragraph" w:styleId="29">
    <w:name w:val="Balloon Text"/>
    <w:basedOn w:val="1"/>
    <w:autoRedefine/>
    <w:qFormat/>
    <w:uiPriority w:val="0"/>
    <w:rPr>
      <w:sz w:val="18"/>
      <w:szCs w:val="18"/>
    </w:rPr>
  </w:style>
  <w:style w:type="paragraph" w:styleId="30">
    <w:name w:val="footer"/>
    <w:basedOn w:val="1"/>
    <w:autoRedefine/>
    <w:qFormat/>
    <w:uiPriority w:val="0"/>
    <w:pPr>
      <w:tabs>
        <w:tab w:val="center" w:pos="4153"/>
        <w:tab w:val="right" w:pos="8306"/>
      </w:tabs>
      <w:snapToGrid w:val="0"/>
      <w:jc w:val="left"/>
    </w:pPr>
    <w:rPr>
      <w:sz w:val="18"/>
      <w:szCs w:val="18"/>
    </w:rPr>
  </w:style>
  <w:style w:type="paragraph" w:styleId="31">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32">
    <w:name w:val="toc 1"/>
    <w:basedOn w:val="1"/>
    <w:next w:val="1"/>
    <w:autoRedefine/>
    <w:qFormat/>
    <w:uiPriority w:val="39"/>
    <w:pPr>
      <w:jc w:val="left"/>
    </w:pPr>
    <w:rPr>
      <w:b/>
      <w:bCs/>
      <w:caps/>
      <w:sz w:val="20"/>
      <w:szCs w:val="20"/>
    </w:rPr>
  </w:style>
  <w:style w:type="paragraph" w:styleId="33">
    <w:name w:val="toc 4"/>
    <w:basedOn w:val="1"/>
    <w:next w:val="1"/>
    <w:autoRedefine/>
    <w:qFormat/>
    <w:uiPriority w:val="39"/>
    <w:pPr>
      <w:ind w:left="630"/>
      <w:jc w:val="left"/>
    </w:pPr>
    <w:rPr>
      <w:sz w:val="18"/>
      <w:szCs w:val="18"/>
    </w:rPr>
  </w:style>
  <w:style w:type="paragraph" w:styleId="34">
    <w:name w:val="List"/>
    <w:basedOn w:val="1"/>
    <w:autoRedefine/>
    <w:qFormat/>
    <w:uiPriority w:val="0"/>
    <w:pPr>
      <w:ind w:left="420" w:hanging="420"/>
    </w:pPr>
  </w:style>
  <w:style w:type="paragraph" w:styleId="35">
    <w:name w:val="footnote text"/>
    <w:basedOn w:val="1"/>
    <w:autoRedefine/>
    <w:qFormat/>
    <w:uiPriority w:val="0"/>
    <w:rPr>
      <w:sz w:val="20"/>
      <w:szCs w:val="20"/>
    </w:rPr>
  </w:style>
  <w:style w:type="paragraph" w:styleId="36">
    <w:name w:val="toc 6"/>
    <w:basedOn w:val="1"/>
    <w:next w:val="1"/>
    <w:autoRedefine/>
    <w:qFormat/>
    <w:uiPriority w:val="39"/>
    <w:pPr>
      <w:ind w:left="1050"/>
      <w:jc w:val="left"/>
    </w:pPr>
    <w:rPr>
      <w:sz w:val="18"/>
      <w:szCs w:val="18"/>
    </w:rPr>
  </w:style>
  <w:style w:type="paragraph" w:styleId="37">
    <w:name w:val="table of figures"/>
    <w:basedOn w:val="1"/>
    <w:next w:val="1"/>
    <w:autoRedefine/>
    <w:qFormat/>
    <w:uiPriority w:val="0"/>
    <w:pPr>
      <w:ind w:left="200" w:leftChars="200" w:hanging="200" w:hangingChars="200"/>
    </w:pPr>
  </w:style>
  <w:style w:type="paragraph" w:styleId="38">
    <w:name w:val="toc 2"/>
    <w:basedOn w:val="1"/>
    <w:next w:val="1"/>
    <w:autoRedefine/>
    <w:qFormat/>
    <w:uiPriority w:val="39"/>
    <w:pPr>
      <w:ind w:left="210"/>
      <w:jc w:val="left"/>
    </w:pPr>
    <w:rPr>
      <w:smallCaps/>
      <w:sz w:val="20"/>
      <w:szCs w:val="20"/>
    </w:rPr>
  </w:style>
  <w:style w:type="paragraph" w:styleId="39">
    <w:name w:val="toc 9"/>
    <w:basedOn w:val="1"/>
    <w:next w:val="1"/>
    <w:autoRedefine/>
    <w:qFormat/>
    <w:uiPriority w:val="39"/>
    <w:pPr>
      <w:ind w:left="1680"/>
      <w:jc w:val="left"/>
    </w:pPr>
    <w:rPr>
      <w:sz w:val="18"/>
      <w:szCs w:val="18"/>
    </w:rPr>
  </w:style>
  <w:style w:type="paragraph" w:styleId="40">
    <w:name w:val="Body Text 2"/>
    <w:basedOn w:val="1"/>
    <w:autoRedefine/>
    <w:qFormat/>
    <w:uiPriority w:val="0"/>
    <w:pPr>
      <w:spacing w:line="440" w:lineRule="exact"/>
    </w:pPr>
    <w:rPr>
      <w:sz w:val="28"/>
    </w:rPr>
  </w:style>
  <w:style w:type="paragraph" w:styleId="41">
    <w:name w:val="HTML Preformatted"/>
    <w:basedOn w:val="1"/>
    <w:link w:val="117"/>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42">
    <w:name w:val="Normal (Web)"/>
    <w:basedOn w:val="1"/>
    <w:autoRedefine/>
    <w:qFormat/>
    <w:uiPriority w:val="99"/>
    <w:pPr>
      <w:widowControl/>
      <w:spacing w:beforeAutospacing="1" w:afterAutospacing="1"/>
      <w:jc w:val="left"/>
    </w:pPr>
    <w:rPr>
      <w:rFonts w:ascii="宋体" w:hAnsi="宋体" w:cs="宋体"/>
      <w:kern w:val="0"/>
      <w:sz w:val="24"/>
    </w:rPr>
  </w:style>
  <w:style w:type="paragraph" w:styleId="43">
    <w:name w:val="Title"/>
    <w:basedOn w:val="1"/>
    <w:autoRedefine/>
    <w:qFormat/>
    <w:uiPriority w:val="0"/>
    <w:pPr>
      <w:adjustRightInd w:val="0"/>
      <w:spacing w:line="420" w:lineRule="atLeast"/>
      <w:jc w:val="center"/>
      <w:textAlignment w:val="baseline"/>
      <w:outlineLvl w:val="0"/>
    </w:pPr>
    <w:rPr>
      <w:rFonts w:ascii="Arial" w:hAnsi="Arial"/>
      <w:b/>
      <w:kern w:val="0"/>
      <w:sz w:val="32"/>
      <w:szCs w:val="20"/>
    </w:rPr>
  </w:style>
  <w:style w:type="paragraph" w:styleId="44">
    <w:name w:val="annotation subject"/>
    <w:basedOn w:val="18"/>
    <w:next w:val="18"/>
    <w:autoRedefine/>
    <w:qFormat/>
    <w:uiPriority w:val="0"/>
    <w:rPr>
      <w:b/>
      <w:bCs/>
    </w:rPr>
  </w:style>
  <w:style w:type="paragraph" w:styleId="45">
    <w:name w:val="Body Text First Indent"/>
    <w:basedOn w:val="20"/>
    <w:autoRedefine/>
    <w:qFormat/>
    <w:uiPriority w:val="0"/>
    <w:pPr>
      <w:ind w:firstLine="420" w:firstLineChars="100"/>
    </w:pPr>
  </w:style>
  <w:style w:type="table" w:styleId="47">
    <w:name w:val="Table Grid"/>
    <w:basedOn w:val="4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9">
    <w:name w:val="Strong"/>
    <w:basedOn w:val="48"/>
    <w:autoRedefine/>
    <w:qFormat/>
    <w:uiPriority w:val="0"/>
    <w:rPr>
      <w:b/>
      <w:bCs/>
    </w:rPr>
  </w:style>
  <w:style w:type="character" w:styleId="50">
    <w:name w:val="page number"/>
    <w:basedOn w:val="48"/>
    <w:autoRedefine/>
    <w:qFormat/>
    <w:uiPriority w:val="0"/>
  </w:style>
  <w:style w:type="character" w:styleId="51">
    <w:name w:val="FollowedHyperlink"/>
    <w:autoRedefine/>
    <w:qFormat/>
    <w:uiPriority w:val="0"/>
    <w:rPr>
      <w:color w:val="333333"/>
      <w:u w:val="none"/>
    </w:rPr>
  </w:style>
  <w:style w:type="character" w:styleId="52">
    <w:name w:val="Emphasis"/>
    <w:autoRedefine/>
    <w:qFormat/>
    <w:uiPriority w:val="0"/>
    <w:rPr>
      <w:color w:val="CC0033"/>
    </w:rPr>
  </w:style>
  <w:style w:type="character" w:styleId="53">
    <w:name w:val="HTML Definition"/>
    <w:autoRedefine/>
    <w:qFormat/>
    <w:uiPriority w:val="0"/>
  </w:style>
  <w:style w:type="character" w:styleId="54">
    <w:name w:val="HTML Typewriter"/>
    <w:autoRedefine/>
    <w:qFormat/>
    <w:uiPriority w:val="0"/>
    <w:rPr>
      <w:rFonts w:hint="default" w:ascii="monospace" w:hAnsi="monospace" w:eastAsia="monospace" w:cs="monospace"/>
      <w:sz w:val="20"/>
    </w:rPr>
  </w:style>
  <w:style w:type="character" w:styleId="55">
    <w:name w:val="HTML Acronym"/>
    <w:basedOn w:val="48"/>
    <w:autoRedefine/>
    <w:qFormat/>
    <w:uiPriority w:val="0"/>
  </w:style>
  <w:style w:type="character" w:styleId="56">
    <w:name w:val="HTML Variable"/>
    <w:autoRedefine/>
    <w:qFormat/>
    <w:uiPriority w:val="0"/>
  </w:style>
  <w:style w:type="character" w:styleId="57">
    <w:name w:val="Hyperlink"/>
    <w:basedOn w:val="48"/>
    <w:autoRedefine/>
    <w:qFormat/>
    <w:uiPriority w:val="99"/>
    <w:rPr>
      <w:color w:val="333333"/>
      <w:u w:val="none"/>
    </w:rPr>
  </w:style>
  <w:style w:type="character" w:styleId="58">
    <w:name w:val="HTML Code"/>
    <w:autoRedefine/>
    <w:qFormat/>
    <w:uiPriority w:val="0"/>
    <w:rPr>
      <w:rFonts w:hint="default" w:ascii="monospace" w:hAnsi="monospace" w:eastAsia="monospace" w:cs="monospace"/>
      <w:sz w:val="20"/>
    </w:rPr>
  </w:style>
  <w:style w:type="character" w:styleId="59">
    <w:name w:val="annotation reference"/>
    <w:autoRedefine/>
    <w:qFormat/>
    <w:uiPriority w:val="0"/>
    <w:rPr>
      <w:sz w:val="21"/>
      <w:szCs w:val="21"/>
    </w:rPr>
  </w:style>
  <w:style w:type="character" w:styleId="60">
    <w:name w:val="HTML Cite"/>
    <w:autoRedefine/>
    <w:qFormat/>
    <w:uiPriority w:val="0"/>
  </w:style>
  <w:style w:type="character" w:styleId="61">
    <w:name w:val="footnote reference"/>
    <w:autoRedefine/>
    <w:qFormat/>
    <w:uiPriority w:val="0"/>
    <w:rPr>
      <w:vertAlign w:val="superscript"/>
    </w:rPr>
  </w:style>
  <w:style w:type="character" w:styleId="62">
    <w:name w:val="HTML Keyboard"/>
    <w:autoRedefine/>
    <w:qFormat/>
    <w:uiPriority w:val="0"/>
    <w:rPr>
      <w:rFonts w:ascii="monospace" w:hAnsi="monospace" w:eastAsia="monospace" w:cs="monospace"/>
      <w:sz w:val="20"/>
    </w:rPr>
  </w:style>
  <w:style w:type="character" w:styleId="63">
    <w:name w:val="HTML Sample"/>
    <w:autoRedefine/>
    <w:qFormat/>
    <w:uiPriority w:val="0"/>
    <w:rPr>
      <w:rFonts w:hint="default" w:ascii="monospace" w:hAnsi="monospace" w:eastAsia="monospace" w:cs="monospace"/>
    </w:rPr>
  </w:style>
  <w:style w:type="character" w:customStyle="1" w:styleId="64">
    <w:name w:val="标题 2 Char"/>
    <w:autoRedefine/>
    <w:qFormat/>
    <w:uiPriority w:val="0"/>
    <w:rPr>
      <w:rFonts w:ascii="Arial" w:hAnsi="Arial" w:eastAsia="黑体"/>
      <w:b/>
      <w:bCs/>
      <w:kern w:val="2"/>
      <w:sz w:val="21"/>
      <w:szCs w:val="32"/>
      <w:lang w:val="en-US" w:eastAsia="zh-CN" w:bidi="ar-SA"/>
    </w:rPr>
  </w:style>
  <w:style w:type="character" w:customStyle="1" w:styleId="65">
    <w:name w:val="标题 1 Char"/>
    <w:link w:val="6"/>
    <w:autoRedefine/>
    <w:qFormat/>
    <w:uiPriority w:val="0"/>
    <w:rPr>
      <w:rFonts w:eastAsia="宋体"/>
      <w:b/>
      <w:bCs/>
      <w:kern w:val="44"/>
      <w:sz w:val="44"/>
      <w:szCs w:val="44"/>
      <w:lang w:val="en-US" w:eastAsia="zh-CN" w:bidi="ar-SA"/>
    </w:rPr>
  </w:style>
  <w:style w:type="paragraph" w:customStyle="1" w:styleId="66">
    <w:name w:val="正文（缩进）"/>
    <w:basedOn w:val="1"/>
    <w:next w:val="21"/>
    <w:autoRedefine/>
    <w:qFormat/>
    <w:uiPriority w:val="0"/>
    <w:pPr>
      <w:widowControl w:val="0"/>
      <w:spacing w:before="156" w:beforeLines="50" w:after="156" w:afterLines="50" w:line="360" w:lineRule="auto"/>
      <w:ind w:firstLine="480" w:firstLineChars="200"/>
      <w:textAlignment w:val="auto"/>
    </w:pPr>
    <w:rPr>
      <w:color w:val="auto"/>
      <w:kern w:val="2"/>
      <w:sz w:val="24"/>
      <w:szCs w:val="24"/>
      <w:u w:val="none" w:color="auto"/>
    </w:rPr>
  </w:style>
  <w:style w:type="paragraph" w:customStyle="1" w:styleId="67">
    <w:name w:val="正文文字 8"/>
    <w:basedOn w:val="1"/>
    <w:next w:val="1"/>
    <w:autoRedefine/>
    <w:qFormat/>
    <w:uiPriority w:val="0"/>
    <w:pPr>
      <w:ind w:left="240"/>
    </w:pPr>
    <w:rPr>
      <w:sz w:val="16"/>
    </w:rPr>
  </w:style>
  <w:style w:type="paragraph" w:styleId="68">
    <w:name w:val="List Paragraph"/>
    <w:basedOn w:val="1"/>
    <w:autoRedefine/>
    <w:qFormat/>
    <w:uiPriority w:val="34"/>
    <w:pPr>
      <w:ind w:firstLine="420" w:firstLineChars="200"/>
    </w:pPr>
  </w:style>
  <w:style w:type="paragraph" w:customStyle="1" w:styleId="69">
    <w:name w:val="_Style 62"/>
    <w:basedOn w:val="1"/>
    <w:next w:val="1"/>
    <w:autoRedefine/>
    <w:qFormat/>
    <w:uiPriority w:val="0"/>
    <w:pPr>
      <w:pBdr>
        <w:top w:val="single" w:color="auto" w:sz="6" w:space="1"/>
      </w:pBdr>
      <w:jc w:val="center"/>
    </w:pPr>
    <w:rPr>
      <w:rFonts w:ascii="Arial"/>
      <w:vanish/>
      <w:sz w:val="16"/>
    </w:rPr>
  </w:style>
  <w:style w:type="paragraph" w:customStyle="1" w:styleId="70">
    <w:name w:val="Blockquote"/>
    <w:basedOn w:val="1"/>
    <w:autoRedefine/>
    <w:qFormat/>
    <w:uiPriority w:val="0"/>
    <w:pPr>
      <w:autoSpaceDE w:val="0"/>
      <w:autoSpaceDN w:val="0"/>
      <w:adjustRightInd w:val="0"/>
      <w:ind w:left="360" w:right="360"/>
      <w:jc w:val="left"/>
    </w:pPr>
    <w:rPr>
      <w:kern w:val="0"/>
      <w:sz w:val="24"/>
      <w:szCs w:val="20"/>
    </w:rPr>
  </w:style>
  <w:style w:type="paragraph" w:customStyle="1" w:styleId="71">
    <w:name w:val="表格"/>
    <w:basedOn w:val="1"/>
    <w:autoRedefine/>
    <w:qFormat/>
    <w:uiPriority w:val="0"/>
    <w:pPr>
      <w:jc w:val="center"/>
      <w:textAlignment w:val="center"/>
    </w:pPr>
    <w:rPr>
      <w:rFonts w:ascii="华文细黑" w:hAnsi="华文细黑"/>
      <w:kern w:val="0"/>
      <w:szCs w:val="20"/>
    </w:rPr>
  </w:style>
  <w:style w:type="paragraph" w:customStyle="1" w:styleId="72">
    <w:name w:val="表格文字"/>
    <w:basedOn w:val="1"/>
    <w:autoRedefine/>
    <w:qFormat/>
    <w:uiPriority w:val="0"/>
    <w:pPr>
      <w:adjustRightInd w:val="0"/>
      <w:spacing w:line="420" w:lineRule="atLeast"/>
      <w:jc w:val="left"/>
      <w:textAlignment w:val="baseline"/>
    </w:pPr>
    <w:rPr>
      <w:kern w:val="0"/>
      <w:szCs w:val="20"/>
    </w:rPr>
  </w:style>
  <w:style w:type="paragraph" w:customStyle="1" w:styleId="73">
    <w:name w:val="Char"/>
    <w:basedOn w:val="1"/>
    <w:next w:val="1"/>
    <w:autoRedefine/>
    <w:qFormat/>
    <w:uiPriority w:val="0"/>
    <w:pPr>
      <w:widowControl/>
      <w:spacing w:line="360" w:lineRule="auto"/>
      <w:jc w:val="left"/>
    </w:pPr>
    <w:rPr>
      <w:kern w:val="0"/>
      <w:szCs w:val="20"/>
      <w:lang w:eastAsia="en-US"/>
    </w:rPr>
  </w:style>
  <w:style w:type="paragraph" w:customStyle="1" w:styleId="74">
    <w:name w:val="6'"/>
    <w:basedOn w:val="1"/>
    <w:autoRedefine/>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75">
    <w:name w:val="样式2"/>
    <w:basedOn w:val="8"/>
    <w:autoRedefine/>
    <w:qFormat/>
    <w:uiPriority w:val="0"/>
  </w:style>
  <w:style w:type="paragraph" w:customStyle="1" w:styleId="76">
    <w:name w:val="Default Paragraph Char Char Char Char"/>
    <w:basedOn w:val="1"/>
    <w:next w:val="1"/>
    <w:autoRedefine/>
    <w:qFormat/>
    <w:uiPriority w:val="0"/>
    <w:pPr>
      <w:spacing w:line="360" w:lineRule="auto"/>
    </w:pPr>
    <w:rPr>
      <w:szCs w:val="20"/>
    </w:rPr>
  </w:style>
  <w:style w:type="paragraph" w:customStyle="1" w:styleId="77">
    <w:name w:val="节标题"/>
    <w:basedOn w:val="1"/>
    <w:next w:val="1"/>
    <w:autoRedefine/>
    <w:qFormat/>
    <w:uiPriority w:val="0"/>
    <w:pPr>
      <w:widowControl/>
      <w:spacing w:line="289" w:lineRule="atLeast"/>
      <w:jc w:val="center"/>
      <w:textAlignment w:val="baseline"/>
    </w:pPr>
    <w:rPr>
      <w:color w:val="000000"/>
      <w:kern w:val="0"/>
      <w:sz w:val="28"/>
      <w:szCs w:val="20"/>
      <w:u w:color="000000"/>
    </w:rPr>
  </w:style>
  <w:style w:type="paragraph" w:customStyle="1" w:styleId="78">
    <w:name w:val="默认段落字体 Para Char Char Char Char"/>
    <w:basedOn w:val="1"/>
    <w:autoRedefine/>
    <w:qFormat/>
    <w:uiPriority w:val="0"/>
  </w:style>
  <w:style w:type="paragraph" w:customStyle="1" w:styleId="79">
    <w:name w:val="样式 标题 1 + 黑体 五号"/>
    <w:basedOn w:val="6"/>
    <w:autoRedefine/>
    <w:qFormat/>
    <w:uiPriority w:val="0"/>
    <w:pPr>
      <w:jc w:val="left"/>
    </w:pPr>
    <w:rPr>
      <w:rFonts w:ascii="黑体" w:hAnsi="黑体" w:eastAsia="黑体"/>
      <w:sz w:val="21"/>
    </w:rPr>
  </w:style>
  <w:style w:type="paragraph" w:customStyle="1" w:styleId="80">
    <w:name w:val="样式4"/>
    <w:basedOn w:val="8"/>
    <w:autoRedefine/>
    <w:qFormat/>
    <w:uiPriority w:val="0"/>
    <w:rPr>
      <w:rFonts w:eastAsia="Arial"/>
    </w:rPr>
  </w:style>
  <w:style w:type="paragraph" w:customStyle="1" w:styleId="81">
    <w:name w:val="正文1"/>
    <w:autoRedefine/>
    <w:qFormat/>
    <w:uiPriority w:val="0"/>
    <w:pPr>
      <w:widowControl w:val="0"/>
      <w:adjustRightInd w:val="0"/>
      <w:spacing w:line="312" w:lineRule="atLeast"/>
      <w:jc w:val="both"/>
      <w:textAlignment w:val="baseline"/>
    </w:pPr>
    <w:rPr>
      <w:rFonts w:ascii="宋体" w:hAnsi="Times New Roman" w:eastAsia="宋体" w:cs="宋体"/>
      <w:sz w:val="24"/>
      <w:szCs w:val="24"/>
      <w:lang w:val="en-US" w:eastAsia="zh-CN" w:bidi="ar-SA"/>
    </w:rPr>
  </w:style>
  <w:style w:type="paragraph" w:customStyle="1" w:styleId="82">
    <w:name w:val="列出段落1"/>
    <w:basedOn w:val="1"/>
    <w:autoRedefine/>
    <w:qFormat/>
    <w:uiPriority w:val="0"/>
    <w:pPr>
      <w:ind w:firstLine="200" w:firstLineChars="200"/>
    </w:pPr>
  </w:style>
  <w:style w:type="paragraph" w:customStyle="1" w:styleId="83">
    <w:name w:val="p0 New"/>
    <w:basedOn w:val="1"/>
    <w:autoRedefine/>
    <w:qFormat/>
    <w:uiPriority w:val="0"/>
    <w:pPr>
      <w:widowControl/>
      <w:jc w:val="left"/>
    </w:pPr>
    <w:rPr>
      <w:rFonts w:ascii="宋体" w:hAnsi="宋体" w:cs="宋体"/>
      <w:kern w:val="0"/>
      <w:sz w:val="18"/>
      <w:szCs w:val="18"/>
    </w:rPr>
  </w:style>
  <w:style w:type="paragraph" w:customStyle="1" w:styleId="84">
    <w:name w:val="样式 标题 1 + 黑体 三号 非加粗 居中 段前: 6 磅 段后: 6 磅 行距: 固定值 20 磅"/>
    <w:basedOn w:val="6"/>
    <w:autoRedefine/>
    <w:qFormat/>
    <w:uiPriority w:val="0"/>
    <w:pPr>
      <w:spacing w:line="400" w:lineRule="exact"/>
    </w:pPr>
    <w:rPr>
      <w:rFonts w:ascii="黑体" w:hAnsi="黑体" w:eastAsia="黑体" w:cs="宋体"/>
      <w:b w:val="0"/>
      <w:bCs w:val="0"/>
      <w:sz w:val="32"/>
      <w:szCs w:val="20"/>
    </w:rPr>
  </w:style>
  <w:style w:type="paragraph" w:customStyle="1" w:styleId="85">
    <w:name w:val="_Style 78"/>
    <w:basedOn w:val="6"/>
    <w:next w:val="1"/>
    <w:autoRedefine/>
    <w:qFormat/>
    <w:uiPriority w:val="39"/>
    <w:pPr>
      <w:widowControl/>
      <w:spacing w:before="480" w:line="276" w:lineRule="auto"/>
      <w:jc w:val="left"/>
      <w:outlineLvl w:val="9"/>
    </w:pPr>
    <w:rPr>
      <w:rFonts w:ascii="Cambria" w:hAnsi="Cambria"/>
      <w:color w:val="365F91"/>
      <w:kern w:val="0"/>
      <w:sz w:val="28"/>
      <w:szCs w:val="28"/>
    </w:rPr>
  </w:style>
  <w:style w:type="paragraph" w:customStyle="1" w:styleId="86">
    <w:name w:val="Char1"/>
    <w:basedOn w:val="1"/>
    <w:autoRedefine/>
    <w:qFormat/>
    <w:uiPriority w:val="0"/>
    <w:pPr>
      <w:tabs>
        <w:tab w:val="left" w:pos="360"/>
      </w:tabs>
    </w:pPr>
    <w:rPr>
      <w:sz w:val="24"/>
    </w:rPr>
  </w:style>
  <w:style w:type="paragraph" w:customStyle="1" w:styleId="87">
    <w:name w:val="样式1"/>
    <w:basedOn w:val="8"/>
    <w:autoRedefine/>
    <w:qFormat/>
    <w:uiPriority w:val="0"/>
    <w:rPr>
      <w:rFonts w:eastAsia="Arial"/>
    </w:rPr>
  </w:style>
  <w:style w:type="paragraph" w:customStyle="1" w:styleId="88">
    <w:name w:val="Char Char Char Char Char Char Char Char Char Char Char Char Char"/>
    <w:basedOn w:val="1"/>
    <w:autoRedefine/>
    <w:qFormat/>
    <w:uiPriority w:val="0"/>
  </w:style>
  <w:style w:type="paragraph" w:customStyle="1" w:styleId="89">
    <w:name w:val="p"/>
    <w:basedOn w:val="1"/>
    <w:autoRedefine/>
    <w:qFormat/>
    <w:uiPriority w:val="0"/>
    <w:rPr>
      <w:rFonts w:ascii="宋体"/>
      <w:sz w:val="24"/>
    </w:rPr>
  </w:style>
  <w:style w:type="paragraph" w:customStyle="1" w:styleId="90">
    <w:name w:val="Char Char Char Char"/>
    <w:basedOn w:val="1"/>
    <w:autoRedefine/>
    <w:qFormat/>
    <w:uiPriority w:val="0"/>
  </w:style>
  <w:style w:type="paragraph" w:customStyle="1" w:styleId="91">
    <w:name w:val="_Style 84"/>
    <w:basedOn w:val="1"/>
    <w:next w:val="1"/>
    <w:autoRedefine/>
    <w:qFormat/>
    <w:uiPriority w:val="0"/>
    <w:pPr>
      <w:pBdr>
        <w:bottom w:val="single" w:color="auto" w:sz="6" w:space="1"/>
      </w:pBdr>
      <w:jc w:val="center"/>
    </w:pPr>
    <w:rPr>
      <w:rFonts w:ascii="Arial"/>
      <w:vanish/>
      <w:sz w:val="16"/>
    </w:rPr>
  </w:style>
  <w:style w:type="paragraph" w:customStyle="1" w:styleId="92">
    <w:name w:val="1"/>
    <w:basedOn w:val="1"/>
    <w:next w:val="1"/>
    <w:autoRedefine/>
    <w:qFormat/>
    <w:uiPriority w:val="0"/>
  </w:style>
  <w:style w:type="paragraph" w:customStyle="1" w:styleId="93">
    <w:name w:val="p15"/>
    <w:autoRedefine/>
    <w:qFormat/>
    <w:uiPriority w:val="0"/>
    <w:pPr>
      <w:jc w:val="both"/>
    </w:pPr>
    <w:rPr>
      <w:rFonts w:ascii="宋体" w:hAnsi="Times New Roman" w:eastAsia="宋体" w:cs="宋体"/>
      <w:sz w:val="21"/>
      <w:szCs w:val="21"/>
      <w:lang w:val="en-US" w:eastAsia="zh-CN" w:bidi="ar-SA"/>
    </w:rPr>
  </w:style>
  <w:style w:type="paragraph" w:customStyle="1" w:styleId="94">
    <w:name w:val="样式 标题 2 + Times New Roman 四号 非加粗 段前: 5 磅 段后: 0 磅 行距: 固定值 20..."/>
    <w:basedOn w:val="7"/>
    <w:autoRedefine/>
    <w:qFormat/>
    <w:uiPriority w:val="0"/>
    <w:pPr>
      <w:spacing w:line="400" w:lineRule="exact"/>
    </w:pPr>
    <w:rPr>
      <w:rFonts w:ascii="Times New Roman" w:hAnsi="Times New Roman" w:cs="宋体"/>
      <w:b w:val="0"/>
      <w:bCs w:val="0"/>
      <w:sz w:val="28"/>
      <w:szCs w:val="20"/>
    </w:rPr>
  </w:style>
  <w:style w:type="paragraph" w:customStyle="1" w:styleId="95">
    <w:name w:val="Table Paragraph"/>
    <w:basedOn w:val="1"/>
    <w:autoRedefine/>
    <w:qFormat/>
    <w:uiPriority w:val="0"/>
    <w:pPr>
      <w:autoSpaceDE w:val="0"/>
      <w:autoSpaceDN w:val="0"/>
      <w:jc w:val="left"/>
    </w:pPr>
    <w:rPr>
      <w:rFonts w:ascii="宋体" w:hAnsi="宋体" w:cs="宋体"/>
      <w:kern w:val="0"/>
      <w:sz w:val="22"/>
      <w:szCs w:val="22"/>
      <w:lang w:val="zh-CN"/>
    </w:rPr>
  </w:style>
  <w:style w:type="paragraph" w:customStyle="1" w:styleId="96">
    <w:name w:val="p0"/>
    <w:basedOn w:val="1"/>
    <w:autoRedefine/>
    <w:qFormat/>
    <w:uiPriority w:val="99"/>
    <w:pPr>
      <w:widowControl/>
    </w:pPr>
    <w:rPr>
      <w:kern w:val="0"/>
      <w:szCs w:val="21"/>
    </w:rPr>
  </w:style>
  <w:style w:type="paragraph" w:customStyle="1" w:styleId="97">
    <w:name w:val="样式3"/>
    <w:basedOn w:val="8"/>
    <w:autoRedefine/>
    <w:qFormat/>
    <w:uiPriority w:val="0"/>
    <w:rPr>
      <w:rFonts w:eastAsia="Arial"/>
    </w:rPr>
  </w:style>
  <w:style w:type="paragraph" w:customStyle="1" w:styleId="98">
    <w:name w:val="样式 标题 3 + (中文) 黑体 小四 非加粗 段前: 7.8 磅 段后: 0 磅 行距: 固定值 20 磅"/>
    <w:basedOn w:val="8"/>
    <w:autoRedefine/>
    <w:qFormat/>
    <w:uiPriority w:val="0"/>
    <w:pPr>
      <w:spacing w:line="400" w:lineRule="exact"/>
    </w:pPr>
    <w:rPr>
      <w:rFonts w:eastAsia="黑体" w:cs="宋体"/>
      <w:b w:val="0"/>
      <w:bCs w:val="0"/>
      <w:sz w:val="24"/>
      <w:szCs w:val="20"/>
    </w:rPr>
  </w:style>
  <w:style w:type="paragraph" w:customStyle="1" w:styleId="99">
    <w:name w:val="Char Char Char Char Char Char Char Char Char Char Char Char Char1"/>
    <w:basedOn w:val="1"/>
    <w:autoRedefine/>
    <w:qFormat/>
    <w:uiPriority w:val="0"/>
  </w:style>
  <w:style w:type="paragraph" w:customStyle="1" w:styleId="100">
    <w:name w:val="Char4"/>
    <w:basedOn w:val="1"/>
    <w:autoRedefine/>
    <w:qFormat/>
    <w:uiPriority w:val="0"/>
    <w:pPr>
      <w:widowControl/>
      <w:spacing w:line="360" w:lineRule="auto"/>
      <w:ind w:firstLine="200" w:firstLineChars="200"/>
      <w:textAlignment w:val="baseline"/>
    </w:pPr>
    <w:rPr>
      <w:color w:val="000000"/>
      <w:kern w:val="0"/>
      <w:szCs w:val="20"/>
      <w:u w:color="000000"/>
    </w:rPr>
  </w:style>
  <w:style w:type="paragraph" w:customStyle="1" w:styleId="101">
    <w:name w:val="正文2"/>
    <w:autoRedefine/>
    <w:qFormat/>
    <w:uiPriority w:val="0"/>
    <w:pPr>
      <w:widowControl w:val="0"/>
      <w:jc w:val="both"/>
    </w:pPr>
    <w:rPr>
      <w:rFonts w:ascii="Times New Roman" w:hAnsi="Times New Roman" w:eastAsia="宋体" w:cs="Times New Roman"/>
      <w:lang w:val="en-US" w:eastAsia="zh-CN" w:bidi="ar-SA"/>
    </w:rPr>
  </w:style>
  <w:style w:type="character" w:customStyle="1" w:styleId="102">
    <w:name w:val="first-child"/>
    <w:basedOn w:val="48"/>
    <w:autoRedefine/>
    <w:qFormat/>
    <w:uiPriority w:val="0"/>
  </w:style>
  <w:style w:type="character" w:customStyle="1" w:styleId="103">
    <w:name w:val="Char Char Char Char Char Char"/>
    <w:autoRedefine/>
    <w:qFormat/>
    <w:uiPriority w:val="0"/>
    <w:rPr>
      <w:rFonts w:ascii="Arial" w:hAnsi="Arial" w:eastAsia="黑体"/>
      <w:b/>
      <w:bCs/>
      <w:kern w:val="2"/>
      <w:sz w:val="32"/>
      <w:szCs w:val="32"/>
      <w:lang w:val="en-US" w:eastAsia="zh-CN" w:bidi="ar-SA"/>
    </w:rPr>
  </w:style>
  <w:style w:type="character" w:customStyle="1" w:styleId="104">
    <w:name w:val="l11"/>
    <w:autoRedefine/>
    <w:qFormat/>
    <w:uiPriority w:val="0"/>
    <w:rPr>
      <w:color w:val="999999"/>
    </w:rPr>
  </w:style>
  <w:style w:type="character" w:customStyle="1" w:styleId="105">
    <w:name w:val="Char Char"/>
    <w:autoRedefine/>
    <w:qFormat/>
    <w:uiPriority w:val="0"/>
    <w:rPr>
      <w:rFonts w:ascii="Arial" w:hAnsi="Arial" w:eastAsia="黑体"/>
      <w:b/>
      <w:bCs/>
      <w:kern w:val="2"/>
      <w:sz w:val="32"/>
      <w:szCs w:val="32"/>
      <w:lang w:val="en-US" w:eastAsia="zh-CN" w:bidi="ar-SA"/>
    </w:rPr>
  </w:style>
  <w:style w:type="character" w:customStyle="1" w:styleId="106">
    <w:name w:val="Char Char5"/>
    <w:autoRedefine/>
    <w:qFormat/>
    <w:uiPriority w:val="0"/>
    <w:rPr>
      <w:rFonts w:ascii="Arial" w:hAnsi="Arial" w:eastAsia="黑体"/>
      <w:b/>
      <w:bCs/>
      <w:kern w:val="2"/>
      <w:sz w:val="32"/>
      <w:szCs w:val="32"/>
    </w:rPr>
  </w:style>
  <w:style w:type="character" w:customStyle="1" w:styleId="107">
    <w:name w:val="msg-box28"/>
    <w:basedOn w:val="48"/>
    <w:autoRedefine/>
    <w:qFormat/>
    <w:uiPriority w:val="0"/>
  </w:style>
  <w:style w:type="character" w:customStyle="1" w:styleId="108">
    <w:name w:val="img_title6"/>
    <w:autoRedefine/>
    <w:qFormat/>
    <w:uiPriority w:val="0"/>
    <w:rPr>
      <w:vanish/>
    </w:rPr>
  </w:style>
  <w:style w:type="character" w:customStyle="1" w:styleId="109">
    <w:name w:val="tit12"/>
    <w:autoRedefine/>
    <w:qFormat/>
    <w:uiPriority w:val="0"/>
    <w:rPr>
      <w:color w:val="04A06C"/>
    </w:rPr>
  </w:style>
  <w:style w:type="character" w:customStyle="1" w:styleId="110">
    <w:name w:val="Char Char2"/>
    <w:autoRedefine/>
    <w:qFormat/>
    <w:uiPriority w:val="0"/>
    <w:rPr>
      <w:rFonts w:eastAsia="宋体"/>
      <w:kern w:val="2"/>
      <w:sz w:val="21"/>
      <w:szCs w:val="24"/>
      <w:lang w:val="en-US" w:eastAsia="zh-CN" w:bidi="ar-SA"/>
    </w:rPr>
  </w:style>
  <w:style w:type="character" w:customStyle="1" w:styleId="111">
    <w:name w:val="nostart"/>
    <w:autoRedefine/>
    <w:qFormat/>
    <w:uiPriority w:val="0"/>
    <w:rPr>
      <w:color w:val="FF0000"/>
    </w:rPr>
  </w:style>
  <w:style w:type="character" w:customStyle="1" w:styleId="112">
    <w:name w:val="nostart3"/>
    <w:basedOn w:val="48"/>
    <w:autoRedefine/>
    <w:qFormat/>
    <w:uiPriority w:val="0"/>
  </w:style>
  <w:style w:type="character" w:customStyle="1" w:styleId="113">
    <w:name w:val="img4"/>
    <w:basedOn w:val="48"/>
    <w:autoRedefine/>
    <w:qFormat/>
    <w:uiPriority w:val="0"/>
  </w:style>
  <w:style w:type="character" w:customStyle="1" w:styleId="114">
    <w:name w:val="tit11"/>
    <w:autoRedefine/>
    <w:qFormat/>
    <w:uiPriority w:val="0"/>
    <w:rPr>
      <w:color w:val="B60000"/>
    </w:rPr>
  </w:style>
  <w:style w:type="character" w:customStyle="1" w:styleId="115">
    <w:name w:val="批注文字 Char"/>
    <w:link w:val="18"/>
    <w:autoRedefine/>
    <w:qFormat/>
    <w:uiPriority w:val="0"/>
    <w:rPr>
      <w:rFonts w:eastAsia="宋体"/>
      <w:kern w:val="2"/>
      <w:sz w:val="21"/>
      <w:szCs w:val="24"/>
      <w:lang w:val="en-US" w:eastAsia="zh-CN" w:bidi="ar-SA"/>
    </w:rPr>
  </w:style>
  <w:style w:type="character" w:customStyle="1" w:styleId="116">
    <w:name w:val="over"/>
    <w:autoRedefine/>
    <w:qFormat/>
    <w:uiPriority w:val="0"/>
    <w:rPr>
      <w:color w:val="B60000"/>
    </w:rPr>
  </w:style>
  <w:style w:type="character" w:customStyle="1" w:styleId="117">
    <w:name w:val="HTML 预设格式 Char"/>
    <w:link w:val="41"/>
    <w:autoRedefine/>
    <w:qFormat/>
    <w:uiPriority w:val="0"/>
    <w:rPr>
      <w:rFonts w:ascii="宋体" w:hAnsi="宋体" w:cs="宋体"/>
      <w:sz w:val="24"/>
      <w:szCs w:val="24"/>
    </w:rPr>
  </w:style>
  <w:style w:type="character" w:customStyle="1" w:styleId="118">
    <w:name w:val="l6"/>
    <w:autoRedefine/>
    <w:qFormat/>
    <w:uiPriority w:val="0"/>
    <w:rPr>
      <w:color w:val="999999"/>
    </w:rPr>
  </w:style>
  <w:style w:type="character" w:customStyle="1" w:styleId="119">
    <w:name w:val="datetime"/>
    <w:autoRedefine/>
    <w:qFormat/>
    <w:uiPriority w:val="0"/>
    <w:rPr>
      <w:rFonts w:hint="default" w:ascii="Arial" w:hAnsi="Arial" w:cs="Arial"/>
      <w:color w:val="999999"/>
      <w:sz w:val="21"/>
      <w:szCs w:val="21"/>
    </w:rPr>
  </w:style>
  <w:style w:type="character" w:customStyle="1" w:styleId="120">
    <w:name w:val="txt1"/>
    <w:basedOn w:val="48"/>
    <w:autoRedefine/>
    <w:qFormat/>
    <w:uiPriority w:val="0"/>
  </w:style>
  <w:style w:type="character" w:customStyle="1" w:styleId="121">
    <w:name w:val="starting1"/>
    <w:autoRedefine/>
    <w:qFormat/>
    <w:uiPriority w:val="0"/>
    <w:rPr>
      <w:color w:val="339900"/>
    </w:rPr>
  </w:style>
  <w:style w:type="character" w:customStyle="1" w:styleId="122">
    <w:name w:val="starting2"/>
    <w:autoRedefine/>
    <w:qFormat/>
    <w:uiPriority w:val="0"/>
    <w:rPr>
      <w:color w:val="B60000"/>
    </w:rPr>
  </w:style>
  <w:style w:type="character" w:customStyle="1" w:styleId="123">
    <w:name w:val="red"/>
    <w:autoRedefine/>
    <w:qFormat/>
    <w:uiPriority w:val="0"/>
    <w:rPr>
      <w:rFonts w:hint="default" w:ascii="Arial" w:hAnsi="Arial" w:cs="Arial"/>
      <w:color w:val="E50000"/>
    </w:rPr>
  </w:style>
  <w:style w:type="character" w:customStyle="1" w:styleId="124">
    <w:name w:val="Char Char4"/>
    <w:autoRedefine/>
    <w:qFormat/>
    <w:uiPriority w:val="0"/>
    <w:rPr>
      <w:rFonts w:eastAsia="宋体"/>
      <w:b/>
      <w:bCs/>
      <w:kern w:val="44"/>
      <w:sz w:val="44"/>
      <w:szCs w:val="44"/>
      <w:lang w:val="en-US" w:eastAsia="zh-CN" w:bidi="ar-SA"/>
    </w:rPr>
  </w:style>
  <w:style w:type="character" w:customStyle="1" w:styleId="125">
    <w:name w:val="font161"/>
    <w:autoRedefine/>
    <w:qFormat/>
    <w:uiPriority w:val="0"/>
    <w:rPr>
      <w:b/>
      <w:bCs/>
      <w:sz w:val="32"/>
      <w:szCs w:val="32"/>
    </w:rPr>
  </w:style>
  <w:style w:type="character" w:customStyle="1" w:styleId="126">
    <w:name w:val="Char Char8"/>
    <w:autoRedefine/>
    <w:qFormat/>
    <w:uiPriority w:val="0"/>
    <w:rPr>
      <w:rFonts w:ascii="Arial" w:hAnsi="Arial" w:eastAsia="黑体"/>
      <w:b/>
      <w:bCs/>
      <w:kern w:val="2"/>
      <w:sz w:val="32"/>
      <w:szCs w:val="32"/>
      <w:lang w:val="en-US" w:eastAsia="zh-CN" w:bidi="ar-SA"/>
    </w:rPr>
  </w:style>
  <w:style w:type="character" w:customStyle="1" w:styleId="127">
    <w:name w:val="msg-box29"/>
    <w:basedOn w:val="48"/>
    <w:autoRedefine/>
    <w:qFormat/>
    <w:uiPriority w:val="0"/>
  </w:style>
  <w:style w:type="character" w:customStyle="1" w:styleId="128">
    <w:name w:val="over2"/>
    <w:autoRedefine/>
    <w:qFormat/>
    <w:uiPriority w:val="0"/>
    <w:rPr>
      <w:color w:val="999999"/>
    </w:rPr>
  </w:style>
  <w:style w:type="character" w:customStyle="1" w:styleId="129">
    <w:name w:val="img_title7"/>
    <w:autoRedefine/>
    <w:qFormat/>
    <w:uiPriority w:val="0"/>
    <w:rPr>
      <w:vanish/>
    </w:rPr>
  </w:style>
  <w:style w:type="character" w:customStyle="1" w:styleId="130">
    <w:name w:val="l7"/>
    <w:autoRedefine/>
    <w:qFormat/>
    <w:uiPriority w:val="0"/>
    <w:rPr>
      <w:color w:val="999999"/>
    </w:rPr>
  </w:style>
  <w:style w:type="character" w:customStyle="1" w:styleId="131">
    <w:name w:val="标题 5 Char"/>
    <w:link w:val="11"/>
    <w:autoRedefine/>
    <w:qFormat/>
    <w:uiPriority w:val="0"/>
    <w:rPr>
      <w:b/>
      <w:bCs/>
      <w:kern w:val="2"/>
      <w:sz w:val="28"/>
      <w:szCs w:val="28"/>
    </w:rPr>
  </w:style>
  <w:style w:type="character" w:customStyle="1" w:styleId="132">
    <w:name w:val="l51"/>
    <w:autoRedefine/>
    <w:qFormat/>
    <w:uiPriority w:val="0"/>
    <w:rPr>
      <w:color w:val="999999"/>
    </w:rPr>
  </w:style>
  <w:style w:type="character" w:customStyle="1" w:styleId="133">
    <w:name w:val="num81"/>
    <w:basedOn w:val="48"/>
    <w:autoRedefine/>
    <w:qFormat/>
    <w:uiPriority w:val="0"/>
  </w:style>
  <w:style w:type="character" w:customStyle="1" w:styleId="134">
    <w:name w:val="Char Char1"/>
    <w:autoRedefine/>
    <w:qFormat/>
    <w:uiPriority w:val="0"/>
    <w:rPr>
      <w:rFonts w:eastAsia="宋体"/>
      <w:kern w:val="2"/>
      <w:sz w:val="21"/>
      <w:szCs w:val="24"/>
      <w:lang w:val="en-US" w:eastAsia="zh-CN" w:bidi="ar-SA"/>
    </w:rPr>
  </w:style>
  <w:style w:type="character" w:customStyle="1" w:styleId="135">
    <w:name w:val="zs"/>
    <w:autoRedefine/>
    <w:qFormat/>
    <w:uiPriority w:val="0"/>
    <w:rPr>
      <w:color w:val="8D744B"/>
      <w:sz w:val="18"/>
      <w:szCs w:val="18"/>
    </w:rPr>
  </w:style>
  <w:style w:type="character" w:customStyle="1" w:styleId="136">
    <w:name w:val="bigfont"/>
    <w:basedOn w:val="48"/>
    <w:autoRedefine/>
    <w:qFormat/>
    <w:uiPriority w:val="0"/>
  </w:style>
  <w:style w:type="character" w:customStyle="1" w:styleId="137">
    <w:name w:val="txt"/>
    <w:autoRedefine/>
    <w:qFormat/>
    <w:uiPriority w:val="0"/>
    <w:rPr>
      <w:color w:val="C0C0C0"/>
    </w:rPr>
  </w:style>
  <w:style w:type="character" w:customStyle="1" w:styleId="138">
    <w:name w:val="纯文本 Char2"/>
    <w:link w:val="25"/>
    <w:autoRedefine/>
    <w:qFormat/>
    <w:uiPriority w:val="0"/>
    <w:rPr>
      <w:rFonts w:ascii="Courier New" w:hAnsi="Courier New" w:eastAsia="宋体"/>
      <w:kern w:val="2"/>
      <w:sz w:val="21"/>
      <w:lang w:val="en-US" w:eastAsia="zh-CN" w:bidi="ar-SA"/>
    </w:rPr>
  </w:style>
  <w:style w:type="character" w:customStyle="1" w:styleId="139">
    <w:name w:val="jg"/>
    <w:basedOn w:val="48"/>
    <w:autoRedefine/>
    <w:qFormat/>
    <w:uiPriority w:val="0"/>
  </w:style>
  <w:style w:type="character" w:customStyle="1" w:styleId="140">
    <w:name w:val="17"/>
    <w:autoRedefine/>
    <w:qFormat/>
    <w:uiPriority w:val="0"/>
    <w:rPr>
      <w:rFonts w:ascii="仿宋_GB2312" w:eastAsia="仿宋_GB2312"/>
      <w:color w:val="auto"/>
      <w:sz w:val="28"/>
      <w:szCs w:val="28"/>
      <w:u w:val="single"/>
    </w:rPr>
  </w:style>
  <w:style w:type="character" w:customStyle="1" w:styleId="141">
    <w:name w:val="job"/>
    <w:basedOn w:val="48"/>
    <w:autoRedefine/>
    <w:qFormat/>
    <w:uiPriority w:val="0"/>
  </w:style>
  <w:style w:type="character" w:customStyle="1" w:styleId="142">
    <w:name w:val="job1"/>
    <w:basedOn w:val="48"/>
    <w:autoRedefine/>
    <w:qFormat/>
    <w:uiPriority w:val="0"/>
  </w:style>
  <w:style w:type="character" w:customStyle="1" w:styleId="143">
    <w:name w:val="正文文本 Char"/>
    <w:link w:val="20"/>
    <w:autoRedefine/>
    <w:qFormat/>
    <w:uiPriority w:val="0"/>
    <w:rPr>
      <w:rFonts w:eastAsia="宋体"/>
      <w:kern w:val="2"/>
      <w:sz w:val="21"/>
      <w:szCs w:val="24"/>
      <w:lang w:val="en-US" w:eastAsia="zh-CN" w:bidi="ar-SA"/>
    </w:rPr>
  </w:style>
  <w:style w:type="character" w:customStyle="1" w:styleId="144">
    <w:name w:val="p05"/>
    <w:basedOn w:val="48"/>
    <w:autoRedefine/>
    <w:qFormat/>
    <w:uiPriority w:val="0"/>
  </w:style>
  <w:style w:type="character" w:customStyle="1" w:styleId="145">
    <w:name w:val="Char Char7"/>
    <w:autoRedefine/>
    <w:qFormat/>
    <w:uiPriority w:val="0"/>
    <w:rPr>
      <w:rFonts w:ascii="Arial" w:hAnsi="Arial" w:eastAsia="黑体"/>
      <w:b/>
      <w:bCs/>
      <w:kern w:val="2"/>
      <w:sz w:val="32"/>
      <w:szCs w:val="32"/>
      <w:lang w:val="en-US" w:eastAsia="zh-CN" w:bidi="ar-SA"/>
    </w:rPr>
  </w:style>
  <w:style w:type="character" w:customStyle="1" w:styleId="146">
    <w:name w:val="over3"/>
    <w:basedOn w:val="48"/>
    <w:autoRedefine/>
    <w:qFormat/>
    <w:uiPriority w:val="0"/>
  </w:style>
  <w:style w:type="character" w:customStyle="1" w:styleId="147">
    <w:name w:val="Char Char3"/>
    <w:autoRedefine/>
    <w:qFormat/>
    <w:uiPriority w:val="0"/>
    <w:rPr>
      <w:rFonts w:ascii="Arial" w:hAnsi="Arial" w:eastAsia="黑体"/>
      <w:b/>
      <w:bCs/>
      <w:kern w:val="2"/>
      <w:sz w:val="32"/>
      <w:szCs w:val="32"/>
      <w:lang w:val="en-US" w:eastAsia="zh-CN" w:bidi="ar-SA"/>
    </w:rPr>
  </w:style>
  <w:style w:type="character" w:customStyle="1" w:styleId="148">
    <w:name w:val="Char Char71"/>
    <w:autoRedefine/>
    <w:qFormat/>
    <w:uiPriority w:val="0"/>
    <w:rPr>
      <w:rFonts w:ascii="Arial" w:hAnsi="Arial" w:eastAsia="黑体"/>
      <w:b/>
      <w:bCs/>
      <w:kern w:val="2"/>
      <w:sz w:val="32"/>
      <w:szCs w:val="32"/>
      <w:lang w:val="en-US" w:eastAsia="zh-CN" w:bidi="ar-SA"/>
    </w:rPr>
  </w:style>
  <w:style w:type="character" w:customStyle="1" w:styleId="149">
    <w:name w:val="num51"/>
    <w:basedOn w:val="48"/>
    <w:autoRedefine/>
    <w:qFormat/>
    <w:uiPriority w:val="0"/>
  </w:style>
  <w:style w:type="character" w:customStyle="1" w:styleId="150">
    <w:name w:val="Char Char Char"/>
    <w:autoRedefine/>
    <w:qFormat/>
    <w:uiPriority w:val="0"/>
    <w:rPr>
      <w:rFonts w:eastAsia="宋体"/>
      <w:b/>
      <w:bCs/>
      <w:kern w:val="44"/>
      <w:sz w:val="44"/>
      <w:szCs w:val="44"/>
      <w:lang w:val="en-US" w:eastAsia="zh-CN" w:bidi="ar-SA"/>
    </w:rPr>
  </w:style>
  <w:style w:type="character" w:customStyle="1" w:styleId="151">
    <w:name w:val="msg-box31"/>
    <w:basedOn w:val="48"/>
    <w:autoRedefine/>
    <w:qFormat/>
    <w:uiPriority w:val="0"/>
  </w:style>
  <w:style w:type="character" w:customStyle="1" w:styleId="152">
    <w:name w:val="msg-box30"/>
    <w:basedOn w:val="48"/>
    <w:autoRedefine/>
    <w:qFormat/>
    <w:uiPriority w:val="0"/>
  </w:style>
  <w:style w:type="character" w:customStyle="1" w:styleId="153">
    <w:name w:val="标题 1 Char Char"/>
    <w:autoRedefine/>
    <w:qFormat/>
    <w:uiPriority w:val="0"/>
    <w:rPr>
      <w:rFonts w:eastAsia="宋体"/>
      <w:b/>
      <w:bCs/>
      <w:kern w:val="44"/>
      <w:sz w:val="44"/>
      <w:szCs w:val="44"/>
      <w:lang w:val="en-US" w:eastAsia="zh-CN" w:bidi="ar-SA"/>
    </w:rPr>
  </w:style>
  <w:style w:type="character" w:customStyle="1" w:styleId="154">
    <w:name w:val="标题 3 Char"/>
    <w:link w:val="8"/>
    <w:autoRedefine/>
    <w:qFormat/>
    <w:uiPriority w:val="0"/>
    <w:rPr>
      <w:b/>
      <w:bCs/>
      <w:sz w:val="32"/>
      <w:szCs w:val="32"/>
    </w:rPr>
  </w:style>
  <w:style w:type="character" w:customStyle="1" w:styleId="155">
    <w:name w:val="c1"/>
    <w:basedOn w:val="48"/>
    <w:autoRedefine/>
    <w:qFormat/>
    <w:uiPriority w:val="0"/>
  </w:style>
  <w:style w:type="character" w:customStyle="1" w:styleId="156">
    <w:name w:val="纯文本 Char1"/>
    <w:autoRedefine/>
    <w:qFormat/>
    <w:uiPriority w:val="0"/>
    <w:rPr>
      <w:rFonts w:ascii="Courier New" w:hAnsi="Courier New" w:eastAsia="宋体"/>
      <w:kern w:val="2"/>
      <w:sz w:val="21"/>
      <w:lang w:val="en-US" w:eastAsia="zh-CN" w:bidi="ar-SA"/>
    </w:rPr>
  </w:style>
  <w:style w:type="character" w:customStyle="1" w:styleId="157">
    <w:name w:val="Char Char Char1"/>
    <w:autoRedefine/>
    <w:qFormat/>
    <w:uiPriority w:val="0"/>
    <w:rPr>
      <w:rFonts w:ascii="Arial" w:hAnsi="Arial" w:eastAsia="黑体"/>
      <w:b/>
      <w:bCs/>
      <w:kern w:val="2"/>
      <w:sz w:val="32"/>
      <w:szCs w:val="32"/>
      <w:lang w:val="en-US" w:eastAsia="zh-CN" w:bidi="ar-SA"/>
    </w:rPr>
  </w:style>
  <w:style w:type="character" w:customStyle="1" w:styleId="158">
    <w:name w:val="l3"/>
    <w:autoRedefine/>
    <w:qFormat/>
    <w:uiPriority w:val="0"/>
    <w:rPr>
      <w:color w:val="999999"/>
    </w:rPr>
  </w:style>
  <w:style w:type="character" w:customStyle="1" w:styleId="159">
    <w:name w:val="tit14"/>
    <w:autoRedefine/>
    <w:qFormat/>
    <w:uiPriority w:val="0"/>
    <w:rPr>
      <w:color w:val="B60000"/>
    </w:rPr>
  </w:style>
  <w:style w:type="character" w:customStyle="1" w:styleId="160">
    <w:name w:val="tit10"/>
    <w:autoRedefine/>
    <w:qFormat/>
    <w:uiPriority w:val="0"/>
    <w:rPr>
      <w:color w:val="B60000"/>
    </w:rPr>
  </w:style>
  <w:style w:type="character" w:customStyle="1" w:styleId="161">
    <w:name w:val="l21"/>
    <w:autoRedefine/>
    <w:qFormat/>
    <w:uiPriority w:val="0"/>
    <w:rPr>
      <w:color w:val="999999"/>
    </w:rPr>
  </w:style>
  <w:style w:type="character" w:customStyle="1" w:styleId="162">
    <w:name w:val="num71"/>
    <w:basedOn w:val="48"/>
    <w:autoRedefine/>
    <w:qFormat/>
    <w:uiPriority w:val="0"/>
  </w:style>
  <w:style w:type="character" w:customStyle="1" w:styleId="163">
    <w:name w:val="标题 2 Char Char"/>
    <w:autoRedefine/>
    <w:qFormat/>
    <w:uiPriority w:val="0"/>
    <w:rPr>
      <w:rFonts w:ascii="Arial" w:hAnsi="Arial" w:eastAsia="黑体"/>
      <w:b/>
      <w:bCs/>
      <w:kern w:val="2"/>
      <w:sz w:val="32"/>
      <w:szCs w:val="32"/>
      <w:lang w:val="en-US" w:eastAsia="zh-CN" w:bidi="ar-SA"/>
    </w:rPr>
  </w:style>
  <w:style w:type="character" w:customStyle="1" w:styleId="164">
    <w:name w:val="buvis"/>
    <w:autoRedefine/>
    <w:qFormat/>
    <w:uiPriority w:val="0"/>
    <w:rPr>
      <w:color w:val="999999"/>
    </w:rPr>
  </w:style>
  <w:style w:type="character" w:customStyle="1" w:styleId="165">
    <w:name w:val="name"/>
    <w:autoRedefine/>
    <w:qFormat/>
    <w:uiPriority w:val="0"/>
    <w:rPr>
      <w:color w:val="444444"/>
      <w:sz w:val="21"/>
      <w:szCs w:val="21"/>
    </w:rPr>
  </w:style>
  <w:style w:type="character" w:customStyle="1" w:styleId="166">
    <w:name w:val="layui-this"/>
    <w:autoRedefine/>
    <w:qFormat/>
    <w:uiPriority w:val="0"/>
    <w:rPr>
      <w:bdr w:val="single" w:color="EEEEEE" w:sz="6" w:space="0"/>
      <w:shd w:val="clear" w:color="auto" w:fill="FFFFFF"/>
    </w:rPr>
  </w:style>
  <w:style w:type="character" w:customStyle="1" w:styleId="167">
    <w:name w:val="标题 2 Char1"/>
    <w:autoRedefine/>
    <w:qFormat/>
    <w:uiPriority w:val="0"/>
    <w:rPr>
      <w:rFonts w:ascii="Arial" w:hAnsi="Arial" w:eastAsia="黑体"/>
      <w:b/>
      <w:bCs/>
      <w:kern w:val="2"/>
      <w:sz w:val="32"/>
      <w:szCs w:val="32"/>
      <w:lang w:val="en-US" w:eastAsia="zh-CN" w:bidi="ar-SA"/>
    </w:rPr>
  </w:style>
  <w:style w:type="character" w:customStyle="1" w:styleId="168">
    <w:name w:val="zw"/>
    <w:autoRedefine/>
    <w:qFormat/>
    <w:uiPriority w:val="0"/>
    <w:rPr>
      <w:color w:val="BD1E22"/>
      <w:sz w:val="22"/>
      <w:szCs w:val="22"/>
    </w:rPr>
  </w:style>
  <w:style w:type="character" w:customStyle="1" w:styleId="169">
    <w:name w:val="name1"/>
    <w:autoRedefine/>
    <w:qFormat/>
    <w:uiPriority w:val="0"/>
    <w:rPr>
      <w:color w:val="695435"/>
      <w:sz w:val="24"/>
      <w:szCs w:val="24"/>
    </w:rPr>
  </w:style>
  <w:style w:type="character" w:customStyle="1" w:styleId="170">
    <w:name w:val="num61"/>
    <w:basedOn w:val="48"/>
    <w:autoRedefine/>
    <w:qFormat/>
    <w:uiPriority w:val="0"/>
  </w:style>
  <w:style w:type="character" w:customStyle="1" w:styleId="171">
    <w:name w:val="mesg-myd"/>
    <w:autoRedefine/>
    <w:qFormat/>
    <w:uiPriority w:val="0"/>
    <w:rPr>
      <w:color w:val="EE0000"/>
    </w:rPr>
  </w:style>
  <w:style w:type="character" w:customStyle="1" w:styleId="172">
    <w:name w:val="c2"/>
    <w:basedOn w:val="48"/>
    <w:autoRedefine/>
    <w:qFormat/>
    <w:uiPriority w:val="0"/>
  </w:style>
  <w:style w:type="character" w:customStyle="1" w:styleId="173">
    <w:name w:val="c3"/>
    <w:basedOn w:val="48"/>
    <w:autoRedefine/>
    <w:qFormat/>
    <w:uiPriority w:val="0"/>
  </w:style>
  <w:style w:type="character" w:customStyle="1" w:styleId="174">
    <w:name w:val="over1"/>
    <w:autoRedefine/>
    <w:qFormat/>
    <w:uiPriority w:val="0"/>
    <w:rPr>
      <w:color w:val="B60000"/>
    </w:rPr>
  </w:style>
  <w:style w:type="character" w:customStyle="1" w:styleId="175">
    <w:name w:val="tit13"/>
    <w:autoRedefine/>
    <w:qFormat/>
    <w:uiPriority w:val="0"/>
    <w:rPr>
      <w:color w:val="FFFFFF"/>
    </w:rPr>
  </w:style>
  <w:style w:type="character" w:customStyle="1" w:styleId="176">
    <w:name w:val="Char Char21"/>
    <w:autoRedefine/>
    <w:qFormat/>
    <w:uiPriority w:val="0"/>
    <w:rPr>
      <w:rFonts w:eastAsia="宋体"/>
      <w:kern w:val="2"/>
      <w:sz w:val="21"/>
      <w:szCs w:val="24"/>
      <w:lang w:val="en-US" w:eastAsia="zh-CN" w:bidi="ar-SA"/>
    </w:rPr>
  </w:style>
  <w:style w:type="character" w:customStyle="1" w:styleId="177">
    <w:name w:val="l41"/>
    <w:autoRedefine/>
    <w:qFormat/>
    <w:uiPriority w:val="0"/>
    <w:rPr>
      <w:color w:val="999999"/>
    </w:rPr>
  </w:style>
  <w:style w:type="character" w:customStyle="1" w:styleId="178">
    <w:name w:val="16"/>
    <w:autoRedefine/>
    <w:qFormat/>
    <w:uiPriority w:val="0"/>
    <w:rPr>
      <w:rFonts w:ascii="仿宋_GB2312" w:eastAsia="仿宋_GB2312"/>
      <w:color w:val="auto"/>
      <w:sz w:val="28"/>
      <w:szCs w:val="28"/>
    </w:rPr>
  </w:style>
  <w:style w:type="character" w:customStyle="1" w:styleId="179">
    <w:name w:val="num31"/>
    <w:basedOn w:val="48"/>
    <w:autoRedefine/>
    <w:qFormat/>
    <w:uiPriority w:val="0"/>
  </w:style>
  <w:style w:type="character" w:customStyle="1" w:styleId="180">
    <w:name w:val="starting4"/>
    <w:basedOn w:val="48"/>
    <w:autoRedefine/>
    <w:qFormat/>
    <w:uiPriority w:val="0"/>
  </w:style>
  <w:style w:type="character" w:customStyle="1" w:styleId="181">
    <w:name w:val="bsharetext"/>
    <w:basedOn w:val="48"/>
    <w:autoRedefine/>
    <w:qFormat/>
    <w:uiPriority w:val="0"/>
  </w:style>
  <w:style w:type="character" w:customStyle="1" w:styleId="182">
    <w:name w:val="unit"/>
    <w:autoRedefine/>
    <w:qFormat/>
    <w:uiPriority w:val="0"/>
    <w:rPr>
      <w:color w:val="999999"/>
    </w:rPr>
  </w:style>
  <w:style w:type="character" w:customStyle="1" w:styleId="183">
    <w:name w:val="nostart2"/>
    <w:autoRedefine/>
    <w:qFormat/>
    <w:uiPriority w:val="0"/>
    <w:rPr>
      <w:color w:val="B60000"/>
    </w:rPr>
  </w:style>
  <w:style w:type="character" w:customStyle="1" w:styleId="184">
    <w:name w:val="纯文本 Char"/>
    <w:autoRedefine/>
    <w:qFormat/>
    <w:uiPriority w:val="99"/>
    <w:rPr>
      <w:rFonts w:ascii="Courier New" w:hAnsi="Courier New" w:eastAsia="宋体"/>
      <w:kern w:val="2"/>
      <w:sz w:val="21"/>
      <w:lang w:val="en-US" w:eastAsia="zh-CN" w:bidi="ar-SA"/>
    </w:rPr>
  </w:style>
  <w:style w:type="character" w:customStyle="1" w:styleId="185">
    <w:name w:val="Char Char81"/>
    <w:autoRedefine/>
    <w:qFormat/>
    <w:uiPriority w:val="0"/>
    <w:rPr>
      <w:rFonts w:ascii="Arial" w:hAnsi="Arial" w:eastAsia="黑体"/>
      <w:b/>
      <w:bCs/>
      <w:kern w:val="2"/>
      <w:sz w:val="32"/>
      <w:szCs w:val="32"/>
      <w:lang w:val="en-US" w:eastAsia="zh-CN" w:bidi="ar-SA"/>
    </w:rPr>
  </w:style>
  <w:style w:type="character" w:customStyle="1" w:styleId="186">
    <w:name w:val="starting"/>
    <w:autoRedefine/>
    <w:qFormat/>
    <w:uiPriority w:val="0"/>
    <w:rPr>
      <w:color w:val="339900"/>
    </w:rPr>
  </w:style>
  <w:style w:type="character" w:customStyle="1" w:styleId="187">
    <w:name w:val="nostart1"/>
    <w:autoRedefine/>
    <w:qFormat/>
    <w:uiPriority w:val="0"/>
    <w:rPr>
      <w:color w:val="FF0000"/>
    </w:rPr>
  </w:style>
  <w:style w:type="character" w:customStyle="1" w:styleId="188">
    <w:name w:val="num210"/>
    <w:basedOn w:val="48"/>
    <w:autoRedefine/>
    <w:qFormat/>
    <w:uiPriority w:val="0"/>
  </w:style>
  <w:style w:type="character" w:customStyle="1" w:styleId="189">
    <w:name w:val="buvis1"/>
    <w:autoRedefine/>
    <w:qFormat/>
    <w:uiPriority w:val="0"/>
    <w:rPr>
      <w:color w:val="CC0000"/>
    </w:rPr>
  </w:style>
  <w:style w:type="character" w:customStyle="1" w:styleId="190">
    <w:name w:val="starting3"/>
    <w:basedOn w:val="48"/>
    <w:autoRedefine/>
    <w:qFormat/>
    <w:uiPriority w:val="0"/>
  </w:style>
  <w:style w:type="character" w:customStyle="1" w:styleId="191">
    <w:name w:val="textcontents"/>
    <w:basedOn w:val="48"/>
    <w:autoRedefine/>
    <w:qFormat/>
    <w:uiPriority w:val="0"/>
  </w:style>
  <w:style w:type="character" w:customStyle="1" w:styleId="192">
    <w:name w:val="num41"/>
    <w:basedOn w:val="48"/>
    <w:autoRedefine/>
    <w:qFormat/>
    <w:uiPriority w:val="0"/>
  </w:style>
  <w:style w:type="character" w:customStyle="1" w:styleId="193">
    <w:name w:val="tit9"/>
    <w:autoRedefine/>
    <w:qFormat/>
    <w:uiPriority w:val="0"/>
    <w:rPr>
      <w:color w:val="B60000"/>
      <w:sz w:val="27"/>
      <w:szCs w:val="27"/>
      <w:bdr w:val="single" w:color="DFCEB8" w:sz="6" w:space="0"/>
      <w:shd w:val="clear" w:color="auto" w:fill="FFFFFF"/>
    </w:rPr>
  </w:style>
  <w:style w:type="character" w:customStyle="1" w:styleId="194">
    <w:name w:val="name2"/>
    <w:autoRedefine/>
    <w:qFormat/>
    <w:uiPriority w:val="0"/>
    <w:rPr>
      <w:color w:val="000000"/>
      <w:sz w:val="39"/>
      <w:szCs w:val="39"/>
    </w:rPr>
  </w:style>
  <w:style w:type="character" w:customStyle="1" w:styleId="195">
    <w:name w:val="img_title8"/>
    <w:autoRedefine/>
    <w:qFormat/>
    <w:uiPriority w:val="0"/>
    <w:rPr>
      <w:vanish/>
    </w:rPr>
  </w:style>
  <w:style w:type="character" w:customStyle="1" w:styleId="196">
    <w:name w:val="tit15"/>
    <w:autoRedefine/>
    <w:qFormat/>
    <w:uiPriority w:val="0"/>
    <w:rPr>
      <w:b/>
      <w:color w:val="B60000"/>
    </w:rPr>
  </w:style>
  <w:style w:type="character" w:customStyle="1" w:styleId="197">
    <w:name w:val="img_title9"/>
    <w:autoRedefine/>
    <w:qFormat/>
    <w:uiPriority w:val="0"/>
    <w:rPr>
      <w:vanish/>
    </w:rPr>
  </w:style>
  <w:style w:type="character" w:customStyle="1" w:styleId="198">
    <w:name w:val="标题 2 Char2"/>
    <w:link w:val="7"/>
    <w:autoRedefine/>
    <w:qFormat/>
    <w:uiPriority w:val="0"/>
    <w:rPr>
      <w:rFonts w:ascii="Arial" w:hAnsi="Arial" w:eastAsia="黑体"/>
      <w:b/>
      <w:bCs/>
      <w:kern w:val="2"/>
      <w:sz w:val="21"/>
      <w:szCs w:val="32"/>
      <w:lang w:val="en-US" w:eastAsia="zh-CN" w:bidi="ar-SA"/>
    </w:rPr>
  </w:style>
  <w:style w:type="paragraph" w:customStyle="1" w:styleId="199">
    <w:name w:val="正文 New"/>
    <w:autoRedefine/>
    <w:qFormat/>
    <w:uiPriority w:val="0"/>
    <w:pPr>
      <w:widowControl w:val="0"/>
      <w:spacing w:line="440" w:lineRule="exact"/>
      <w:ind w:left="357" w:hanging="357"/>
      <w:jc w:val="both"/>
    </w:pPr>
    <w:rPr>
      <w:rFonts w:ascii="Calibri" w:hAnsi="Calibri" w:eastAsia="宋体" w:cs="Times New Roman"/>
      <w:kern w:val="2"/>
      <w:sz w:val="21"/>
      <w:szCs w:val="22"/>
      <w:lang w:val="en-US" w:eastAsia="zh-CN" w:bidi="ar-SA"/>
    </w:rPr>
  </w:style>
  <w:style w:type="character" w:customStyle="1" w:styleId="200">
    <w:name w:val="font12"/>
    <w:basedOn w:val="48"/>
    <w:autoRedefine/>
    <w:qFormat/>
    <w:uiPriority w:val="0"/>
    <w:rPr>
      <w:rFonts w:hint="eastAsia" w:ascii="仿宋" w:hAnsi="仿宋" w:eastAsia="仿宋" w:cs="仿宋"/>
      <w:b/>
      <w:color w:val="000000"/>
      <w:sz w:val="32"/>
      <w:szCs w:val="32"/>
      <w:u w:val="none"/>
    </w:rPr>
  </w:style>
  <w:style w:type="character" w:customStyle="1" w:styleId="201">
    <w:name w:val="font101"/>
    <w:basedOn w:val="48"/>
    <w:autoRedefine/>
    <w:qFormat/>
    <w:uiPriority w:val="0"/>
    <w:rPr>
      <w:rFonts w:hint="default" w:ascii="Times New Roman" w:hAnsi="Times New Roman" w:cs="Times New Roman"/>
      <w:color w:val="000000"/>
      <w:sz w:val="24"/>
      <w:szCs w:val="24"/>
      <w:u w:val="none"/>
    </w:rPr>
  </w:style>
  <w:style w:type="character" w:customStyle="1" w:styleId="202">
    <w:name w:val="font111"/>
    <w:basedOn w:val="48"/>
    <w:autoRedefine/>
    <w:qFormat/>
    <w:uiPriority w:val="0"/>
    <w:rPr>
      <w:rFonts w:ascii="仿宋_GB2312" w:eastAsia="仿宋_GB2312" w:cs="仿宋_GB2312"/>
      <w:color w:val="000000"/>
      <w:sz w:val="24"/>
      <w:szCs w:val="24"/>
      <w:u w:val="none"/>
    </w:rPr>
  </w:style>
  <w:style w:type="character" w:customStyle="1" w:styleId="203">
    <w:name w:val="font91"/>
    <w:basedOn w:val="48"/>
    <w:autoRedefine/>
    <w:qFormat/>
    <w:uiPriority w:val="0"/>
    <w:rPr>
      <w:rFonts w:hint="eastAsia" w:ascii="仿宋" w:hAnsi="仿宋" w:eastAsia="仿宋" w:cs="仿宋"/>
      <w:color w:val="000000"/>
      <w:sz w:val="24"/>
      <w:szCs w:val="24"/>
      <w:u w:val="single"/>
    </w:rPr>
  </w:style>
  <w:style w:type="character" w:customStyle="1" w:styleId="204">
    <w:name w:val="font81"/>
    <w:basedOn w:val="48"/>
    <w:autoRedefine/>
    <w:qFormat/>
    <w:uiPriority w:val="0"/>
    <w:rPr>
      <w:rFonts w:hint="default" w:ascii="Times New Roman" w:hAnsi="Times New Roman" w:cs="Times New Roman"/>
      <w:color w:val="000000"/>
      <w:sz w:val="24"/>
      <w:szCs w:val="24"/>
      <w:u w:val="none"/>
    </w:rPr>
  </w:style>
  <w:style w:type="character" w:customStyle="1" w:styleId="205">
    <w:name w:val="font61"/>
    <w:basedOn w:val="48"/>
    <w:autoRedefine/>
    <w:qFormat/>
    <w:uiPriority w:val="0"/>
    <w:rPr>
      <w:rFonts w:hint="eastAsia" w:ascii="仿宋_GB2312" w:eastAsia="仿宋_GB2312" w:cs="仿宋_GB2312"/>
      <w:color w:val="000000"/>
      <w:sz w:val="24"/>
      <w:szCs w:val="24"/>
      <w:u w:val="none"/>
    </w:rPr>
  </w:style>
  <w:style w:type="character" w:customStyle="1" w:styleId="206">
    <w:name w:val="font21"/>
    <w:basedOn w:val="48"/>
    <w:autoRedefine/>
    <w:qFormat/>
    <w:uiPriority w:val="0"/>
    <w:rPr>
      <w:rFonts w:hint="default" w:ascii="Times New Roman" w:hAnsi="Times New Roman" w:cs="Times New Roman"/>
      <w:color w:val="000000"/>
      <w:sz w:val="24"/>
      <w:szCs w:val="24"/>
      <w:u w:val="none"/>
    </w:rPr>
  </w:style>
  <w:style w:type="character" w:customStyle="1" w:styleId="207">
    <w:name w:val="NormalCharacter"/>
    <w:autoRedefine/>
    <w:semiHidden/>
    <w:qFormat/>
    <w:uiPriority w:val="0"/>
    <w:rPr>
      <w:snapToGrid w:val="0"/>
      <w:kern w:val="0"/>
      <w:sz w:val="32"/>
      <w:szCs w:val="32"/>
      <w:lang w:val="en-US" w:eastAsia="zh-CN" w:bidi="ar-SA"/>
    </w:rPr>
  </w:style>
  <w:style w:type="character" w:customStyle="1" w:styleId="208">
    <w:name w:val="first-child1"/>
    <w:basedOn w:val="48"/>
    <w:autoRedefine/>
    <w:qFormat/>
    <w:uiPriority w:val="0"/>
  </w:style>
  <w:style w:type="character" w:customStyle="1" w:styleId="209">
    <w:name w:val="hover1"/>
    <w:basedOn w:val="48"/>
    <w:autoRedefine/>
    <w:qFormat/>
    <w:uiPriority w:val="0"/>
    <w:rPr>
      <w:color w:val="2590EB"/>
    </w:rPr>
  </w:style>
  <w:style w:type="character" w:customStyle="1" w:styleId="210">
    <w:name w:val="hover2"/>
    <w:basedOn w:val="48"/>
    <w:autoRedefine/>
    <w:qFormat/>
    <w:uiPriority w:val="0"/>
  </w:style>
  <w:style w:type="character" w:customStyle="1" w:styleId="211">
    <w:name w:val="hover3"/>
    <w:basedOn w:val="48"/>
    <w:autoRedefine/>
    <w:qFormat/>
    <w:uiPriority w:val="0"/>
    <w:rPr>
      <w:color w:val="2590EB"/>
    </w:rPr>
  </w:style>
  <w:style w:type="character" w:customStyle="1" w:styleId="212">
    <w:name w:val="hover4"/>
    <w:basedOn w:val="48"/>
    <w:autoRedefine/>
    <w:qFormat/>
    <w:uiPriority w:val="0"/>
    <w:rPr>
      <w:color w:val="2590EB"/>
      <w:shd w:val="clear" w:fill="E9F4FD"/>
    </w:rPr>
  </w:style>
  <w:style w:type="character" w:customStyle="1" w:styleId="213">
    <w:name w:val="mini-outputtext1"/>
    <w:basedOn w:val="48"/>
    <w:autoRedefine/>
    <w:qFormat/>
    <w:uiPriority w:val="0"/>
  </w:style>
  <w:style w:type="character" w:customStyle="1" w:styleId="214">
    <w:name w:val="hover"/>
    <w:basedOn w:val="48"/>
    <w:autoRedefine/>
    <w:qFormat/>
    <w:uiPriority w:val="0"/>
    <w:rPr>
      <w:color w:val="2590EB"/>
    </w:rPr>
  </w:style>
  <w:style w:type="paragraph" w:customStyle="1" w:styleId="215">
    <w:name w:val="l正文"/>
    <w:autoRedefine/>
    <w:qFormat/>
    <w:uiPriority w:val="0"/>
    <w:pPr>
      <w:widowControl w:val="0"/>
      <w:spacing w:line="300" w:lineRule="auto"/>
      <w:ind w:firstLine="200" w:firstLineChars="200"/>
      <w:jc w:val="both"/>
    </w:pPr>
    <w:rPr>
      <w:rFonts w:ascii="楷体_GB2312" w:hAnsi="Times" w:eastAsia="楷体_GB2312" w:cs="Times New Roman"/>
      <w:kern w:val="2"/>
      <w:sz w:val="24"/>
      <w:szCs w:val="24"/>
      <w:lang w:val="en-US" w:eastAsia="zh-CN" w:bidi="ar-SA"/>
    </w:rPr>
  </w:style>
  <w:style w:type="paragraph" w:customStyle="1" w:styleId="216">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17">
    <w:name w:val="Main Title"/>
    <w:next w:val="1"/>
    <w:autoRedefine/>
    <w:qFormat/>
    <w:uiPriority w:val="0"/>
    <w:pPr>
      <w:adjustRightInd w:val="0"/>
      <w:snapToGrid w:val="0"/>
      <w:spacing w:after="120" w:afterLines="50" w:line="360" w:lineRule="auto"/>
      <w:jc w:val="center"/>
    </w:pPr>
    <w:rPr>
      <w:rFonts w:ascii="黑体" w:hAnsi="黑体" w:eastAsia="黑体" w:cs="Times New Roman"/>
      <w:b/>
      <w:kern w:val="2"/>
      <w:sz w:val="36"/>
      <w:szCs w:val="22"/>
      <w:lang w:val="zh-CN" w:eastAsia="zh-CN" w:bidi="ar-SA"/>
    </w:rPr>
  </w:style>
  <w:style w:type="paragraph" w:customStyle="1" w:styleId="218">
    <w:name w:val="TOC 标题2"/>
    <w:basedOn w:val="6"/>
    <w:next w:val="1"/>
    <w:autoRedefine/>
    <w:qFormat/>
    <w:uiPriority w:val="0"/>
    <w:pPr>
      <w:keepNext/>
      <w:keepLines/>
      <w:widowControl w:val="0"/>
      <w:adjustRightInd/>
      <w:snapToGrid/>
      <w:spacing w:before="260" w:after="260" w:line="413" w:lineRule="auto"/>
    </w:pPr>
    <w:rPr>
      <w:rFonts w:ascii="宋体" w:hAnsi="宋体" w:eastAsia="宋体" w:cs="Times New Roman"/>
      <w:sz w:val="36"/>
      <w:szCs w:val="44"/>
      <w:lang w:val="zh-CN"/>
    </w:rPr>
  </w:style>
  <w:style w:type="paragraph" w:customStyle="1" w:styleId="219">
    <w:name w:val="协议书标题2"/>
    <w:basedOn w:val="7"/>
    <w:next w:val="1"/>
    <w:autoRedefine/>
    <w:qFormat/>
    <w:uiPriority w:val="0"/>
    <w:pPr>
      <w:keepNext w:val="0"/>
      <w:keepLines w:val="0"/>
      <w:tabs>
        <w:tab w:val="left" w:pos="567"/>
      </w:tabs>
      <w:spacing w:line="360" w:lineRule="auto"/>
      <w:ind w:left="425"/>
      <w:jc w:val="left"/>
    </w:pPr>
    <w:rPr>
      <w:rFonts w:ascii="宋体" w:hAnsi="宋体" w:eastAsia="宋体"/>
      <w:sz w:val="24"/>
    </w:rPr>
  </w:style>
  <w:style w:type="paragraph" w:customStyle="1" w:styleId="220">
    <w:name w:val="通用标题2"/>
    <w:basedOn w:val="7"/>
    <w:next w:val="1"/>
    <w:autoRedefine/>
    <w:qFormat/>
    <w:uiPriority w:val="0"/>
    <w:pPr>
      <w:keepNext w:val="0"/>
      <w:keepLines w:val="0"/>
      <w:tabs>
        <w:tab w:val="left" w:pos="993"/>
      </w:tabs>
      <w:spacing w:line="360" w:lineRule="auto"/>
    </w:pPr>
    <w:rPr>
      <w:rFonts w:ascii="黑体" w:hAnsi="黑体"/>
    </w:rPr>
  </w:style>
  <w:style w:type="paragraph" w:customStyle="1" w:styleId="221">
    <w:name w:val="专用标题2"/>
    <w:basedOn w:val="7"/>
    <w:next w:val="1"/>
    <w:autoRedefine/>
    <w:qFormat/>
    <w:uiPriority w:val="0"/>
    <w:pPr>
      <w:keepNext w:val="0"/>
      <w:keepLines w:val="0"/>
      <w:tabs>
        <w:tab w:val="left" w:pos="993"/>
      </w:tabs>
      <w:wordWrap/>
      <w:topLinePunct w:val="0"/>
      <w:spacing w:line="360" w:lineRule="auto"/>
      <w:ind w:firstLine="0" w:firstLineChars="0"/>
    </w:pPr>
    <w:rPr>
      <w:rFonts w:ascii="宋体" w:hAnsi="宋体" w:eastAsia="宋体" w:cs="Times"/>
    </w:rPr>
  </w:style>
  <w:style w:type="character" w:customStyle="1" w:styleId="222">
    <w:name w:val="样式 宋体 四号"/>
    <w:autoRedefine/>
    <w:qFormat/>
    <w:uiPriority w:val="0"/>
    <w:rPr>
      <w:rFonts w:ascii="宋体" w:hAnsi="宋体" w:eastAsia="仿宋_GB2312"/>
      <w:sz w:val="28"/>
    </w:rPr>
  </w:style>
  <w:style w:type="character" w:customStyle="1" w:styleId="223">
    <w:name w:val="time"/>
    <w:basedOn w:val="48"/>
    <w:autoRedefine/>
    <w:qFormat/>
    <w:uiPriority w:val="0"/>
  </w:style>
  <w:style w:type="character" w:customStyle="1" w:styleId="224">
    <w:name w:val="status"/>
    <w:basedOn w:val="48"/>
    <w:autoRedefine/>
    <w:qFormat/>
    <w:uiPriority w:val="0"/>
    <w:rPr>
      <w:color w:val="0776DD"/>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B6A8AB-B2A1-4B55-8D10-16A16BEFEE1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114</Pages>
  <Words>16120</Words>
  <Characters>17748</Characters>
  <Lines>1</Lines>
  <Paragraphs>1</Paragraphs>
  <TotalTime>6</TotalTime>
  <ScaleCrop>false</ScaleCrop>
  <LinksUpToDate>false</LinksUpToDate>
  <CharactersWithSpaces>17990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2016-05-15T08:29:00Z</dcterms:created>
  <dc:creator>dengxiaochun</dc:creator>
  <cp:lastModifiedBy>NTKO</cp:lastModifiedBy>
  <cp:lastPrinted>2023-06-08T00:43:00Z</cp:lastPrinted>
  <dcterms:modified xsi:type="dcterms:W3CDTF">2025-03-12T06:59:46Z</dcterms:modified>
  <dc:title>标准交易文件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14455FA9055A4FBB93FA2BFC3387BD1F_13</vt:lpwstr>
  </property>
  <property fmtid="{D5CDD505-2E9C-101B-9397-08002B2CF9AE}" pid="4" name="KSOTemplateDocerSaveRecord">
    <vt:lpwstr>eyJoZGlkIjoiZTQ4OTM2MTIyODI3Njc5MTE5MDBiNjA4NzIzYTUzZmEifQ==</vt:lpwstr>
  </property>
</Properties>
</file>